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件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煤炭消费减量替代工作重点任务分工表</w:t>
      </w:r>
    </w:p>
    <w:bookmarkEnd w:id="0"/>
    <w:tbl>
      <w:tblPr>
        <w:tblStyle w:val="5"/>
        <w:tblW w:w="8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4503"/>
        <w:gridCol w:w="2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  <w:t>重点任务</w:t>
            </w: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  <w:t>工作内容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  <w:t>责任部门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严格耗煤项目审批管理</w:t>
            </w: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严格控制新上耗煤项目的审批、核准、备案。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  <w:t>区行政审批服务局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对新上耗煤项目开展煤炭消费减量替代审查并负责监督落实。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  <w:t>区发展和改革局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严格落实固定资产投资项目节能审查制度提高能源利用效率。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  <w:t>区行政审批服务局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严把新上耗煤项目环评审批关。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区生态环境保护部门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依法依规推动落后产能退出</w:t>
            </w: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严禁新增钢铁、焦化、电解铝、铸造、水泥和平板玻璃等产能，严格执行钢铁、水泥等行业产能置换实施办法。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区发展和改革局、区工业和信息化局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对于污染物排放不达标的企业，责令限期整改；情节严重的，按照有关法律法规规定责令停业、关闭。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区生态环境保护部门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推进燃煤锅炉综合整治</w:t>
            </w: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全面淘汰茶水炉、经营性炉灶、粮食烘干设备等燃煤设施；禁止新建35蒸吨/小时及以下的燃煤锅炉；燃气锅炉基本完成低氮改造；城市建成区生物质锅炉实施超低排放改造。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区生态环境保护部门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扩大集中供热范围，推进城乡清洁采暖</w:t>
            </w: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65蒸吨/小时及以上燃煤锅炉在完成超低排放改造的基础上实施节能改造。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区工业和信息化局、区市场监管局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大力推动清洁能源采暖,采取余热利用、多能互补清洁取暖、城乡清洁能源替代建设等措施，增加清洁取暖面积，加大既有建筑节能改造力度。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因地制宜推广地热、热泵类（空气源、水源、土壤源、污水源等）技术。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加大散煤治理力度，推进煤炭清洁高效利用</w:t>
            </w: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建立健全煤炭质量管理体系，强化煤炭及制品生产、销售、使用、存储等环节监管，严格控制劣质煤炭进入消费市场，严厉打击劣质煤销售。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区工业和信息化局、区生态环境保护部门、区市场监管局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加快散煤替代和清洁化治理，优先以街镇为单元整体推进。2020年采暖季前，在保障能源供应的前提下，全区基本完成生活和冬季取暖散煤替代，完成省清洁取暖规划确定的各项目标任务。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区住房和城乡建设局、区工业和信息化局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加强清洁能源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开发利用</w:t>
            </w: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因地制宜发展风电、太阳能发电、生物质能发电等，扩大新能源和可再生能源开发利用规模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  <w:t>区发展和改革局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提高天然气消费比重，替代煤炭消费</w:t>
            </w:r>
          </w:p>
        </w:tc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积极对上争取，做好天然气运行总量平衡工作。进一步扩大天然气管网覆盖范围和供气能力，除偏远山区外，基本实现全区天然气“街镇通”。新增天然气优先用于城镇居民生活和冬季取暖散煤替代，实现“增气减煤”。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区住房和城乡建设局、区工业和信息化局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ZWYyMzMzYTRmZGJjNzBmMDdmMzNjNDhlYjY2MzcifQ=="/>
  </w:docVars>
  <w:rsids>
    <w:rsidRoot w:val="00000000"/>
    <w:rsid w:val="2369732C"/>
    <w:rsid w:val="5DC6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3185</Words>
  <Characters>3294</Characters>
  <Lines>0</Lines>
  <Paragraphs>0</Paragraphs>
  <TotalTime>1</TotalTime>
  <ScaleCrop>false</ScaleCrop>
  <LinksUpToDate>false</LinksUpToDate>
  <CharactersWithSpaces>3308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2022-10-22T06:57:00Z</dcterms:created>
  <dc:creator>刘冰倩</dc:creator>
  <cp:lastModifiedBy>asus</cp:lastModifiedBy>
  <dcterms:modified xsi:type="dcterms:W3CDTF">2022-10-22T14:30:47Z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E362E906B77F4EAFBE37DEA1D272CFA1</vt:lpwstr>
  </property>
</Properties>
</file>