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济南市历城区人民政府</w:t>
      </w:r>
    </w:p>
    <w:p>
      <w:pPr>
        <w:spacing w:line="700" w:lineRule="exact"/>
        <w:jc w:val="center"/>
        <w:rPr>
          <w:rFonts w:hint="eastAsia" w:ascii="方正小标宋简体" w:eastAsia="方正小标宋简体"/>
          <w:bCs/>
          <w:sz w:val="44"/>
          <w:szCs w:val="44"/>
        </w:rPr>
      </w:pPr>
      <w:r>
        <w:rPr>
          <w:rFonts w:hint="eastAsia" w:ascii="方正小标宋简体" w:eastAsia="方正小标宋简体"/>
          <w:bCs/>
          <w:sz w:val="44"/>
          <w:szCs w:val="44"/>
        </w:rPr>
        <w:t>关于公布区级行政权力划转事项清单的通知</w:t>
      </w:r>
    </w:p>
    <w:p>
      <w:pPr>
        <w:tabs>
          <w:tab w:val="left" w:pos="271"/>
        </w:tabs>
        <w:spacing w:line="560" w:lineRule="exact"/>
        <w:ind w:firstLine="311" w:firstLineChars="100"/>
        <w:jc w:val="center"/>
        <w:rPr>
          <w:rFonts w:hint="eastAsia" w:ascii="仿宋_GB2312" w:eastAsia="仿宋_GB2312"/>
          <w:snapToGrid w:val="0"/>
          <w:color w:val="000000"/>
          <w:kern w:val="0"/>
          <w:sz w:val="32"/>
          <w:szCs w:val="32"/>
        </w:rPr>
      </w:pPr>
      <w:r>
        <w:rPr>
          <w:rFonts w:hint="eastAsia" w:ascii="仿宋_GB2312" w:eastAsia="仿宋_GB2312"/>
          <w:snapToGrid w:val="0"/>
          <w:color w:val="000000"/>
          <w:kern w:val="0"/>
          <w:sz w:val="32"/>
          <w:szCs w:val="32"/>
        </w:rPr>
        <w:t>济历城政字〔2020〕34号</w:t>
      </w:r>
    </w:p>
    <w:p>
      <w:pPr>
        <w:rPr>
          <w:rFonts w:hint="eastAsia" w:ascii="仿宋_GB2312" w:eastAsia="仿宋_GB2312"/>
          <w:sz w:val="32"/>
          <w:szCs w:val="32"/>
        </w:rPr>
      </w:pPr>
    </w:p>
    <w:p>
      <w:pPr>
        <w:spacing w:line="640" w:lineRule="exact"/>
        <w:rPr>
          <w:rFonts w:ascii="仿宋_GB2312" w:eastAsia="仿宋_GB2312"/>
          <w:sz w:val="32"/>
          <w:szCs w:val="32"/>
        </w:rPr>
      </w:pPr>
      <w:r>
        <w:rPr>
          <w:rFonts w:hint="eastAsia" w:ascii="仿宋_GB2312" w:eastAsia="仿宋_GB2312"/>
          <w:sz w:val="32"/>
          <w:szCs w:val="32"/>
        </w:rPr>
        <w:t>各街道办事处，区政府</w:t>
      </w:r>
      <w:r>
        <w:rPr>
          <w:rFonts w:ascii="仿宋_GB2312" w:eastAsia="仿宋_GB2312"/>
          <w:sz w:val="32"/>
          <w:szCs w:val="32"/>
        </w:rPr>
        <w:t>各</w:t>
      </w:r>
      <w:r>
        <w:rPr>
          <w:rFonts w:hint="eastAsia" w:ascii="仿宋_GB2312" w:eastAsia="仿宋_GB2312"/>
          <w:sz w:val="32"/>
          <w:szCs w:val="32"/>
        </w:rPr>
        <w:t>部门（单位）：</w:t>
      </w:r>
    </w:p>
    <w:p>
      <w:pPr>
        <w:spacing w:line="640" w:lineRule="exact"/>
        <w:ind w:firstLine="615"/>
        <w:rPr>
          <w:rFonts w:hint="eastAsia" w:ascii="仿宋_GB2312" w:eastAsia="仿宋_GB2312"/>
          <w:sz w:val="32"/>
          <w:szCs w:val="32"/>
        </w:rPr>
      </w:pPr>
      <w:r>
        <w:rPr>
          <w:rFonts w:hint="eastAsia" w:ascii="仿宋_GB2312" w:eastAsia="仿宋_GB2312"/>
          <w:sz w:val="32"/>
          <w:szCs w:val="32"/>
        </w:rPr>
        <w:t>按照《济南市人民政府办公厅关于转发</w:t>
      </w:r>
      <w:r>
        <w:rPr>
          <w:rFonts w:ascii="仿宋_GB2312" w:eastAsia="仿宋_GB2312"/>
          <w:sz w:val="32"/>
          <w:szCs w:val="32"/>
        </w:rPr>
        <w:t>&lt;</w:t>
      </w:r>
      <w:r>
        <w:rPr>
          <w:rFonts w:hint="eastAsia" w:ascii="仿宋_GB2312" w:eastAsia="仿宋_GB2312"/>
          <w:sz w:val="32"/>
          <w:szCs w:val="32"/>
        </w:rPr>
        <w:t>山东省人民政府办公厅关于深化相对集中行政许可权改革规范市县级行政审批服务工作的意见</w:t>
      </w:r>
      <w:r>
        <w:rPr>
          <w:rFonts w:ascii="仿宋_GB2312" w:eastAsia="仿宋_GB2312"/>
          <w:sz w:val="32"/>
          <w:szCs w:val="32"/>
        </w:rPr>
        <w:t>&gt;</w:t>
      </w:r>
      <w:r>
        <w:rPr>
          <w:rFonts w:hint="eastAsia" w:ascii="仿宋_GB2312" w:eastAsia="仿宋_GB2312"/>
          <w:sz w:val="32"/>
          <w:szCs w:val="32"/>
        </w:rPr>
        <w:t>的通知》要求，结合历城实际，明确区级行政许可及关联事项划转清单，划转工作方案由区政府研究确定后另行印发，现将《区级行政权力划转事项清单》予以公布。</w:t>
      </w:r>
    </w:p>
    <w:p>
      <w:pPr>
        <w:spacing w:line="640" w:lineRule="exact"/>
        <w:ind w:firstLine="615"/>
        <w:rPr>
          <w:rFonts w:ascii="仿宋_GB2312" w:eastAsia="仿宋_GB2312"/>
          <w:sz w:val="32"/>
          <w:szCs w:val="32"/>
        </w:rPr>
      </w:pPr>
      <w:r>
        <w:rPr>
          <w:rFonts w:hint="eastAsia" w:ascii="仿宋_GB2312" w:eastAsia="仿宋_GB2312"/>
          <w:sz w:val="32"/>
          <w:szCs w:val="32"/>
        </w:rPr>
        <w:t>各有关部门（单位）要牢固树立整体政府意识，服从工作全局，加强协调配合，全力支持区行政审批服务局工作，提前做好各项工作对接，确保工作推进过程中各项审批和服务衔接顺畅，切实为人民群众和市场主体提供更加便捷、高效、优质的政务服务。</w:t>
      </w:r>
    </w:p>
    <w:p>
      <w:pPr>
        <w:spacing w:line="640" w:lineRule="exact"/>
        <w:rPr>
          <w:rFonts w:ascii="仿宋_GB2312" w:eastAsia="仿宋_GB2312"/>
          <w:sz w:val="32"/>
          <w:szCs w:val="32"/>
        </w:rPr>
      </w:pPr>
      <w:r>
        <w:rPr>
          <w:rFonts w:hint="eastAsia" w:ascii="仿宋_GB2312" w:eastAsia="仿宋_GB2312"/>
          <w:sz w:val="32"/>
          <w:szCs w:val="32"/>
        </w:rPr>
        <w:t xml:space="preserve">    附件：区级行政权力划转事项清单</w:t>
      </w:r>
    </w:p>
    <w:p>
      <w:pPr>
        <w:spacing w:line="640" w:lineRule="exact"/>
        <w:rPr>
          <w:rFonts w:ascii="仿宋_GB2312" w:eastAsia="仿宋_GB2312"/>
          <w:sz w:val="32"/>
          <w:szCs w:val="32"/>
        </w:rPr>
      </w:pPr>
      <w:r>
        <w:rPr>
          <w:rFonts w:hint="eastAsia" w:ascii="仿宋_GB2312" w:eastAsia="仿宋_GB2312"/>
          <w:sz w:val="32"/>
          <w:szCs w:val="32"/>
        </w:rPr>
        <w:t xml:space="preserve">                                济南市历城区人民政府</w:t>
      </w:r>
    </w:p>
    <w:p>
      <w:pPr>
        <w:spacing w:line="640" w:lineRule="exact"/>
        <w:rPr>
          <w:rFonts w:ascii="仿宋_GB2312" w:eastAsia="仿宋_GB2312"/>
          <w:sz w:val="32"/>
          <w:szCs w:val="32"/>
        </w:rPr>
      </w:pPr>
      <w:r>
        <w:rPr>
          <w:rFonts w:hint="eastAsia" w:ascii="仿宋_GB2312" w:eastAsia="仿宋_GB2312"/>
          <w:sz w:val="32"/>
          <w:szCs w:val="32"/>
        </w:rPr>
        <w:t xml:space="preserve">                                  2020年9月9日</w:t>
      </w:r>
    </w:p>
    <w:p>
      <w:pPr>
        <w:spacing w:line="640" w:lineRule="exact"/>
        <w:rPr>
          <w:rFonts w:ascii="仿宋_GB2312" w:eastAsia="仿宋_GB2312"/>
          <w:sz w:val="32"/>
          <w:szCs w:val="32"/>
        </w:rPr>
      </w:pPr>
      <w:r>
        <w:rPr>
          <w:rFonts w:hint="eastAsia" w:ascii="仿宋_GB2312" w:eastAsia="仿宋_GB2312"/>
          <w:sz w:val="32"/>
          <w:szCs w:val="32"/>
        </w:rPr>
        <w:t xml:space="preserve">    （此件公开发布）</w:t>
      </w:r>
    </w:p>
    <w:p>
      <w:pPr>
        <w:spacing w:line="640" w:lineRule="exact"/>
        <w:rPr>
          <w:rFonts w:hint="eastAsia" w:ascii="黑体" w:hAnsi="黑体" w:eastAsia="黑体" w:cs="Tahoma"/>
          <w:color w:val="000000"/>
          <w:kern w:val="0"/>
          <w:sz w:val="32"/>
          <w:szCs w:val="32"/>
        </w:rPr>
      </w:pPr>
      <w:bookmarkStart w:id="0" w:name="_GoBack"/>
      <w:bookmarkEnd w:id="0"/>
      <w:r>
        <w:rPr>
          <w:rFonts w:hint="eastAsia" w:ascii="黑体" w:hAnsi="黑体" w:eastAsia="黑体" w:cs="Tahoma"/>
          <w:color w:val="000000"/>
          <w:kern w:val="0"/>
          <w:sz w:val="32"/>
          <w:szCs w:val="32"/>
        </w:rPr>
        <w:t>附件</w:t>
      </w:r>
    </w:p>
    <w:p>
      <w:pPr>
        <w:spacing w:beforeLines="50" w:afterLines="50" w:line="640" w:lineRule="exact"/>
        <w:jc w:val="center"/>
        <w:rPr>
          <w:rFonts w:hint="eastAsia" w:ascii="黑体" w:hAnsi="黑体" w:eastAsia="黑体" w:cs="Tahoma"/>
          <w:color w:val="000000"/>
          <w:kern w:val="0"/>
          <w:sz w:val="32"/>
          <w:szCs w:val="32"/>
        </w:rPr>
      </w:pPr>
      <w:r>
        <w:rPr>
          <w:rFonts w:hint="eastAsia" w:ascii="方正小标宋简体" w:hAnsi="Tahoma" w:eastAsia="方正小标宋简体" w:cs="Tahoma"/>
          <w:color w:val="000000"/>
          <w:kern w:val="0"/>
          <w:sz w:val="44"/>
          <w:szCs w:val="44"/>
        </w:rPr>
        <w:t>区级行政权力划转事项清单</w:t>
      </w:r>
    </w:p>
    <w:tbl>
      <w:tblPr>
        <w:tblStyle w:val="4"/>
        <w:tblW w:w="9100" w:type="dxa"/>
        <w:tblInd w:w="0" w:type="dxa"/>
        <w:tblLayout w:type="autofit"/>
        <w:tblCellMar>
          <w:top w:w="0" w:type="dxa"/>
          <w:left w:w="108" w:type="dxa"/>
          <w:bottom w:w="0" w:type="dxa"/>
          <w:right w:w="108" w:type="dxa"/>
        </w:tblCellMar>
      </w:tblPr>
      <w:tblGrid>
        <w:gridCol w:w="709"/>
        <w:gridCol w:w="7228"/>
        <w:gridCol w:w="1163"/>
      </w:tblGrid>
      <w:tr>
        <w:tblPrEx>
          <w:tblCellMar>
            <w:top w:w="0" w:type="dxa"/>
            <w:left w:w="108" w:type="dxa"/>
            <w:bottom w:w="0" w:type="dxa"/>
            <w:right w:w="108" w:type="dxa"/>
          </w:tblCellMar>
        </w:tblPrEx>
        <w:trPr>
          <w:trHeight w:val="55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rPr>
            </w:pPr>
            <w:r>
              <w:rPr>
                <w:rFonts w:hint="eastAsia" w:ascii="宋体" w:hAnsi="宋体" w:eastAsia="宋体" w:cs="Tahoma"/>
                <w:b/>
                <w:bCs/>
                <w:color w:val="000000"/>
                <w:kern w:val="0"/>
                <w:sz w:val="22"/>
              </w:rPr>
              <w:t>序号</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rPr>
            </w:pPr>
            <w:r>
              <w:rPr>
                <w:rFonts w:hint="eastAsia" w:ascii="宋体" w:hAnsi="宋体" w:eastAsia="宋体" w:cs="Tahoma"/>
                <w:b/>
                <w:bCs/>
                <w:color w:val="000000"/>
                <w:kern w:val="0"/>
                <w:sz w:val="22"/>
              </w:rPr>
              <w:t>事项名称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Tahoma"/>
                <w:b/>
                <w:bCs/>
                <w:color w:val="000000"/>
                <w:kern w:val="0"/>
                <w:sz w:val="22"/>
              </w:rPr>
            </w:pPr>
            <w:r>
              <w:rPr>
                <w:rFonts w:hint="eastAsia" w:ascii="宋体" w:hAnsi="宋体" w:eastAsia="宋体" w:cs="Tahoma"/>
                <w:b/>
                <w:bCs/>
                <w:color w:val="000000"/>
                <w:kern w:val="0"/>
                <w:sz w:val="22"/>
              </w:rPr>
              <w:t>事项类型</w:t>
            </w:r>
          </w:p>
        </w:tc>
      </w:tr>
      <w:tr>
        <w:tblPrEx>
          <w:tblCellMar>
            <w:top w:w="0" w:type="dxa"/>
            <w:left w:w="108" w:type="dxa"/>
            <w:bottom w:w="0" w:type="dxa"/>
            <w:right w:w="108" w:type="dxa"/>
          </w:tblCellMar>
        </w:tblPrEx>
        <w:trPr>
          <w:trHeight w:val="555" w:hRule="atLeast"/>
        </w:trPr>
        <w:tc>
          <w:tcPr>
            <w:tcW w:w="91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黑体" w:hAnsi="黑体" w:eastAsia="黑体" w:cs="Tahoma"/>
                <w:color w:val="000000"/>
                <w:kern w:val="0"/>
                <w:sz w:val="22"/>
              </w:rPr>
            </w:pPr>
            <w:r>
              <w:rPr>
                <w:rFonts w:hint="eastAsia" w:ascii="黑体" w:hAnsi="黑体" w:eastAsia="黑体" w:cs="Tahoma"/>
                <w:color w:val="000000"/>
                <w:kern w:val="0"/>
                <w:sz w:val="22"/>
              </w:rPr>
              <w:t>一、《山东省市县两级行政许可事项划转指导目录》内划转事项</w:t>
            </w:r>
          </w:p>
        </w:tc>
      </w:tr>
      <w:tr>
        <w:tblPrEx>
          <w:tblCellMar>
            <w:top w:w="0" w:type="dxa"/>
            <w:left w:w="108" w:type="dxa"/>
            <w:bottom w:w="0" w:type="dxa"/>
            <w:right w:w="108" w:type="dxa"/>
          </w:tblCellMar>
        </w:tblPrEx>
        <w:trPr>
          <w:trHeight w:val="55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企业投资项目核准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依法必须进行招标的相关工程建设项目招标范围、招标方式、招标组织形式核准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节能审查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举办实施学历教育、学前教育、自学考试助学及其他文化教育的民办学校筹设、设立、分立、合并、变更、终止审批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校车使用许可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社会团体成立、变更、注销登记和章程核准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基金会设立、变更、注销登记和章程核准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民办非企业单位成立、变更、注销登记和章程核准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慈善组织公开募捐资格审批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新建和扩建经营性公墓、农村公益性墓地审批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基层法律服务工作者执业、变更、注销许可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中介机构从事会计代理记账业务审批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经营性人力资源服务机构从事职业中介活动许可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企业实行不定时工作制和综合计算工时工作制审批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劳务派遣经营许可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16</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民办职业技能培训机构审批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17</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技工学校审批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建设项目使用林地审批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19</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临时占用林地审批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20</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狩猎证核发</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木材运输证核发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城镇污水排入排水管网许可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市政设施建设类审批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工程建设涉及城市绿地、树木审批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城市大型户外广告设置审核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燃气经营许可证核发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燃气供应许可证核发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供热经营许可证核发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燃气经营者改动燃气设施审核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新建、改建、扩建燃气工程项目审查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供水企业停业歇业许可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燃气经营者停业、歇业审批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供热企业停业许可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在街道两侧和公共场所临时堆放物料、搭建非永久性建筑物、构筑物或其他设施审核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在城市建筑物、设施上张挂、张贴宣传品审批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关闭、闲置、拆除城市环卫设施许可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建设工程消防设计审查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38</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建筑工程施工许可证核发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特殊车辆在城市道路上行驶审核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城市绿化工程设计方案审批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改变绿化规划、绿化用地的使用性质审批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42</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港口岸线使用审批</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43</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公路建设项目施工许可</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涉路工程建设许可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在公路用地范围内设置非公路标志许可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公路用地范围内护路林更新采伐许可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超限运输车辆行驶公路许可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道路客运（班车客运、包车客运、旅游客运）及班线经营许可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国内水路运输业务经营许可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危险货物运输经营以外的道路货运运输经营许可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道路客运站经营许可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机动车驾驶员培训经营许可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取水许可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54</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河道采砂许可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河道管理范围内建设项目工程建设方案审查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非防洪建设项目洪水影响评价报告审批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占用农业灌溉水源、灌排工程设施审批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蓄滞洪区避洪设施建设审批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生产建设项目水土保持方案审批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洪水影响评价（类）审批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单池容积五百立方米以上的农村可再生能源沼气工程及日供气量五百立方米以上的农村可再生能源秸秆气化工程设计方案核准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农药经营许可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农作物种子生产经营许可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食用菌菌种生产经营许可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65</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采集农业主管部门管理的国家二级保护野生植物审查</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66</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直销企业服务网点方案审查</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文物商店设立许可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建设工程文物保护许可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69</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娱乐场所从事娱乐场所经营活动审批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营业性演出审批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互联网上网服务营业场所经营单位从事互联网上网服务经营活动许可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72</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文艺表演团体申请从事营业性演出活动许可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护士执业注册</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kern w:val="0"/>
                <w:sz w:val="22"/>
              </w:rPr>
            </w:pPr>
            <w:r>
              <w:rPr>
                <w:rFonts w:hint="eastAsia" w:ascii="仿宋_GB2312" w:hAnsi="宋体" w:eastAsia="仿宋_GB2312" w:cs="Tahoma"/>
                <w:kern w:val="0"/>
                <w:sz w:val="22"/>
              </w:rPr>
              <w:t>单采血浆站设置审批及许可证核发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母婴保健服务人员资格认定</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76</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饮用水供水单位卫生许可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公共场所卫生许可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医疗机构放射性职业病危害建设项目预评价报告审核、竣工验收</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医师执业注册</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再生育审批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公司（企业）登记（限内资）</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广告发布登记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食品生产许可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农民专业合作社设立登记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个体工商户登记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5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86</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食品经营许可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5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食品小作坊、小餐饮登记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5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88</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经营高危险性体育项目许可</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5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89</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举办健身气功活动及设立站点审批</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开发利用人防工程和设施审批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人防警报设施拆除审批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单建人防工程五十米范围内采石、取土、爆破、挖洞作业审批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粮食收购资格认定</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种畜禽生产经营许可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动物诊疗许可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生鲜乳收购许可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生鲜乳准运许可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兽药经营许可证审批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执业药师注册</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药品经营许可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101</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出版物批发、零售单位设立、变更审批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102</w:t>
            </w:r>
          </w:p>
        </w:tc>
        <w:tc>
          <w:tcPr>
            <w:tcW w:w="7228"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电影放映单位设立</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103</w:t>
            </w:r>
          </w:p>
        </w:tc>
        <w:tc>
          <w:tcPr>
            <w:tcW w:w="7228" w:type="dxa"/>
            <w:tcBorders>
              <w:top w:val="single" w:color="auto" w:sz="4" w:space="0"/>
              <w:left w:val="nil"/>
              <w:bottom w:val="single" w:color="auto" w:sz="4" w:space="0"/>
              <w:right w:val="single" w:color="auto" w:sz="4" w:space="0"/>
            </w:tcBorders>
            <w:shd w:val="clear" w:color="000000" w:fill="FFFFFF"/>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华侨回国定居审批</w:t>
            </w:r>
          </w:p>
        </w:tc>
        <w:tc>
          <w:tcPr>
            <w:tcW w:w="1163" w:type="dxa"/>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建设工程抗震设防要求确定</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地震观测环境保护范围内建设工程项目审批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910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黑体" w:hAnsi="黑体" w:eastAsia="黑体" w:cs="Tahoma"/>
                <w:color w:val="000000"/>
                <w:kern w:val="0"/>
                <w:sz w:val="22"/>
              </w:rPr>
            </w:pPr>
            <w:r>
              <w:rPr>
                <w:rFonts w:hint="eastAsia" w:ascii="黑体" w:hAnsi="黑体" w:eastAsia="黑体" w:cs="Tahoma"/>
                <w:color w:val="000000"/>
                <w:kern w:val="0"/>
                <w:sz w:val="22"/>
              </w:rPr>
              <w:t>二、《山东省市县两级行政许可事项划转指导目录》外已划转事项</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水产苗种生产审批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国家二级保护水生野生动物特许捕捉审查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运输、携带国家重点保护的水生野生动物或者其产品出县境审查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蚕种生产、经营许可审核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驯养繁殖国家和省重点保护陆生野生动物和经营、运输、邮寄、携带陆生野生动物及其产品审批审核</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森林防火期内林区用火审批</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森林高火险期内进入森林高火险区审核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林木种子生产经营许可证审核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外国人对省重点保护野生动物进行野外考察或者在野外拍摄电影、录像审批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出售、收购、利用省重点保护野生动物及其产品审批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跨省运输、邮寄、携带省重点保护野生动物及其产品审批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安装和使用卫星地面接收设施审核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利用不可移动文物举办展览、展销、演出审批（审核）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典当行、拍卖公司、文化市场、旧货市场、艺术品市场等单位或者场所经营尚未被认定为文物的监管物品的审查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广播电视站设立审核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合伙企业及分支机构设立、变更、注销登记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个人独资企业及分支机构设立、变更、注销登记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计量标准器具核准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19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专项计量授权</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计量授权</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农业机械（拖拉机、联合收割机）驾驶证核发、续展、增驾</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农业机械（拖拉机、联合收割机）证书和牌照核发、变更</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股权出质登记服务</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企业备案登记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网络食品生产经营备案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出版物零售单位开展互联网销售业务的备案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27</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车辆营运证的配发</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28</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医疗保健机构从事母婴保健技术服务许可</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29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医疗机构设置审批及执业登记和校验（不含校验）</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区管慈善组织设立、注销登记</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kern w:val="0"/>
                <w:sz w:val="22"/>
              </w:rPr>
            </w:pPr>
            <w:r>
              <w:rPr>
                <w:rFonts w:hint="eastAsia" w:ascii="仿宋_GB2312" w:hAnsi="宋体" w:eastAsia="仿宋_GB2312" w:cs="Tahoma"/>
                <w:kern w:val="0"/>
                <w:sz w:val="22"/>
              </w:rPr>
              <w:t>企业技术改造投资项目核准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kern w:val="0"/>
                <w:sz w:val="22"/>
              </w:rPr>
            </w:pPr>
            <w:r>
              <w:rPr>
                <w:rFonts w:hint="eastAsia" w:ascii="仿宋_GB2312" w:hAnsi="宋体" w:eastAsia="仿宋_GB2312" w:cs="Tahoma"/>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电力设施保护区内施工作业审批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石油天然气管道保护范围内特定施工作业审批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新建石油天然气管道防护方案审批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735"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关闭煤矿或者报废矿井审批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对高危行业和连续性生产企业中止供电批准</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区属地名命名、变更、注销审核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拆除城市环境卫生设施审批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39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水利基建项目初步设计文件审批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农村集体经济组织修建水库审批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水工程建设规划同意书审核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林木采伐许可证核发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修筑直接为林业生产服务工程设施占用林地审批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国有文物保护单位改变用途审核</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文物保护单位及未核定为文物保护单位的不可移动文物修缮审批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企业投资项目备案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政府投资项目建议书审批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政府投资项目可行性研究报告审批</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49</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政府投资项目初步设计概算审批</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50</w:t>
            </w:r>
          </w:p>
        </w:tc>
        <w:tc>
          <w:tcPr>
            <w:tcW w:w="72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企业技术改造投资项目（不含汽车项目）备案</w:t>
            </w:r>
          </w:p>
        </w:tc>
        <w:tc>
          <w:tcPr>
            <w:tcW w:w="116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建设工程招标备案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招标人自行办理招标备案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建设工程招标控制价备案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54</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人民防空工程竣工验收备案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55</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市政基础设施工程以外的建筑工程（含城市轨道交通项目）施工许可</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56</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燃气、供热设施施工许可证核发</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行政许可</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57</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建筑工程项目初步设计审查</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行政确认</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58</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建设工程竣工验收备案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59</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房地产开发项目竣工综合验收备案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60</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建设工程竣工结算文件备案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61</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招标代理合同备案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62</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燃气、供热设施工程竣工验收备案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r>
        <w:tblPrEx>
          <w:tblCellMar>
            <w:top w:w="0" w:type="dxa"/>
            <w:left w:w="108" w:type="dxa"/>
            <w:bottom w:w="0" w:type="dxa"/>
            <w:right w:w="108" w:type="dxa"/>
          </w:tblCellMar>
        </w:tblPrEx>
        <w:trPr>
          <w:trHeight w:val="540" w:hRule="atLeast"/>
        </w:trPr>
        <w:tc>
          <w:tcPr>
            <w:tcW w:w="70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63</w:t>
            </w:r>
          </w:p>
        </w:tc>
        <w:tc>
          <w:tcPr>
            <w:tcW w:w="7228"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造价咨询合同备案</w:t>
            </w:r>
          </w:p>
        </w:tc>
        <w:tc>
          <w:tcPr>
            <w:tcW w:w="1163"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仿宋_GB2312" w:hAnsi="宋体" w:eastAsia="仿宋_GB2312" w:cs="Tahoma"/>
                <w:color w:val="000000"/>
                <w:kern w:val="0"/>
                <w:sz w:val="22"/>
              </w:rPr>
            </w:pPr>
            <w:r>
              <w:rPr>
                <w:rFonts w:hint="eastAsia" w:ascii="仿宋_GB2312" w:hAnsi="宋体" w:eastAsia="仿宋_GB2312" w:cs="Tahoma"/>
                <w:color w:val="000000"/>
                <w:kern w:val="0"/>
                <w:sz w:val="22"/>
              </w:rPr>
              <w:t>其他权力</w:t>
            </w:r>
          </w:p>
        </w:tc>
      </w:tr>
    </w:tbl>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40" w:lineRule="exact"/>
        <w:rPr>
          <w:rFonts w:hint="eastAsia" w:ascii="仿宋_GB2312" w:eastAsia="仿宋_GB2312"/>
          <w:sz w:val="32"/>
          <w:szCs w:val="32"/>
        </w:rPr>
      </w:pPr>
    </w:p>
    <w:p>
      <w:pPr>
        <w:spacing w:line="604" w:lineRule="exact"/>
        <w:rPr>
          <w:rFonts w:ascii="仿宋_GB2312" w:eastAsia="仿宋_GB2312"/>
          <w:color w:val="000000"/>
          <w:sz w:val="28"/>
          <w:szCs w:val="28"/>
        </w:rPr>
      </w:pPr>
      <w:r>
        <w:pict>
          <v:line id="_x0000_s2050" o:spid="_x0000_s2050" o:spt="20" style="position:absolute;left:0pt;margin-left:0pt;margin-top:0pt;height:0pt;width:441pt;z-index:251660288;mso-width-relative:page;mso-height-relative:page;" coordsize="21600,21600">
            <v:path arrowok="t"/>
            <v:fill focussize="0,0"/>
            <v:stroke weight="1pt"/>
            <v:imagedata o:title=""/>
            <o:lock v:ext="edit"/>
          </v:line>
        </w:pict>
      </w:r>
      <w:r>
        <w:rPr>
          <w:rFonts w:ascii="仿宋_GB2312" w:cs="仿宋_GB2312"/>
          <w:color w:val="000000"/>
          <w:sz w:val="28"/>
          <w:szCs w:val="28"/>
        </w:rPr>
        <w:t xml:space="preserve"> </w:t>
      </w:r>
      <w:r>
        <w:rPr>
          <w:rFonts w:hint="eastAsia" w:ascii="仿宋_GB2312" w:eastAsia="仿宋_GB2312" w:cs="仿宋_GB2312"/>
          <w:color w:val="000000"/>
          <w:sz w:val="28"/>
          <w:szCs w:val="28"/>
        </w:rPr>
        <w:t>抄送：区委各部门，区人大常委会办公室，区政协办公室，区监委，</w:t>
      </w:r>
    </w:p>
    <w:p>
      <w:pPr>
        <w:spacing w:line="604" w:lineRule="exact"/>
        <w:ind w:left="50" w:leftChars="25"/>
        <w:rPr>
          <w:rFonts w:ascii="仿宋_GB2312" w:eastAsia="仿宋_GB2312"/>
          <w:color w:val="000000"/>
          <w:sz w:val="28"/>
          <w:szCs w:val="28"/>
        </w:rPr>
      </w:pPr>
      <w:r>
        <w:rPr>
          <w:rFonts w:ascii="仿宋_GB2312" w:eastAsia="仿宋_GB2312" w:cs="仿宋_GB2312"/>
          <w:color w:val="000000"/>
          <w:sz w:val="28"/>
          <w:szCs w:val="28"/>
        </w:rPr>
        <w:t xml:space="preserve">       </w:t>
      </w:r>
      <w:r>
        <w:rPr>
          <w:rFonts w:hint="eastAsia" w:ascii="仿宋_GB2312" w:eastAsia="仿宋_GB2312" w:cs="仿宋_GB2312"/>
          <w:color w:val="000000"/>
          <w:sz w:val="28"/>
          <w:szCs w:val="28"/>
        </w:rPr>
        <w:t>区人武部，区法院，区检察院。</w:t>
      </w:r>
    </w:p>
    <w:p>
      <w:pPr>
        <w:spacing w:line="604" w:lineRule="exact"/>
        <w:ind w:firstLine="201" w:firstLineChars="100"/>
        <w:rPr>
          <w:rFonts w:ascii="仿宋_GB2312" w:eastAsia="仿宋_GB2312"/>
          <w:color w:val="000000"/>
          <w:sz w:val="28"/>
          <w:szCs w:val="28"/>
        </w:rPr>
      </w:pPr>
      <w:r>
        <w:pict>
          <v:line id="_x0000_s2052" o:spid="_x0000_s2052" o:spt="20" style="position:absolute;left:0pt;margin-left:0pt;margin-top:35pt;height:0pt;width:441pt;z-index:251662336;mso-width-relative:page;mso-height-relative:page;" coordsize="21600,21600">
            <v:path arrowok="t"/>
            <v:fill focussize="0,0"/>
            <v:stroke weight="1pt"/>
            <v:imagedata o:title=""/>
            <o:lock v:ext="edit"/>
          </v:line>
        </w:pict>
      </w:r>
      <w:r>
        <w:pict>
          <v:line id="_x0000_s2051" o:spid="_x0000_s2051" o:spt="20" style="position:absolute;left:0pt;margin-left:0pt;margin-top:2.9pt;height:0pt;width:441pt;z-index:251661312;mso-width-relative:page;mso-height-relative:page;" coordsize="21600,21600">
            <v:path arrowok="t"/>
            <v:fill focussize="0,0"/>
            <v:stroke/>
            <v:imagedata o:title=""/>
            <o:lock v:ext="edit"/>
          </v:line>
        </w:pict>
      </w:r>
      <w:r>
        <w:rPr>
          <w:rFonts w:hint="eastAsia" w:ascii="仿宋_GB2312" w:eastAsia="仿宋_GB2312" w:cs="仿宋_GB2312"/>
          <w:color w:val="000000"/>
          <w:sz w:val="28"/>
          <w:szCs w:val="28"/>
        </w:rPr>
        <w:t>济南市历城区人民政府办公室</w:t>
      </w:r>
      <w:r>
        <w:rPr>
          <w:rFonts w:ascii="仿宋_GB2312" w:eastAsia="仿宋_GB2312" w:cs="仿宋_GB2312"/>
          <w:color w:val="000000"/>
          <w:sz w:val="28"/>
          <w:szCs w:val="28"/>
        </w:rPr>
        <w:t xml:space="preserve">             20</w:t>
      </w:r>
      <w:r>
        <w:rPr>
          <w:rFonts w:hint="eastAsia" w:ascii="仿宋_GB2312" w:eastAsia="仿宋_GB2312" w:cs="仿宋_GB2312"/>
          <w:color w:val="000000"/>
          <w:sz w:val="28"/>
          <w:szCs w:val="28"/>
        </w:rPr>
        <w:t>20年9月9日印发</w:t>
      </w:r>
    </w:p>
    <w:sectPr>
      <w:footerReference r:id="rId3" w:type="default"/>
      <w:footerReference r:id="rId4" w:type="even"/>
      <w:pgSz w:w="11906" w:h="16838"/>
      <w:pgMar w:top="2098" w:right="1474" w:bottom="1985" w:left="1588" w:header="851" w:footer="992" w:gutter="0"/>
      <w:pgNumType w:fmt="numberInDash"/>
      <w:cols w:space="425" w:num="1"/>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文鼎CS楷體"/>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文鼎CS楷體"/>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文星标宋">
    <w:panose1 w:val="02010604000101010101"/>
    <w:charset w:val="86"/>
    <w:family w:val="auto"/>
    <w:pitch w:val="default"/>
    <w:sig w:usb0="00000001"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文鼎CS楷體">
    <w:panose1 w:val="0201060901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77483"/>
      <w:docPartObj>
        <w:docPartGallery w:val="AutoText"/>
      </w:docPartObj>
    </w:sdtPr>
    <w:sdtEndPr>
      <w:rPr>
        <w:rFonts w:hint="eastAsia" w:ascii="仿宋_GB2312" w:eastAsia="仿宋_GB2312"/>
        <w:sz w:val="28"/>
        <w:szCs w:val="28"/>
      </w:rPr>
    </w:sdtEndPr>
    <w:sdtContent>
      <w:p>
        <w:pPr>
          <w:pStyle w:val="2"/>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1 -</w:t>
        </w:r>
        <w:r>
          <w:rPr>
            <w:rFonts w:hint="eastAsia" w:ascii="仿宋_GB2312" w:eastAsia="仿宋_GB2312"/>
            <w:sz w:val="28"/>
            <w:szCs w:val="28"/>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77487"/>
      <w:docPartObj>
        <w:docPartGallery w:val="AutoText"/>
      </w:docPartObj>
    </w:sdtPr>
    <w:sdtEndPr>
      <w:rPr>
        <w:rFonts w:hint="eastAsia" w:ascii="仿宋_GB2312" w:eastAsia="仿宋_GB2312"/>
        <w:sz w:val="28"/>
        <w:szCs w:val="28"/>
      </w:rPr>
    </w:sdtEndPr>
    <w:sdtContent>
      <w:p>
        <w:pPr>
          <w:pStyle w:val="2"/>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2 -</w:t>
        </w:r>
        <w:r>
          <w:rPr>
            <w:rFonts w:hint="eastAsia" w:ascii="仿宋_GB2312" w:eastAsia="仿宋_GB2312"/>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201"/>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C384A"/>
    <w:rsid w:val="002D699E"/>
    <w:rsid w:val="00327BF5"/>
    <w:rsid w:val="004A59E9"/>
    <w:rsid w:val="00564D00"/>
    <w:rsid w:val="00622EF4"/>
    <w:rsid w:val="00642688"/>
    <w:rsid w:val="00674B61"/>
    <w:rsid w:val="006F0706"/>
    <w:rsid w:val="00841FA5"/>
    <w:rsid w:val="008615D8"/>
    <w:rsid w:val="00AC384A"/>
    <w:rsid w:val="00BF6930"/>
    <w:rsid w:val="00C244ED"/>
    <w:rsid w:val="00CD77EA"/>
    <w:rsid w:val="00D90922"/>
    <w:rsid w:val="00E836F3"/>
    <w:rsid w:val="00ED0046"/>
    <w:rsid w:val="00F05727"/>
    <w:rsid w:val="EBCFA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705</Words>
  <Characters>4025</Characters>
  <Lines>33</Lines>
  <Paragraphs>9</Paragraphs>
  <TotalTime>0</TotalTime>
  <ScaleCrop>false</ScaleCrop>
  <LinksUpToDate>false</LinksUpToDate>
  <CharactersWithSpaces>4721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2020-09-09T10:54:00Z</dcterms:created>
  <dc:creator>User</dc:creator>
  <cp:lastModifiedBy>jnak</cp:lastModifiedBy>
  <cp:lastPrinted>2020-09-08T16:26:00Z</cp:lastPrinted>
  <dcterms:modified xsi:type="dcterms:W3CDTF">2022-10-25T17:55:12Z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