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00" w:lineRule="exact"/>
        <w:ind w:left="0" w:right="0" w:firstLine="0"/>
        <w:jc w:val="center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/>
          <w:color w:val="000000"/>
          <w:spacing w:val="0"/>
          <w:position w:val="0"/>
          <w:sz w:val="36"/>
          <w:szCs w:val="36"/>
        </w:rPr>
        <w:t>历城区2019年统筹整合涉农资金实施项目规划明细表</w:t>
      </w:r>
    </w:p>
    <w:tbl>
      <w:tblPr>
        <w:tblStyle w:val="22"/>
        <w:tblpPr w:vertAnchor="text" w:tblpX="-19" w:tblpY="259"/>
        <w:tblW w:w="147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621"/>
        <w:gridCol w:w="797"/>
        <w:gridCol w:w="766"/>
        <w:gridCol w:w="1303"/>
        <w:gridCol w:w="1043"/>
        <w:gridCol w:w="742"/>
        <w:gridCol w:w="971"/>
        <w:gridCol w:w="980"/>
        <w:gridCol w:w="943"/>
        <w:gridCol w:w="737"/>
        <w:gridCol w:w="1310"/>
        <w:gridCol w:w="727"/>
        <w:gridCol w:w="1527"/>
        <w:gridCol w:w="406"/>
        <w:gridCol w:w="3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  <w:t>项目名称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  <w:t>实施部门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  <w:t>实施区域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  <w:t>项目规划建设内容</w:t>
            </w:r>
          </w:p>
        </w:tc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  <w:t>概算投资及资金来源（万元）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  <w:t>建设期限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  <w:t>总体目标</w:t>
            </w: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  <w:t>项目效益</w:t>
            </w:r>
          </w:p>
        </w:tc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  <w:t>部门保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  <w:t>障措施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00" w:lineRule="exact"/>
              <w:ind w:left="0" w:right="0" w:firstLine="0"/>
              <w:jc w:val="left"/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  <w:t>五大振兴</w:t>
            </w:r>
          </w:p>
        </w:tc>
        <w:tc>
          <w:tcPr>
            <w:tcW w:w="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  <w:t>合计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  <w:t>中央资金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w w:val="8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w w:val="80"/>
                <w:position w:val="0"/>
                <w:sz w:val="20"/>
                <w:szCs w:val="20"/>
              </w:rPr>
              <w:t>全因素切块资金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w w:val="8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w w:val="80"/>
                <w:position w:val="0"/>
                <w:sz w:val="20"/>
                <w:szCs w:val="20"/>
              </w:rPr>
              <w:t>特殊因素切块资金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  <w:t>区级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  <w:t>预算</w:t>
            </w: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  <w:t>总计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  <w:t xml:space="preserve">13741.0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  <w:t xml:space="preserve">0.00 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  <w:t xml:space="preserve">7617.8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  <w:t xml:space="preserve">2400.0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  <w:t xml:space="preserve">3723.2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left"/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黑体" w:hAnsi="黑体" w:eastAsia="黑体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1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6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生物防治、绿色防控、土壤修复与农业废弃物循环利用技术推广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6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区农业农村局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6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乡村振兴涉及街镇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500.00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335.00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165.00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385"/>
              <w:jc w:val="left"/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  <w:t>负责监督、指导、管理，成立专项工作领导小组，监督专款专用。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产业振兴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6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草莓集约化育苗育种、新品种对比立体栽培，种植资源库；质量安全标准化、物联网数据平台；新型经营主体贷款贴息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6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区农业农村局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6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乡村振兴涉及街镇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2500.00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2000.00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500.00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385"/>
              <w:jc w:val="left"/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  <w:t>负责监督、指导、管理，成立专项工作领导小组，监督专款专用。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产业振兴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6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一、二、三产业融合发展、产业链条打造、建设冷链仓储、农产品深加工，扶持种植、加工、林下经济、乡村旅游实施主体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6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-1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10"/>
                <w:position w:val="0"/>
                <w:sz w:val="20"/>
                <w:szCs w:val="20"/>
              </w:rPr>
              <w:t>区农业农村局、区园林和林业绿化局、区文化和旅游局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6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乡村振兴涉及街镇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2000.00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1336.73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663.27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385"/>
              <w:jc w:val="left"/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  <w:t>负责监督、指导、管理，成立专项工作领导小组，监督专款专用。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产业振兴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林下经济示范基地项目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区园林和林业绿化局、区文化和旅游局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港沟、彩石、董家街道、唐王镇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2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  <w:t>新型农业经营主体，林下经济基地面积达到一定规模，项目规划编制合理，辐射带动效益明显，符合以上条件，且验收合格的，可申报市级财政补助资金额度10-15万元每个。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530.00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30.00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500.00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2019年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2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-1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10"/>
                <w:position w:val="0"/>
                <w:sz w:val="20"/>
                <w:szCs w:val="20"/>
              </w:rPr>
              <w:t>林下养殖可以充分利用林下闲置土地，同时鸡鹅兼具除草和除虫的作用，可以节省人工费用，减少除虫农药对环境的污染，提高经济效益，还可三废循环利用，提高生态和社会效益。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409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按照《济南市林业和城乡绿化局关于申报2018年度林下经济示范基地项目的通知》（济林字58号）组织验收，验收合格后及时发放补助。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产业振兴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b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9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商品林保险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区园林和林业绿化局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港沟街道蟠龙村、唐王镇岳家寨村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2019年度，计划对港沟街道蟠龙村800亩核桃及唐王镇正庄农业30亩苹果、200亩梨进行投保，提高林农和林业企业抵御风险的能力。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7.83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7.83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2019年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6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对入保的商品林因自然灾害受到的损失，可向承保公司申报，获得赔付。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345"/>
              <w:jc w:val="left"/>
              <w:rPr>
                <w:rFonts w:hint="default" w:ascii="仿宋_GB2312" w:hAnsi="仿宋_GB2312" w:eastAsia="仿宋_GB2312"/>
                <w:color w:val="000000"/>
                <w:spacing w:val="-16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16"/>
                <w:position w:val="0"/>
                <w:sz w:val="20"/>
                <w:szCs w:val="20"/>
              </w:rPr>
              <w:t>通过公开招标，确定承保的保险公司，协助保险公司完成外业勘查、农户自筹保费收取等工作，保险期内，指导安全生产，提高防范意识，遇到自然灾害及时与林农和保险公司联系，督促按时赔付。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产业振兴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6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市级财政退耕还林还果项目资金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区园林和林业绿化局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彩石街道平房村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彩石街道平房村退耕还果花椒面积120.45亩，每亩补贴200元，连补三年，第三年补贴。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2.41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2.41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2019年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结合产业扶贫，实施好退耕还果工程，增加农民收入，助力贫困村脱贫。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345"/>
              <w:jc w:val="left"/>
              <w:rPr>
                <w:rFonts w:hint="default" w:ascii="仿宋_GB2312" w:hAnsi="仿宋_GB2312" w:eastAsia="仿宋_GB2312"/>
                <w:color w:val="000000"/>
                <w:spacing w:val="-16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16"/>
                <w:position w:val="0"/>
                <w:sz w:val="20"/>
                <w:szCs w:val="20"/>
              </w:rPr>
              <w:t>组织面积复核，确认无误后及时发放补助款。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产业振兴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b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产业振兴（小计）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5540.24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0.00 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3711.97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0.00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1828.2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b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7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2019年历城区森林生态修复与保护工程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区园林和林业绿化局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港沟、彩石街道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6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森林生态修复与保护3000亩，包括鱼鳞坑整地，常绿、阔叶树种栽植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300.00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300.00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2019年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森林生态修复与保护3000亩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385"/>
              <w:jc w:val="left"/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  <w:t>负责监督、指导、管理，成立专项工作领导小组，监督专款专用。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生态振兴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b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8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2019年历城区森林抚育工程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区园林和林业绿化局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港沟、彩石街道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6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完成森林抚育2000亩，主要中幼林抚育，措施为修枝、割灌除草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70.00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10.00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60.00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2019年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完成森林抚育2000亩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385"/>
              <w:jc w:val="left"/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  <w:t>负责监督、指导、管理，成立专项工作领导小组，监督专款专用。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生态振兴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b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9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山东省森林乡镇、森林村居创建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区园林和林业绿化局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全区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6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创建一个森林乡镇、两个森林村居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120.00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120.00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2019年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创建一个森林乡镇、两个森林村居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385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  <w:t>负责监督、指导、管理，成立专项工作领导小组，监督专款专用。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生态振兴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b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济南市美国白蛾等重大林业有害生物防治项目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区园林和林业绿化局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全区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繁育周氏啮小蜂20亿头，管氏肿腿蜂500万头，设立林业有害生物监测点10个，防治林业有害生物23万亩次。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115.00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115.00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2019年1月-10月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虫株率1%以下，叶片保存率90%以上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6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促进生态环境良好可持续，为历城生态文明建设保驾护航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345"/>
              <w:jc w:val="left"/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18"/>
                <w:szCs w:val="18"/>
              </w:rPr>
              <w:t>严格履行《森林法》《森林病虫害防治条例》《植物检疫条例》《野生动植物保护法》等法律法规规定的执法任务。承担全区林业有害生物监测预报、防治的指导管理，指导森林植物检疫；林业有害生物工程治理、实施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生态振兴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11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春季义务植树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6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区园林和林业绿化局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历城区卧牛山地质公园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共约2000人，栽植栾树、紫叶李、西府海棠、海棠、卫矛等各类苗木共约2000余株。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10.00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10.00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2019年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提高公众对义务植树法定性、全民性的认识，形成“植绿、护绿、爱绿”的生态礼貌意识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385"/>
              <w:jc w:val="left"/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  <w:t>负责监督、指导、管理，成立专项工作领导小组，监督专款专用。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生态振兴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3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12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村庄公厕、旅游厕所建设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6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区住房城乡建设局、区文化和旅游局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港沟、彩石、董家街道，唐王镇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  <w:t>农村公厕建设30个村、结合建设游客服务中心，完善旅游配套，按照国家A级旅游厕所创建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990.00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540.00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450.00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2019年12月底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提高村庄公厕和旅游厕所覆盖率，方便群众生活和出行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分布合理，管理有效，卫生环保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385"/>
              <w:jc w:val="left"/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  <w:t>区住房城乡建设局、区文化和旅游局会同相关街镇制定项目，组织实施。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生态振兴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13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水利发展、大中型水库移民扶持项目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区水务局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相关街镇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水土保持、水资源节约与保护，支持库区和移民安置区基础设施建设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408.00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408.00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区水务局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生态振兴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14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美丽乡村和齐鲁样板村创建项目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区农业农村局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美丽乡村建设涉及街镇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2400.00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2400.00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409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区农业农村局负责牵头此项工作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生态振兴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15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美丽村居试点项目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区住房城乡建设局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彩石东泉村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鲁派村居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700.00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700.00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2019年12月底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实现美丽村居示范作用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385"/>
              <w:jc w:val="left"/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  <w:t>成立专项工作领导小组，严格考核制度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生态振兴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16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危房改造项目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区住房城乡建设局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各街镇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危房改造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40.95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40.95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2018年底至2019年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危房改造覆盖核准农户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385"/>
              <w:jc w:val="left"/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  <w:t>成立专项工作领导小组，严格考核制度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生态振兴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17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四好农村公路项目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区交通运输局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相关街镇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改建道路3.7公里，农村道路维修养护县道44公里、乡道82公里、村道424公里。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244.80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244.80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改善群众出行安全、提升我区交通设施水平。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385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  <w:t>负责监督、指导、管理，成立专项工作领导小组，监督专款专用。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生态振兴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18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村庄街巷硬化路项目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区住房城乡建设局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董家街道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严格用于董家街道10个村街巷道路硬化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134.00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134.00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改善城子村、林家村、寇家村、荀于、时家、柿子园、甄家、刑家洼村、院后、城角巷村村居环境提升出行。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385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  <w:t>负责监督、指导、管理，成立专项工作领导小组，监督专款专用。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生态振兴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19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森林防火语音电子卡口项目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区园林和林业绿化局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华山、唐冶、港沟、彩石街道，国有黑峪林场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  <w:t>港沟、彩石街道各增建森林防火语音电子卡口30处，国有黑峪林场增建20处，唐冶、华山街道各增建10处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100.00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100.00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2019年7月1日至2020年6月30日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6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通过加大建设密度，发挥电子卡口在森林防火中的警示宣传、预防森林火灾作用。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加大预警和宣传，确保我区林区安全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385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  <w:t>帮助施工单位协调安装、调试等工作。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生态振兴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b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生态振兴（小计）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5632.75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0.00 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2612.7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2400.0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620.00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街镇图书馆总分馆建设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区文化和旅游局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港沟、彩石、董家街道、唐王镇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在4个街镇建设区图书馆分馆，充实样板村图书室，建设村史馆，挖掘村庄历史文化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120.00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b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b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20.00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100.00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2019年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满足群众阅读需求，提升群众素质能力，为乡村文化振兴提供保障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409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指导4个街镇完成分馆建设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文化振兴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实用人才引进及新型农民培训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区农业农村局等部门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乡村振兴涉及街镇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200.00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200.00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409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区农业农村局等部门负责监督、指导、管理，成立专项工作领导小组，监督专款专用。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人才振兴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22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村级组织运转经费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区委组织部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严格按照村级标准，保证村干部报酬及村级组织运转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858.00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858.00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385"/>
              <w:jc w:val="left"/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  <w:t>负责监督、指导、管理，成立专项工作领导小组，监督专款专用。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组织振兴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5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23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扶贫专项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区扶贫办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扶贫专项资金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1390.10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215.10 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righ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 xml:space="preserve">1175.0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exact"/>
              <w:ind w:left="0" w:right="0" w:firstLine="385"/>
              <w:jc w:val="left"/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-6"/>
                <w:position w:val="0"/>
                <w:sz w:val="20"/>
                <w:szCs w:val="20"/>
              </w:rPr>
              <w:t>负责监督、指导、管理，成立专项工作领导小组，监督专款专用。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center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0"/>
                <w:szCs w:val="20"/>
              </w:rPr>
              <w:t>扶贫专项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00" w:lineRule="exact"/>
              <w:ind w:left="0" w:right="0" w:firstLine="0"/>
              <w:jc w:val="left"/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/>
                <w:color w:val="000000"/>
                <w:spacing w:val="0"/>
                <w:position w:val="0"/>
                <w:sz w:val="22"/>
                <w:szCs w:val="22"/>
              </w:rPr>
              <w:t>　</w:t>
            </w: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-1133" w:right="-1427" w:firstLine="0"/>
        <w:jc w:val="both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spacing w:before="0" w:after="0" w:line="240" w:lineRule="auto"/>
        <w:ind w:left="0" w:firstLine="0"/>
        <w:jc w:val="both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sectPr>
      <w:footnotePr>
        <w:numFmt w:val="decimal"/>
      </w:footnotePr>
      <w:pgSz w:w="16838" w:h="11906" w:orient="landscape"/>
      <w:pgMar w:top="1440" w:right="1701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Wingdings">
    <w:altName w:val="文鼎CS楷體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CS楷體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맑은 고딕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800"/>
  <w:displayHorizontalDrawingGridEvery w:val="0"/>
  <w:displayVerticalDrawingGridEvery w:val="2"/>
  <w:noPunctuationKerning w:val="true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DEBE33AB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widowControl/>
      <w:wordWrap/>
      <w:autoSpaceDE/>
      <w:autoSpaceDN/>
      <w:jc w:val="both"/>
    </w:pPr>
    <w:rPr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83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2022-10-20T13:51:58Z</dcterms:created>
  <dc:creator>jnak</dc:creator>
  <cp:lastModifiedBy>jnak</cp:lastModifiedBy>
  <dcterms:modified xsi:type="dcterms:W3CDTF">2022-10-20T13:52:33Z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