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right"/>
      </w:pPr>
      <w:r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 xml:space="preserve">A </w:t>
      </w:r>
    </w:p>
    <w:p>
      <w:pPr>
        <w:keepNext w:val="0"/>
        <w:keepLines w:val="0"/>
        <w:widowControl/>
        <w:suppressLineNumbers w:val="0"/>
        <w:jc w:val="distribute"/>
        <w:rPr>
          <w:b/>
          <w:bCs w:val="0"/>
        </w:rPr>
      </w:pPr>
      <w:r>
        <w:rPr>
          <w:rFonts w:hint="eastAsia" w:ascii="宋体" w:hAnsi="宋体" w:cs="宋体"/>
          <w:b/>
          <w:color w:val="FF0000"/>
          <w:spacing w:val="-34"/>
          <w:w w:val="90"/>
          <w:position w:val="-6"/>
          <w:sz w:val="84"/>
          <w:szCs w:val="84"/>
        </w:rPr>
        <w:t>济南市历城区投资促进局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楷体"/>
          <w:sz w:val="5"/>
        </w:rPr>
        <mc:AlternateContent>
          <mc:Choice Requires="wpg">
            <w:drawing>
              <wp:inline distT="0" distB="0" distL="114300" distR="114300">
                <wp:extent cx="5410835" cy="31750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410835" cy="31750"/>
                          <a:chOff x="0" y="0"/>
                          <a:chExt cx="8521" cy="50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0" y="25"/>
                            <a:ext cx="8520" cy="0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.5pt;width:426.05pt;" coordsize="8521,50" o:gfxdata="UEsDBAoAAAAAAIdO4kAAAAAAAAAAAAAAAAAEAAAAZHJzL1BLAwQUAAAACACHTuJA8pOCXtQAAAAD&#10;AQAADwAAAGRycy9kb3ducmV2LnhtbE2PQUvDQBCF74L/YRnBm93dSqSk2ZRS1FMRbAXxNs1Ok9Ds&#10;bMhuk/bfu3rRy8DjPd77plhdXCdGGkLr2YCeKRDElbct1wY+9i8PCxAhIlvsPJOBKwVYlbc3BebW&#10;T/xO4y7WIpVwyNFAE2OfSxmqhhyGme+Jk3f0g8OY5FBLO+CUyl0n50o9SYctp4UGe9o0VJ12Z2fg&#10;dcJp/aifx+3puLl+7bO3z60mY+7vtFqCiHSJf2H4wU/oUCamgz+zDaIzkB6Jvzd5i2yuQRwMZApk&#10;Wcj/7OU3UEsDBBQAAAAIAIdO4kAcV/IEhwIAAF8FAAAOAAAAZHJzL2Uyb0RvYy54bWyllL1uFDEQ&#10;x3sk3sFyT/Y+uHBaZS9FLkkTQUTgASZe766Fv2T7bu96CipEj0QHFSUdBU8D4TEYezd3pwvFCbZY&#10;+WNm/J/fjH1yulKSLLnzwuiCDo8GlHDNTCl0XdDXry6eTCnxAXQJ0mhe0DX39HT2+NFJa3M+Mo2R&#10;JXcEg2ift7agTQg2zzLPGq7AHxnLNW5WxikIOHV1VjpoMbqS2WgwOM5a40rrDOPe4+q826R9RHdI&#10;QFNVgvG5YQvFdeiiOi4hYEq+EdbTWVJbVZyFF1XleSCyoJhpSH88BMe38Z/NTiCvHdhGsF4CHCJh&#10;LycFQuOhm1BzCEAWTjwIpQRzxpsqHDGjsi6RRASzGA722Fw6s7Aplzpva7uBjoXao/7PYdnz5bUj&#10;oizomBINCgt+9/3tzw/vyDiyaW2do8mlszf22nUJ4vDKsDeeaPPSINBhNMz2LeO83rqtKqeiO2ZM&#10;Vgn/eoOfrwJhuDh5OhxMxxNKGO6Nh88mfXlYgzV84MWa895vOhkNO6fOI4O8Oy6J2ohoLTas31L0&#10;/0fxpgHLU3F8RNRTRCE9xY/ffr3//PvHJ/zfff1CEqUoAW3P9LVLcH3ue6x/5TOadP15DwgTxb6N&#10;dBKZTZ6QW+fDJTeKxEFBpdBRGuSwvPIhlmdrEpe1uRBS4jrkUpO2oMdjREcY4H2u8B7hUFnsCa9r&#10;SkDW+FCw4FJEb6Qoo3d09q6+PZOOLAGv10X6UjPgzq5ZFDUH33R2aatLTImAb4kUqqDTQfy65YZD&#10;ea5LEtYW+1HjM0SjSMVLSiRHMXGU1AcQ8hBLzF/q1KX3yGMpbk25xrotrBN1s9PJqU/6nsZ7l/D1&#10;b0S82LvzZLV9F2d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PKTgl7UAAAAAwEAAA8AAAAAAAAA&#10;AQAgAAAAIgAAAGRycy9kb3ducmV2LnhtbFBLAQIUABQAAAAIAIdO4kAcV/IEhwIAAF8FAAAOAAAA&#10;AAAAAAEAIAAAACMBAABkcnMvZTJvRG9jLnhtbFBLBQYAAAAABgAGAFkBAAAcBgAAAAA=&#10;">
                <o:lock v:ext="edit" rotation="t" aspectratio="f"/>
                <v:line id="_x0000_s1026" o:spid="_x0000_s1026" o:spt="20" style="position:absolute;left:0;top:25;height:0;width:8520;" filled="f" stroked="t" coordsize="21600,21600" o:gfxdata="UEsDBAoAAAAAAIdO4kAAAAAAAAAAAAAAAAAEAAAAZHJzL1BLAwQUAAAACACHTuJAMPQT+LwAAADa&#10;AAAADwAAAGRycy9kb3ducmV2LnhtbEWPQWsCMRCF70L/Q5hCb5rVg8rW6KFQqCBYVw89Dptxs7qZ&#10;bJO4u/33jSB4Gob33jdvVpvBNqIjH2rHCqaTDARx6XTNlYLT8XO8BBEissbGMSn4owCb9ctohbl2&#10;PR+oK2IlEoRDjgpMjG0uZSgNWQwT1xIn7ey8xZhWX0ntsU9w28hZls2lxZrTBYMtfRgqr8XNJgov&#10;fs9D43++9zuzLPoLbbsFKfX2Os3eQUQa4tP8SH/pVB/ur9ynX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0E/i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  </w:t>
      </w:r>
      <w:bookmarkStart w:id="0" w:name="_GoBack"/>
      <w:bookmarkEnd w:id="0"/>
    </w:p>
    <w:p>
      <w:pPr>
        <w:pStyle w:val="2"/>
        <w:rPr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对区政协十届一次会议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第101135号提案的答复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>任玉琴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委员：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您提出的关于“关于新形势下加强我区招商引资工作的建议”的提案收悉，现答复如下：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区投资促进局在区委、区政府的坚强领导下，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深入贯彻落实区委区政府“4433”工作体系要求，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克服新冠疫情等外部环境不利影响，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有效提升招商引资水平，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创新招商引资方式，聚焦全区重点产业，开展精准招商，抓引进、抓落地、抓服务，努力担当作为，招商引资工作高质量发展取得新成效。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一、建设高素质专业招商队伍。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提案第一条建议，投促局加强招商工作力量，按照专业化、市场化、国际化原则，强力打造一支作风过硬、熟悉产业政策、懂得谈判技巧的专业化招商队伍。调整优化区投资促进局、区投资促进服务中心内设机构，按产业分类优化科室设置，突出主责主业。加强区级平台公司专业招商队伍建设，在园区建设、产业招商、基金招商上重点发力，提升专业化招商水平。街道配备专业招商人员，着力做好企业落地服务，提升服务招商能力。采用市场化方式选聘一批专业人才，充实到专业招商团队。精准设置驻外机构人员，选派优秀年轻干部驻外工作，开展驻点招商、专业招商。建立健全培训机制，加强专业培训、跟班学习，强化产业政策研究，不断提高招商干部的综合素养和业务能力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Cs/>
          <w:sz w:val="28"/>
          <w:szCs w:val="28"/>
        </w:rPr>
        <w:t>建立城市招商合伙人制度。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针对提案第二条建议，区投促局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建立“投促+”联动招商体系，强化中介招商、以商招商。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建立“投促+”联动招商体系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由区投促局牵头，联合临港经济开发区和区自贸办2个功能主体、3个区属平台公司、14个街道建立“1+2+3+14”的“投促+”招商引资工作体系，通过密切联系、高效协同，形成资源共享、协同联动的招商引资工作格局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建立招商项目跨区域流转和利益分享机制。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鼓励各街道各园区突出主导、错位发展，广泛开展合作招商、互推项目，实现信息共享、优势互补、合理避让、有序竞争。建立和完善招商引资项目信息共享管理平台，实行共享项目备案制，统筹协调整合全区招商资源，实现招商项目的最优配置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开展资本招商。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探索基金招商和资本招商新模式，利用金融平台，发挥好产业引导基金对项目落地的促进作用。打造“基金+项目+园区”一体化投资模式，在全国范围内挖掘优质项目，塑造历城资本招商“金名片”。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创新“云端”招商。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利用以往作为辅助手段的线上办公形式，摁下“不见面招商”快进键，将招商政策、招商项目、招商载体、招商地图搬上云端、3D呈现，让广大客商足不出户就能了解历城区的最新投资环境。积极运用大数据精准推送、对接，探索智能招商，不断提高招商的质量和竞争力。运用新媒体、新形式塑造招商品牌。以“投资历城”微信公众号为载体，宣传招商政策，适时全方位发布报导全区招商工作动态，提升招商工作知名度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深化以商招商。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聚焦区内现有龙头企业，提升服务、拓展市场、完善生态，吸引上下游企业集聚，充分发挥现有企业人脉资源优势，实现以商招商。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强化中介招商。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深化与与国际知名中介、投资机构合作，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邀请第三方专业机构参与制定我区产业发展规划、产业政策，提供有特色的专业化服务，建设现代化的产业聚集区。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三、抓重点优势产业，开展精准招商。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针对提案第三条建议，投促局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对标全市“十大千亿产业”，深入贯彻落实区委区政府“4433”工作体系要求，立足历城区产业基础和未来发展方向，聚焦发展数字经济、生物医药、贸易物流和新兴服务业，</w:t>
      </w:r>
      <w:r>
        <w:rPr>
          <w:rFonts w:hint="eastAsia" w:ascii="楷体_GB2312" w:eastAsia="楷体_GB2312"/>
          <w:sz w:val="28"/>
          <w:szCs w:val="28"/>
        </w:rPr>
        <w:t>开展</w:t>
      </w:r>
      <w:r>
        <w:rPr>
          <w:rFonts w:hint="eastAsia" w:ascii="楷体_GB2312" w:hAnsi="仿宋_GB2312" w:eastAsia="楷体_GB2312" w:cs="仿宋_GB2312"/>
          <w:bCs/>
          <w:sz w:val="28"/>
          <w:szCs w:val="28"/>
        </w:rPr>
        <w:t>精准招商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围绕数字经济，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依托超算中心等平台载体，以传感器产业为突破口，加快培育微电子产业集群，积极构建“超算数字经济创新圈”。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围绕生物医药，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充分发挥齐鲁制药、宏济堂等骨干企业带动作用，推动上下游企业集聚发展，构筑生物医药产业隆起带。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围绕贸易物流，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抢抓济南市“四港三区”规划编制实施的有利契机，推动国际内陆港、小清河码头、国铁货运中心、自贸试验区等平台载体串珠成链，打造区域性综合贸易枢纽。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围绕新兴服务业，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聚焦“科技服务、现代金融、文化旅游、新型消费”等重点领域，努力提升服务业规模、层次和能级。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围绕外资引进，</w:t>
      </w:r>
      <w:r>
        <w:rPr>
          <w:rFonts w:hint="eastAsia" w:ascii="仿宋_GB2312" w:hAnsi="仿宋_GB2312" w:eastAsia="仿宋_GB2312" w:cs="仿宋_GB2312"/>
          <w:sz w:val="32"/>
          <w:szCs w:val="32"/>
        </w:rPr>
        <w:t>聚焦外资结构短板，加大日韩资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、欧美资及制造业外资</w:t>
      </w:r>
      <w:r>
        <w:rPr>
          <w:rFonts w:hint="eastAsia" w:ascii="仿宋_GB2312" w:hAnsi="仿宋_GB2312" w:eastAsia="仿宋_GB2312" w:cs="仿宋_GB2312"/>
          <w:sz w:val="32"/>
          <w:szCs w:val="32"/>
        </w:rPr>
        <w:t>招引力度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发挥省会城市区位优势，引进国内外知名流通品牌和大型商贸流通企业，吸引外资投向数字经济、生物医药、物流贸易、新兴服务业等产业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强化服务意识，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强化招商引资效能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针对提案第四条建议，投促局科学的制定了招商引资项目评估体系和项目专题会会议制度。新签订招商引资协议或合同需明确项目亩均投资强度、单位面积产值、容积率等具体指标。加强项目落地后续服务、跟踪问效和督查考核，以项目建设实际投入资金统计招商引资指标数据，对重大签约项目实行全程跟踪服务，提高项目履约率、入园率、开工率和投产率。突出引进市外投资、实际使用外资、纳税额等招商引资重点指标纳统，注重招商引资实效。安排专职招商人员，为重点项目在工商注册、立项手续办理等方面，提供全程服务，努力打造亲商、爱商、安商、富商的营商环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济南市历城区投资促进局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2022年5月12日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联系人及电话：胡霞66899116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sz w:val="32"/>
          <w:szCs w:val="32"/>
        </w:rPr>
        <w:t>抄送</w:t>
      </w:r>
      <w:r>
        <w:rPr>
          <w:rFonts w:ascii="仿宋" w:hAnsi="仿宋" w:eastAsia="仿宋" w:cs="仿宋"/>
          <w:spacing w:val="-15"/>
          <w:sz w:val="32"/>
          <w:szCs w:val="32"/>
        </w:rPr>
        <w:t>：</w:t>
      </w:r>
      <w:r>
        <w:rPr>
          <w:rFonts w:ascii="仿宋" w:hAnsi="仿宋" w:eastAsia="仿宋" w:cs="仿宋"/>
          <w:sz w:val="32"/>
          <w:szCs w:val="32"/>
        </w:rPr>
        <w:t>区政协提案委员会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YmIyNGU2ZTFhMGM0YmI0ZTUzNWFjYmNmZWRiZjEifQ=="/>
  </w:docVars>
  <w:rsids>
    <w:rsidRoot w:val="250B44C7"/>
    <w:rsid w:val="03A87341"/>
    <w:rsid w:val="112278CE"/>
    <w:rsid w:val="11317C5C"/>
    <w:rsid w:val="13E66DE3"/>
    <w:rsid w:val="1494755A"/>
    <w:rsid w:val="16A72745"/>
    <w:rsid w:val="20F878BD"/>
    <w:rsid w:val="250B44C7"/>
    <w:rsid w:val="28AB36CD"/>
    <w:rsid w:val="33334619"/>
    <w:rsid w:val="37F648F2"/>
    <w:rsid w:val="41EF2605"/>
    <w:rsid w:val="42E77E0E"/>
    <w:rsid w:val="447E2A93"/>
    <w:rsid w:val="4948576D"/>
    <w:rsid w:val="4D72413A"/>
    <w:rsid w:val="55E42A61"/>
    <w:rsid w:val="577318FE"/>
    <w:rsid w:val="5B2E43DF"/>
    <w:rsid w:val="5B7C32E5"/>
    <w:rsid w:val="5D9E21A4"/>
    <w:rsid w:val="687D18E9"/>
    <w:rsid w:val="79C152E2"/>
    <w:rsid w:val="7B800D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2"/>
    <w:next w:val="1"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paragraph" w:styleId="9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2026</Words>
  <Characters>2057</Characters>
  <Lines>0</Lines>
  <Paragraphs>0</Paragraphs>
  <TotalTime>0</TotalTime>
  <ScaleCrop>false</ScaleCrop>
  <LinksUpToDate>false</LinksUpToDate>
  <CharactersWithSpaces>2117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2021-03-17T07:11:00Z</dcterms:created>
  <dc:creator>Administrator</dc:creator>
  <cp:lastModifiedBy>木文争</cp:lastModifiedBy>
  <cp:lastPrinted>2022-06-14T01:19:00Z</cp:lastPrinted>
  <dcterms:modified xsi:type="dcterms:W3CDTF">2022-07-07T02:52:33Z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7320A0CFF88D40D18BF772316CA8638D</vt:lpwstr>
  </property>
</Properties>
</file>