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36"/>
          <w:szCs w:val="36"/>
        </w:rPr>
      </w:pPr>
      <w:bookmarkStart w:id="0" w:name="_Hlk94363940"/>
      <w:bookmarkEnd w:id="0"/>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济南市历城区人民政府</w:t>
      </w:r>
    </w:p>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方正小标宋简体" w:hAnsi="方正小标宋简体" w:eastAsia="方正小标宋简体" w:cs="方正小标宋简体"/>
          <w:sz w:val="44"/>
          <w:szCs w:val="44"/>
        </w:rPr>
      </w:pPr>
      <w:bookmarkStart w:id="1" w:name="_GoBack"/>
      <w:bookmarkEnd w:id="1"/>
      <w:r>
        <w:rPr>
          <w:rFonts w:hint="eastAsia" w:ascii="方正小标宋简体" w:hAnsi="方正小标宋简体" w:eastAsia="方正小标宋简体" w:cs="方正小标宋简体"/>
          <w:sz w:val="44"/>
          <w:szCs w:val="44"/>
        </w:rPr>
        <w:t>2021年度政府信息公开工作年度报告</w:t>
      </w:r>
    </w:p>
    <w:p>
      <w:pPr>
        <w:rPr>
          <w:rFonts w:hint="eastAsia" w:ascii="仿宋" w:hAnsi="仿宋" w:eastAsia="仿宋" w:cs="仿宋"/>
          <w:sz w:val="32"/>
          <w:szCs w:val="32"/>
        </w:rPr>
      </w:pP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中华人民共和国政府信息公开条例》（国务院令第711号，以下简称《条例》）的要求，特向社会公布2021年度本级政府信息公开年度报告。本报告包括：总体情况；行政机关主动公开政府信息情况；行政机关收到和处理政府信息公开申请情况；因政府信息公开工作被申请行政复议、提起行政诉讼情况；政府信息公开工作存在的主要问题及改进情况；其他需要报告的事项共六个部分组成。本报告中所列数据的统计期限自2021年1月1日起至2021年12月31日止。本报告可在历城区政府门户网站（www.licheng.gov.cn）查看和下载。如对本报告有任何疑问，请与济南市历城区人民政府办公室联系（地址：济南市历城区山大北路47号；邮编：250100；电话：0531-88023751；电子邮箱：jnslcqzfbgszwgk@jn.shandong.cn）。</w:t>
      </w:r>
    </w:p>
    <w:p>
      <w:pPr>
        <w:ind w:firstLine="640" w:firstLineChars="200"/>
        <w:rPr>
          <w:rFonts w:hint="eastAsia" w:ascii="黑体" w:hAnsi="黑体" w:eastAsia="黑体" w:cs="黑体"/>
          <w:sz w:val="32"/>
          <w:szCs w:val="32"/>
        </w:rPr>
      </w:pPr>
      <w:r>
        <w:rPr>
          <w:rFonts w:hint="eastAsia" w:ascii="黑体" w:hAnsi="黑体" w:eastAsia="黑体" w:cs="黑体"/>
          <w:sz w:val="32"/>
          <w:szCs w:val="32"/>
        </w:rPr>
        <w:t>一、总体情况</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lang w:val="en-US" w:eastAsia="zh-CN"/>
        </w:rPr>
        <w:t>2021年，</w:t>
      </w:r>
      <w:r>
        <w:rPr>
          <w:rFonts w:hint="eastAsia" w:ascii="仿宋" w:hAnsi="仿宋" w:eastAsia="仿宋" w:cs="仿宋"/>
          <w:sz w:val="32"/>
          <w:szCs w:val="32"/>
        </w:rPr>
        <w:t>历城区坚持以保障人民群众知情权、参与权、监督权为切入点，以打造阳光政府、法治政府、服务政府为出发点，以实现行政权力全过程公开、公共服务全流程公开、社会关切全方位回应为落脚点，全面推动政务公开制度化、标准化、规范化，政务公开工作不断取得新进步。</w:t>
      </w:r>
    </w:p>
    <w:p>
      <w:pPr>
        <w:numPr>
          <w:ilvl w:val="0"/>
          <w:numId w:val="1"/>
        </w:numPr>
        <w:ind w:firstLine="640" w:firstLineChars="200"/>
        <w:rPr>
          <w:rFonts w:hint="eastAsia" w:ascii="仿宋" w:hAnsi="仿宋" w:eastAsia="仿宋" w:cs="仿宋"/>
          <w:sz w:val="32"/>
          <w:szCs w:val="32"/>
        </w:rPr>
      </w:pPr>
      <w:r>
        <w:rPr>
          <w:rFonts w:hint="eastAsia" w:ascii="楷体_GB2312" w:hAnsi="楷体_GB2312" w:eastAsia="楷体_GB2312" w:cs="楷体_GB2312"/>
          <w:sz w:val="32"/>
          <w:szCs w:val="32"/>
          <w:lang w:eastAsia="zh-CN"/>
        </w:rPr>
        <w:t>加大政府信息</w:t>
      </w:r>
      <w:r>
        <w:rPr>
          <w:rFonts w:hint="eastAsia" w:ascii="楷体_GB2312" w:hAnsi="楷体_GB2312" w:eastAsia="楷体_GB2312" w:cs="楷体_GB2312"/>
          <w:sz w:val="32"/>
          <w:szCs w:val="32"/>
        </w:rPr>
        <w:t>主动公开</w:t>
      </w:r>
      <w:r>
        <w:rPr>
          <w:rFonts w:hint="eastAsia" w:ascii="楷体_GB2312" w:hAnsi="楷体_GB2312" w:eastAsia="楷体_GB2312" w:cs="楷体_GB2312"/>
          <w:sz w:val="32"/>
          <w:szCs w:val="32"/>
          <w:lang w:eastAsia="zh-CN"/>
        </w:rPr>
        <w:t>力度</w:t>
      </w:r>
      <w:r>
        <w:rPr>
          <w:rFonts w:hint="eastAsia" w:ascii="楷体_GB2312" w:hAnsi="楷体_GB2312" w:eastAsia="楷体_GB2312" w:cs="楷体_GB2312"/>
          <w:sz w:val="32"/>
          <w:szCs w:val="32"/>
        </w:rPr>
        <w:t>。</w:t>
      </w:r>
      <w:r>
        <w:rPr>
          <w:rFonts w:hint="eastAsia" w:ascii="仿宋" w:hAnsi="仿宋" w:eastAsia="仿宋" w:cs="仿宋"/>
          <w:sz w:val="32"/>
          <w:szCs w:val="32"/>
          <w:lang w:eastAsia="zh-CN"/>
        </w:rPr>
        <w:t>紧贴公众关切，严格落实“五公开”要求，加强重点领域信息公开，多形式开展政策解读，通过意见征集、政民互动、组织开放日等形式，提高公众参与度。不断深化</w:t>
      </w:r>
      <w:r>
        <w:rPr>
          <w:rFonts w:hint="eastAsia" w:ascii="仿宋" w:hAnsi="仿宋" w:eastAsia="仿宋" w:cs="仿宋"/>
          <w:sz w:val="32"/>
          <w:szCs w:val="32"/>
        </w:rPr>
        <w:t>基层政务公开</w:t>
      </w:r>
      <w:r>
        <w:rPr>
          <w:rFonts w:hint="eastAsia" w:ascii="仿宋" w:hAnsi="仿宋" w:eastAsia="仿宋" w:cs="仿宋"/>
          <w:sz w:val="32"/>
          <w:szCs w:val="32"/>
          <w:lang w:eastAsia="zh-CN"/>
        </w:rPr>
        <w:t>，促进信息发布更加完善。通过政府网站公开</w:t>
      </w:r>
      <w:r>
        <w:rPr>
          <w:rFonts w:hint="eastAsia" w:ascii="仿宋" w:hAnsi="仿宋" w:eastAsia="仿宋" w:cs="仿宋"/>
          <w:sz w:val="32"/>
          <w:szCs w:val="32"/>
        </w:rPr>
        <w:t>发布各类信息14534条，包括概况类信息63条，政务动态信息4620条，信息公开目录信息9851条。</w:t>
      </w:r>
    </w:p>
    <w:p>
      <w:pPr>
        <w:numPr>
          <w:ilvl w:val="0"/>
          <w:numId w:val="0"/>
        </w:num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3040" cy="4319905"/>
            <wp:effectExtent l="0" t="0" r="0" b="8255"/>
            <wp:docPr id="2" name="图片 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true"/>
                    </pic:cNvPicPr>
                  </pic:nvPicPr>
                  <pic:blipFill>
                    <a:blip r:embed="rId4"/>
                    <a:stretch>
                      <a:fillRect/>
                    </a:stretch>
                  </pic:blipFill>
                  <pic:spPr>
                    <a:xfrm>
                      <a:off x="0" y="0"/>
                      <a:ext cx="5273040" cy="4319905"/>
                    </a:xfrm>
                    <a:prstGeom prst="rect">
                      <a:avLst/>
                    </a:prstGeom>
                  </pic:spPr>
                </pic:pic>
              </a:graphicData>
            </a:graphic>
          </wp:inline>
        </w:drawing>
      </w:r>
    </w:p>
    <w:p>
      <w:pPr>
        <w:spacing w:line="604" w:lineRule="exact"/>
        <w:jc w:val="center"/>
        <w:rPr>
          <w:rFonts w:hint="eastAsia" w:ascii="仿宋" w:hAnsi="仿宋" w:eastAsia="仿宋" w:cs="仿宋"/>
          <w:sz w:val="32"/>
          <w:szCs w:val="32"/>
          <w:lang w:eastAsia="zh-CN"/>
        </w:rPr>
      </w:pPr>
      <w:r>
        <w:rPr>
          <w:rFonts w:hint="eastAsia" w:ascii="楷体_GB2312" w:eastAsia="楷体_GB2312"/>
          <w:color w:val="000000" w:themeColor="text1"/>
          <w:sz w:val="30"/>
          <w:szCs w:val="30"/>
          <w14:textFill>
            <w14:solidFill>
              <w14:schemeClr w14:val="tx1"/>
            </w14:solidFill>
          </w14:textFill>
        </w:rPr>
        <w:t>（重点领域信息公开）</w:t>
      </w:r>
    </w:p>
    <w:p>
      <w:pPr>
        <w:pStyle w:val="4"/>
        <w:numPr>
          <w:ilvl w:val="0"/>
          <w:numId w:val="1"/>
        </w:numPr>
        <w:spacing w:before="0" w:beforeAutospacing="0" w:after="0" w:afterAutospacing="0"/>
        <w:ind w:left="0" w:leftChars="0" w:firstLine="640" w:firstLineChars="200"/>
        <w:rPr>
          <w:rFonts w:hint="eastAsia" w:ascii="仿宋_GB2312" w:eastAsia="仿宋_GB2312" w:hAnsiTheme="minorHAnsi" w:cstheme="minorBidi"/>
          <w:color w:val="000000" w:themeColor="text1"/>
          <w:kern w:val="2"/>
          <w:sz w:val="32"/>
          <w:szCs w:val="32"/>
          <w:lang w:eastAsia="zh-CN"/>
          <w14:textFill>
            <w14:solidFill>
              <w14:schemeClr w14:val="tx1"/>
            </w14:solidFill>
          </w14:textFill>
        </w:rPr>
      </w:pPr>
      <w:r>
        <w:rPr>
          <w:rFonts w:hint="eastAsia" w:ascii="楷体_GB2312" w:hAnsi="楷体_GB2312" w:eastAsia="楷体_GB2312" w:cs="楷体_GB2312"/>
          <w:sz w:val="32"/>
          <w:szCs w:val="32"/>
          <w:lang w:eastAsia="zh-CN"/>
        </w:rPr>
        <w:t>推动政府信息</w:t>
      </w:r>
      <w:r>
        <w:rPr>
          <w:rFonts w:hint="eastAsia" w:ascii="楷体_GB2312" w:hAnsi="楷体_GB2312" w:eastAsia="楷体_GB2312" w:cs="楷体_GB2312"/>
          <w:sz w:val="32"/>
          <w:szCs w:val="32"/>
        </w:rPr>
        <w:t>依申请公开提质增效</w:t>
      </w:r>
      <w:r>
        <w:rPr>
          <w:rFonts w:hint="eastAsia" w:ascii="楷体_GB2312" w:hAnsi="楷体_GB2312" w:eastAsia="楷体_GB2312" w:cs="楷体_GB2312"/>
          <w:sz w:val="32"/>
          <w:szCs w:val="32"/>
          <w:lang w:eastAsia="zh-CN"/>
        </w:rPr>
        <w:t>。</w:t>
      </w:r>
      <w:r>
        <w:rPr>
          <w:rFonts w:hint="eastAsia" w:ascii="仿宋" w:hAnsi="仿宋" w:eastAsia="仿宋" w:cs="仿宋"/>
          <w:sz w:val="32"/>
          <w:szCs w:val="32"/>
        </w:rPr>
        <w:t>持续做好依申请公开件“全生命周期”管理，严格各处理环节要求和时限，确保回复程序合法、内容规范。2021年，</w:t>
      </w:r>
      <w:r>
        <w:rPr>
          <w:rFonts w:hint="eastAsia" w:ascii="仿宋" w:hAnsi="仿宋" w:eastAsia="仿宋" w:cs="仿宋"/>
          <w:sz w:val="32"/>
          <w:szCs w:val="32"/>
          <w:lang w:eastAsia="zh-CN"/>
        </w:rPr>
        <w:t>全区</w:t>
      </w:r>
      <w:r>
        <w:rPr>
          <w:rFonts w:hint="eastAsia" w:ascii="仿宋" w:hAnsi="仿宋" w:eastAsia="仿宋" w:cs="仿宋"/>
          <w:sz w:val="32"/>
          <w:szCs w:val="32"/>
        </w:rPr>
        <w:t>共收到政府信息公开申请282件，同比增加2.9%（2020年274件）</w:t>
      </w:r>
      <w:r>
        <w:rPr>
          <w:rFonts w:hint="eastAsia" w:ascii="仿宋" w:hAnsi="仿宋" w:eastAsia="仿宋" w:cs="仿宋"/>
          <w:sz w:val="32"/>
          <w:szCs w:val="32"/>
          <w:lang w:eastAsia="zh-CN"/>
        </w:rPr>
        <w:t>，</w:t>
      </w:r>
      <w:r>
        <w:rPr>
          <w:rFonts w:hint="eastAsia" w:ascii="仿宋_GB2312" w:eastAsia="仿宋_GB2312" w:hAnsiTheme="minorHAnsi" w:cstheme="minorBidi"/>
          <w:color w:val="000000" w:themeColor="text1"/>
          <w:kern w:val="2"/>
          <w:sz w:val="32"/>
          <w:szCs w:val="32"/>
          <w14:textFill>
            <w14:solidFill>
              <w14:schemeClr w14:val="tx1"/>
            </w14:solidFill>
          </w14:textFill>
        </w:rPr>
        <w:t>内容主要涉及征地拆迁、安置补偿、社会保障等方面</w:t>
      </w:r>
      <w:r>
        <w:rPr>
          <w:rFonts w:hint="eastAsia" w:ascii="仿宋" w:hAnsi="仿宋" w:eastAsia="仿宋" w:cs="仿宋"/>
          <w:sz w:val="32"/>
          <w:szCs w:val="32"/>
        </w:rPr>
        <w:t>；处理2020年结转</w:t>
      </w:r>
      <w:r>
        <w:rPr>
          <w:rFonts w:hint="eastAsia" w:ascii="仿宋" w:hAnsi="仿宋" w:eastAsia="仿宋" w:cs="仿宋"/>
          <w:sz w:val="32"/>
          <w:szCs w:val="32"/>
          <w:lang w:eastAsia="zh-CN"/>
        </w:rPr>
        <w:t>申请</w:t>
      </w:r>
      <w:r>
        <w:rPr>
          <w:rFonts w:hint="eastAsia" w:ascii="仿宋" w:hAnsi="仿宋" w:eastAsia="仿宋" w:cs="仿宋"/>
          <w:sz w:val="32"/>
          <w:szCs w:val="32"/>
        </w:rPr>
        <w:t>3件。</w:t>
      </w:r>
      <w:r>
        <w:rPr>
          <w:rFonts w:hint="eastAsia" w:ascii="仿宋_GB2312" w:eastAsia="仿宋_GB2312" w:hAnsiTheme="minorHAnsi" w:cstheme="minorBidi"/>
          <w:kern w:val="2"/>
          <w:sz w:val="32"/>
          <w:szCs w:val="32"/>
        </w:rPr>
        <w:t>答复申请279件，结转下年度继续办理申请6件。</w:t>
      </w:r>
      <w:r>
        <w:rPr>
          <w:rFonts w:hint="eastAsia" w:ascii="仿宋_GB2312" w:eastAsia="仿宋_GB2312" w:hAnsiTheme="minorHAnsi" w:cstheme="minorBidi"/>
          <w:kern w:val="2"/>
          <w:sz w:val="32"/>
          <w:szCs w:val="32"/>
          <w:lang w:eastAsia="zh-CN"/>
        </w:rPr>
        <w:t>年度内</w:t>
      </w:r>
      <w:r>
        <w:rPr>
          <w:rFonts w:hint="eastAsia" w:ascii="仿宋_GB2312" w:eastAsia="仿宋_GB2312" w:hAnsiTheme="minorHAnsi" w:cstheme="minorBidi"/>
          <w:color w:val="000000" w:themeColor="text1"/>
          <w:kern w:val="2"/>
          <w:sz w:val="32"/>
          <w:szCs w:val="32"/>
          <w14:textFill>
            <w14:solidFill>
              <w14:schemeClr w14:val="tx1"/>
            </w14:solidFill>
          </w14:textFill>
        </w:rPr>
        <w:t>收取信息处理费230元，无减免情况。</w:t>
      </w:r>
      <w:r>
        <w:rPr>
          <w:rFonts w:hint="eastAsia" w:ascii="仿宋_GB2312" w:eastAsia="仿宋_GB2312" w:hAnsiTheme="minorHAnsi" w:cstheme="minorBidi"/>
          <w:color w:val="000000" w:themeColor="text1"/>
          <w:kern w:val="2"/>
          <w:sz w:val="32"/>
          <w:szCs w:val="32"/>
          <w:lang w:eastAsia="zh-CN"/>
          <w14:textFill>
            <w14:solidFill>
              <w14:schemeClr w14:val="tx1"/>
            </w14:solidFill>
          </w14:textFill>
        </w:rPr>
        <w:t>全</w:t>
      </w:r>
      <w:r>
        <w:rPr>
          <w:rFonts w:hint="eastAsia" w:ascii="仿宋_GB2312" w:eastAsia="仿宋_GB2312" w:hAnsiTheme="minorHAnsi" w:cstheme="minorBidi"/>
          <w:color w:val="000000" w:themeColor="text1"/>
          <w:kern w:val="2"/>
          <w:sz w:val="32"/>
          <w:szCs w:val="32"/>
          <w14:textFill>
            <w14:solidFill>
              <w14:schemeClr w14:val="tx1"/>
            </w14:solidFill>
          </w14:textFill>
        </w:rPr>
        <w:t>区因政府信息公开引起行政复议33件，结果维持8件、结果纠正16件、其他结果6件、尚未审结3件</w:t>
      </w:r>
      <w:r>
        <w:rPr>
          <w:rFonts w:hint="eastAsia" w:ascii="仿宋_GB2312" w:eastAsia="仿宋_GB2312" w:hAnsiTheme="minorHAnsi" w:cstheme="minorBidi"/>
          <w:color w:val="000000" w:themeColor="text1"/>
          <w:kern w:val="2"/>
          <w:sz w:val="32"/>
          <w:szCs w:val="32"/>
          <w:lang w:eastAsia="zh-CN"/>
          <w14:textFill>
            <w14:solidFill>
              <w14:schemeClr w14:val="tx1"/>
            </w14:solidFill>
          </w14:textFill>
        </w:rPr>
        <w:t>；</w:t>
      </w:r>
      <w:r>
        <w:rPr>
          <w:rFonts w:hint="eastAsia" w:ascii="仿宋_GB2312" w:eastAsia="仿宋_GB2312" w:hAnsiTheme="minorHAnsi" w:cstheme="minorBidi"/>
          <w:color w:val="000000" w:themeColor="text1"/>
          <w:kern w:val="2"/>
          <w:sz w:val="32"/>
          <w:szCs w:val="32"/>
          <w14:textFill>
            <w14:solidFill>
              <w14:schemeClr w14:val="tx1"/>
            </w14:solidFill>
          </w14:textFill>
        </w:rPr>
        <w:t>因政府信息公开引起的行政诉讼20件，</w:t>
      </w:r>
      <w:r>
        <w:rPr>
          <w:rFonts w:hint="eastAsia" w:ascii="仿宋_GB2312" w:eastAsia="仿宋_GB2312" w:hAnsiTheme="minorHAnsi" w:cstheme="minorBidi"/>
          <w:color w:val="000000" w:themeColor="text1"/>
          <w:kern w:val="2"/>
          <w:sz w:val="32"/>
          <w:szCs w:val="32"/>
          <w:lang w:eastAsia="zh-CN"/>
          <w14:textFill>
            <w14:solidFill>
              <w14:schemeClr w14:val="tx1"/>
            </w14:solidFill>
          </w14:textFill>
        </w:rPr>
        <w:t>其中</w:t>
      </w:r>
      <w:r>
        <w:rPr>
          <w:rFonts w:hint="eastAsia" w:ascii="仿宋_GB2312" w:eastAsia="仿宋_GB2312" w:hAnsiTheme="minorHAnsi" w:cstheme="minorBidi"/>
          <w:color w:val="000000" w:themeColor="text1"/>
          <w:kern w:val="2"/>
          <w:sz w:val="32"/>
          <w:szCs w:val="32"/>
          <w14:textFill>
            <w14:solidFill>
              <w14:schemeClr w14:val="tx1"/>
            </w14:solidFill>
          </w14:textFill>
        </w:rPr>
        <w:t>未经复议直接起诉的14件，复议后起诉的6件，结果维持9件、结果纠正2件、其他结果6件、尚未审结3件。</w:t>
      </w:r>
    </w:p>
    <w:p>
      <w:pPr>
        <w:numPr>
          <w:ilvl w:val="0"/>
          <w:numId w:val="1"/>
        </w:numPr>
        <w:ind w:left="0" w:leftChars="0" w:firstLine="640" w:firstLineChars="200"/>
        <w:rPr>
          <w:rFonts w:hint="eastAsia" w:ascii="仿宋" w:hAnsi="仿宋" w:eastAsia="仿宋" w:cs="仿宋"/>
          <w:sz w:val="32"/>
          <w:szCs w:val="32"/>
        </w:rPr>
      </w:pPr>
      <w:r>
        <w:rPr>
          <w:rFonts w:hint="eastAsia" w:ascii="楷体_GB2312" w:hAnsi="楷体_GB2312" w:eastAsia="楷体_GB2312" w:cs="楷体_GB2312"/>
          <w:sz w:val="32"/>
          <w:szCs w:val="32"/>
          <w:lang w:eastAsia="zh-CN"/>
        </w:rPr>
        <w:t>强化</w:t>
      </w:r>
      <w:r>
        <w:rPr>
          <w:rFonts w:hint="eastAsia" w:ascii="楷体_GB2312" w:hAnsi="楷体_GB2312" w:eastAsia="楷体_GB2312" w:cs="楷体_GB2312"/>
          <w:sz w:val="32"/>
          <w:szCs w:val="32"/>
        </w:rPr>
        <w:t>政府信息</w:t>
      </w:r>
      <w:r>
        <w:rPr>
          <w:rFonts w:hint="eastAsia" w:ascii="楷体_GB2312" w:hAnsi="楷体_GB2312" w:eastAsia="楷体_GB2312" w:cs="楷体_GB2312"/>
          <w:sz w:val="32"/>
          <w:szCs w:val="32"/>
          <w:lang w:eastAsia="zh-CN"/>
        </w:rPr>
        <w:t>审查</w:t>
      </w:r>
      <w:r>
        <w:rPr>
          <w:rFonts w:hint="eastAsia" w:ascii="楷体_GB2312" w:hAnsi="楷体_GB2312" w:eastAsia="楷体_GB2312" w:cs="楷体_GB2312"/>
          <w:sz w:val="32"/>
          <w:szCs w:val="32"/>
        </w:rPr>
        <w:t>管理。</w:t>
      </w:r>
      <w:r>
        <w:rPr>
          <w:rFonts w:hint="eastAsia" w:ascii="仿宋" w:hAnsi="仿宋" w:eastAsia="仿宋" w:cs="仿宋"/>
          <w:sz w:val="32"/>
          <w:szCs w:val="32"/>
        </w:rPr>
        <w:t>结合省市相关工作要求，对区政府门户网站法定主动公开目录进行细化调整，增加子目录20余个。</w:t>
      </w:r>
      <w:r>
        <w:rPr>
          <w:rFonts w:hint="eastAsia" w:ascii="仿宋" w:hAnsi="仿宋" w:eastAsia="仿宋" w:cs="仿宋"/>
          <w:sz w:val="32"/>
          <w:szCs w:val="32"/>
          <w:lang w:eastAsia="zh-CN"/>
        </w:rPr>
        <w:t>严格信息发布纠错审查，</w:t>
      </w:r>
      <w:r>
        <w:rPr>
          <w:rFonts w:hint="eastAsia" w:ascii="仿宋" w:hAnsi="仿宋" w:eastAsia="仿宋" w:cs="仿宋"/>
          <w:sz w:val="32"/>
          <w:szCs w:val="32"/>
        </w:rPr>
        <w:t>打出检查和监管的“组合拳”，</w:t>
      </w:r>
      <w:r>
        <w:rPr>
          <w:rFonts w:hint="eastAsia" w:ascii="仿宋" w:hAnsi="仿宋" w:eastAsia="仿宋" w:cs="仿宋"/>
          <w:sz w:val="32"/>
          <w:szCs w:val="32"/>
          <w:lang w:val="en-US" w:eastAsia="zh-CN"/>
        </w:rPr>
        <w:t>对</w:t>
      </w:r>
      <w:r>
        <w:rPr>
          <w:rFonts w:hint="eastAsia" w:ascii="仿宋" w:hAnsi="仿宋" w:eastAsia="仿宋" w:cs="仿宋"/>
          <w:sz w:val="32"/>
          <w:szCs w:val="32"/>
        </w:rPr>
        <w:t>区政府门户网站、65个政务新媒体平台</w:t>
      </w:r>
      <w:r>
        <w:rPr>
          <w:rFonts w:hint="eastAsia" w:ascii="仿宋" w:hAnsi="仿宋" w:eastAsia="仿宋" w:cs="仿宋"/>
          <w:sz w:val="32"/>
          <w:szCs w:val="32"/>
          <w:lang w:eastAsia="zh-CN"/>
        </w:rPr>
        <w:t>逐一审查。</w:t>
      </w:r>
      <w:r>
        <w:rPr>
          <w:rFonts w:hint="eastAsia" w:ascii="仿宋" w:hAnsi="仿宋" w:eastAsia="仿宋" w:cs="仿宋"/>
          <w:sz w:val="32"/>
          <w:szCs w:val="32"/>
        </w:rPr>
        <w:t>加强日常监管，定期</w:t>
      </w:r>
      <w:r>
        <w:rPr>
          <w:rFonts w:hint="eastAsia" w:ascii="仿宋" w:hAnsi="仿宋" w:eastAsia="仿宋" w:cs="仿宋"/>
          <w:sz w:val="32"/>
          <w:szCs w:val="32"/>
          <w:lang w:eastAsia="zh-CN"/>
        </w:rPr>
        <w:t>督促</w:t>
      </w:r>
      <w:r>
        <w:rPr>
          <w:rFonts w:hint="eastAsia" w:ascii="仿宋" w:hAnsi="仿宋" w:eastAsia="仿宋" w:cs="仿宋"/>
          <w:sz w:val="32"/>
          <w:szCs w:val="32"/>
        </w:rPr>
        <w:t>单位自检自查，</w:t>
      </w:r>
      <w:r>
        <w:rPr>
          <w:rFonts w:hint="eastAsia" w:ascii="仿宋" w:hAnsi="仿宋" w:eastAsia="仿宋" w:cs="仿宋"/>
          <w:sz w:val="32"/>
          <w:szCs w:val="32"/>
          <w:lang w:eastAsia="zh-CN"/>
        </w:rPr>
        <w:t>加大</w:t>
      </w:r>
      <w:r>
        <w:rPr>
          <w:rFonts w:hint="eastAsia" w:ascii="仿宋" w:hAnsi="仿宋" w:eastAsia="仿宋" w:cs="仿宋"/>
          <w:sz w:val="32"/>
          <w:szCs w:val="32"/>
        </w:rPr>
        <w:t>发布信息监测</w:t>
      </w:r>
      <w:r>
        <w:rPr>
          <w:rFonts w:hint="eastAsia" w:ascii="仿宋" w:hAnsi="仿宋" w:eastAsia="仿宋" w:cs="仿宋"/>
          <w:sz w:val="32"/>
          <w:szCs w:val="32"/>
          <w:lang w:eastAsia="zh-CN"/>
        </w:rPr>
        <w:t>力度</w:t>
      </w:r>
      <w:r>
        <w:rPr>
          <w:rFonts w:hint="eastAsia" w:ascii="仿宋" w:hAnsi="仿宋" w:eastAsia="仿宋" w:cs="仿宋"/>
          <w:sz w:val="32"/>
          <w:szCs w:val="32"/>
        </w:rPr>
        <w:t>。组织4次自查自检，累计纠错信息30余条。牢牢把握“公开为常态、不公开为例外”的原则，针对公众普遍关注的非主动公开信息，</w:t>
      </w:r>
      <w:r>
        <w:rPr>
          <w:rFonts w:hint="eastAsia" w:ascii="仿宋" w:hAnsi="仿宋" w:eastAsia="仿宋" w:cs="仿宋"/>
          <w:sz w:val="32"/>
          <w:szCs w:val="32"/>
          <w:lang w:eastAsia="zh-CN"/>
        </w:rPr>
        <w:t>部门</w:t>
      </w:r>
      <w:r>
        <w:rPr>
          <w:rFonts w:hint="eastAsia" w:ascii="仿宋" w:hAnsi="仿宋" w:eastAsia="仿宋" w:cs="仿宋"/>
          <w:sz w:val="32"/>
          <w:szCs w:val="32"/>
        </w:rPr>
        <w:t>联动，及时研判，</w:t>
      </w:r>
      <w:r>
        <w:rPr>
          <w:rFonts w:hint="eastAsia" w:ascii="仿宋" w:hAnsi="仿宋" w:eastAsia="仿宋" w:cs="仿宋"/>
          <w:sz w:val="32"/>
          <w:szCs w:val="32"/>
          <w:lang w:eastAsia="zh-CN"/>
        </w:rPr>
        <w:t>以适当形式进行</w:t>
      </w:r>
      <w:r>
        <w:rPr>
          <w:rFonts w:hint="eastAsia" w:ascii="仿宋" w:hAnsi="仿宋" w:eastAsia="仿宋" w:cs="仿宋"/>
          <w:sz w:val="32"/>
          <w:szCs w:val="32"/>
        </w:rPr>
        <w:t>信息公开。</w:t>
      </w:r>
    </w:p>
    <w:p>
      <w:pPr>
        <w:numPr>
          <w:ilvl w:val="0"/>
          <w:numId w:val="0"/>
        </w:numPr>
        <w:rPr>
          <w:rFonts w:hint="eastAsia" w:ascii="仿宋" w:hAnsi="仿宋" w:eastAsia="仿宋" w:cs="仿宋"/>
          <w:sz w:val="32"/>
          <w:szCs w:val="32"/>
          <w:lang w:eastAsia="zh-CN"/>
        </w:rPr>
      </w:pPr>
      <w:r>
        <w:rPr>
          <w:rFonts w:hint="eastAsia" w:ascii="仿宋" w:hAnsi="仿宋" w:eastAsia="仿宋" w:cs="仿宋"/>
          <w:sz w:val="32"/>
          <w:szCs w:val="32"/>
          <w:lang w:eastAsia="zh-CN"/>
        </w:rPr>
        <w:drawing>
          <wp:inline distT="0" distB="0" distL="114300" distR="114300">
            <wp:extent cx="5274310" cy="3515995"/>
            <wp:effectExtent l="0" t="0" r="13970" b="4445"/>
            <wp:docPr id="9" name="图片 9" descr="图片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图片5"/>
                    <pic:cNvPicPr>
                      <a:picLocks noChangeAspect="true"/>
                    </pic:cNvPicPr>
                  </pic:nvPicPr>
                  <pic:blipFill>
                    <a:blip r:embed="rId5"/>
                    <a:stretch>
                      <a:fillRect/>
                    </a:stretch>
                  </pic:blipFill>
                  <pic:spPr>
                    <a:xfrm>
                      <a:off x="0" y="0"/>
                      <a:ext cx="5274310" cy="3515995"/>
                    </a:xfrm>
                    <a:prstGeom prst="rect">
                      <a:avLst/>
                    </a:prstGeom>
                  </pic:spPr>
                </pic:pic>
              </a:graphicData>
            </a:graphic>
          </wp:inline>
        </w:drawing>
      </w:r>
    </w:p>
    <w:p>
      <w:pPr>
        <w:spacing w:line="604" w:lineRule="exact"/>
        <w:jc w:val="center"/>
        <w:rPr>
          <w:rFonts w:hint="eastAsia" w:ascii="仿宋" w:hAnsi="仿宋" w:eastAsia="仿宋" w:cs="仿宋"/>
          <w:sz w:val="32"/>
          <w:szCs w:val="32"/>
          <w:lang w:eastAsia="zh-CN"/>
        </w:rPr>
      </w:pPr>
      <w:r>
        <w:rPr>
          <w:rFonts w:hint="eastAsia" w:ascii="楷体_GB2312" w:eastAsia="楷体_GB2312"/>
          <w:color w:val="000000" w:themeColor="text1"/>
          <w:sz w:val="30"/>
          <w:szCs w:val="30"/>
          <w14:textFill>
            <w14:solidFill>
              <w14:schemeClr w14:val="tx1"/>
            </w14:solidFill>
          </w14:textFill>
        </w:rPr>
        <w:t>（政务公开专区建设）</w:t>
      </w:r>
    </w:p>
    <w:p>
      <w:pPr>
        <w:ind w:firstLine="640" w:firstLineChars="200"/>
        <w:rPr>
          <w:rFonts w:hint="eastAsia" w:ascii="仿宋" w:hAnsi="仿宋" w:eastAsia="仿宋" w:cs="仿宋"/>
          <w:sz w:val="32"/>
          <w:szCs w:val="32"/>
          <w:lang w:eastAsia="zh-CN"/>
        </w:rPr>
      </w:pPr>
      <w:r>
        <w:rPr>
          <w:rFonts w:hint="eastAsia" w:ascii="仿宋" w:hAnsi="仿宋" w:eastAsia="仿宋" w:cs="仿宋"/>
          <w:sz w:val="32"/>
          <w:szCs w:val="32"/>
        </w:rPr>
        <w:t>（四）</w:t>
      </w:r>
      <w:r>
        <w:rPr>
          <w:rFonts w:hint="eastAsia" w:ascii="楷体_GB2312" w:hAnsi="楷体_GB2312" w:eastAsia="楷体_GB2312" w:cs="楷体_GB2312"/>
          <w:sz w:val="32"/>
          <w:szCs w:val="32"/>
          <w:lang w:eastAsia="zh-CN"/>
        </w:rPr>
        <w:t>加强</w:t>
      </w:r>
      <w:r>
        <w:rPr>
          <w:rFonts w:hint="eastAsia" w:ascii="楷体_GB2312" w:hAnsi="楷体_GB2312" w:eastAsia="楷体_GB2312" w:cs="楷体_GB2312"/>
          <w:sz w:val="32"/>
          <w:szCs w:val="32"/>
        </w:rPr>
        <w:t>政府信息公开平台建设。</w:t>
      </w:r>
      <w:r>
        <w:rPr>
          <w:rFonts w:hint="eastAsia" w:ascii="仿宋" w:hAnsi="仿宋" w:eastAsia="仿宋" w:cs="仿宋"/>
          <w:sz w:val="32"/>
          <w:szCs w:val="32"/>
        </w:rPr>
        <w:t>持续推动专栏建设，新增</w:t>
      </w:r>
      <w:r>
        <w:rPr>
          <w:rFonts w:hint="eastAsia" w:ascii="仿宋" w:hAnsi="仿宋" w:eastAsia="仿宋" w:cs="仿宋"/>
          <w:sz w:val="32"/>
          <w:szCs w:val="32"/>
          <w:lang w:eastAsia="zh-CN"/>
        </w:rPr>
        <w:t>群众关注高的</w:t>
      </w:r>
      <w:r>
        <w:rPr>
          <w:rFonts w:hint="eastAsia" w:ascii="仿宋" w:hAnsi="仿宋" w:eastAsia="仿宋" w:cs="仿宋"/>
          <w:sz w:val="32"/>
          <w:szCs w:val="32"/>
        </w:rPr>
        <w:t>“优化营商环境政策库”、</w:t>
      </w:r>
      <w:r>
        <w:rPr>
          <w:rFonts w:hint="eastAsia" w:ascii="仿宋" w:hAnsi="仿宋" w:eastAsia="仿宋" w:cs="仿宋"/>
          <w:sz w:val="32"/>
          <w:szCs w:val="32"/>
          <w:lang w:eastAsia="zh-CN"/>
        </w:rPr>
        <w:t>乡村振兴等</w:t>
      </w:r>
      <w:r>
        <w:rPr>
          <w:rFonts w:hint="eastAsia" w:ascii="仿宋" w:hAnsi="仿宋" w:eastAsia="仿宋" w:cs="仿宋"/>
          <w:sz w:val="32"/>
          <w:szCs w:val="32"/>
        </w:rPr>
        <w:t>5个专栏，已累计投入使用17个。</w:t>
      </w:r>
      <w:r>
        <w:rPr>
          <w:rFonts w:hint="eastAsia" w:ascii="仿宋" w:hAnsi="仿宋" w:eastAsia="仿宋" w:cs="仿宋"/>
          <w:sz w:val="32"/>
          <w:szCs w:val="32"/>
          <w:lang w:eastAsia="zh-CN"/>
        </w:rPr>
        <w:t>强化政务新媒体矩阵管理，</w:t>
      </w:r>
      <w:r>
        <w:rPr>
          <w:rFonts w:hint="eastAsia" w:ascii="仿宋" w:hAnsi="仿宋" w:eastAsia="仿宋" w:cs="仿宋"/>
          <w:sz w:val="32"/>
          <w:szCs w:val="32"/>
        </w:rPr>
        <w:t>完成65个平台备案</w:t>
      </w:r>
      <w:r>
        <w:rPr>
          <w:rFonts w:hint="eastAsia" w:ascii="仿宋" w:hAnsi="仿宋" w:eastAsia="仿宋" w:cs="仿宋"/>
          <w:sz w:val="32"/>
          <w:szCs w:val="32"/>
          <w:lang w:eastAsia="zh-CN"/>
        </w:rPr>
        <w:t>，</w:t>
      </w:r>
      <w:r>
        <w:rPr>
          <w:rFonts w:hint="eastAsia" w:ascii="仿宋" w:hAnsi="仿宋" w:eastAsia="仿宋" w:cs="仿宋"/>
          <w:sz w:val="32"/>
          <w:szCs w:val="32"/>
        </w:rPr>
        <w:t>设计上线“新媒体矩阵”专页，发挥矩阵效应。以“标准化”为抓手，重点</w:t>
      </w:r>
      <w:r>
        <w:rPr>
          <w:rFonts w:hint="eastAsia" w:ascii="仿宋" w:hAnsi="仿宋" w:eastAsia="仿宋" w:cs="仿宋"/>
          <w:sz w:val="32"/>
          <w:szCs w:val="32"/>
          <w:lang w:eastAsia="zh-CN"/>
        </w:rPr>
        <w:t>推动</w:t>
      </w:r>
      <w:r>
        <w:rPr>
          <w:rFonts w:hint="eastAsia" w:ascii="仿宋" w:hAnsi="仿宋" w:eastAsia="仿宋" w:cs="仿宋"/>
          <w:sz w:val="32"/>
          <w:szCs w:val="32"/>
        </w:rPr>
        <w:t>各级便民服务大厅</w:t>
      </w:r>
      <w:r>
        <w:rPr>
          <w:rFonts w:hint="eastAsia" w:ascii="仿宋" w:hAnsi="仿宋" w:eastAsia="仿宋" w:cs="仿宋"/>
          <w:sz w:val="32"/>
          <w:szCs w:val="32"/>
          <w:lang w:eastAsia="zh-CN"/>
        </w:rPr>
        <w:t>、</w:t>
      </w:r>
      <w:r>
        <w:rPr>
          <w:rFonts w:hint="eastAsia" w:ascii="仿宋" w:hAnsi="仿宋" w:eastAsia="仿宋" w:cs="仿宋"/>
          <w:sz w:val="32"/>
          <w:szCs w:val="32"/>
        </w:rPr>
        <w:t>中心的政务公开专区建设</w:t>
      </w:r>
      <w:r>
        <w:rPr>
          <w:rFonts w:hint="eastAsia" w:ascii="仿宋" w:hAnsi="仿宋" w:eastAsia="仿宋" w:cs="仿宋"/>
          <w:sz w:val="32"/>
          <w:szCs w:val="32"/>
          <w:lang w:eastAsia="zh-CN"/>
        </w:rPr>
        <w:t>，“零距离”</w:t>
      </w:r>
      <w:r>
        <w:rPr>
          <w:rFonts w:hint="eastAsia" w:ascii="仿宋" w:hAnsi="仿宋" w:eastAsia="仿宋" w:cs="仿宋"/>
          <w:sz w:val="32"/>
          <w:szCs w:val="32"/>
        </w:rPr>
        <w:t>提供</w:t>
      </w:r>
      <w:r>
        <w:rPr>
          <w:rFonts w:hint="eastAsia" w:ascii="仿宋" w:hAnsi="仿宋" w:eastAsia="仿宋" w:cs="仿宋"/>
          <w:sz w:val="32"/>
          <w:szCs w:val="32"/>
          <w:lang w:eastAsia="zh-CN"/>
        </w:rPr>
        <w:t>政策解读和</w:t>
      </w:r>
      <w:r>
        <w:rPr>
          <w:rFonts w:hint="eastAsia" w:ascii="仿宋" w:hAnsi="仿宋" w:eastAsia="仿宋" w:cs="仿宋"/>
          <w:sz w:val="32"/>
          <w:szCs w:val="32"/>
        </w:rPr>
        <w:t>办事咨询</w:t>
      </w:r>
      <w:r>
        <w:rPr>
          <w:rFonts w:hint="eastAsia" w:ascii="仿宋" w:hAnsi="仿宋" w:eastAsia="仿宋" w:cs="仿宋"/>
          <w:sz w:val="32"/>
          <w:szCs w:val="32"/>
          <w:lang w:eastAsia="zh-CN"/>
        </w:rPr>
        <w:t>服务</w:t>
      </w:r>
      <w:r>
        <w:rPr>
          <w:rFonts w:hint="eastAsia" w:ascii="仿宋" w:hAnsi="仿宋" w:eastAsia="仿宋" w:cs="仿宋"/>
          <w:sz w:val="32"/>
          <w:szCs w:val="32"/>
        </w:rPr>
        <w:t>。</w:t>
      </w:r>
      <w:r>
        <w:rPr>
          <w:rFonts w:hint="eastAsia" w:ascii="仿宋" w:hAnsi="仿宋" w:eastAsia="仿宋" w:cs="仿宋"/>
          <w:sz w:val="32"/>
          <w:szCs w:val="32"/>
          <w:lang w:eastAsia="zh-CN"/>
        </w:rPr>
        <w:t>设计政府公报公开专页，</w:t>
      </w:r>
      <w:r>
        <w:rPr>
          <w:rFonts w:hint="eastAsia" w:ascii="仿宋" w:hAnsi="仿宋" w:eastAsia="仿宋" w:cs="仿宋"/>
          <w:sz w:val="32"/>
          <w:szCs w:val="32"/>
        </w:rPr>
        <w:t>按期制作</w:t>
      </w:r>
      <w:r>
        <w:rPr>
          <w:rFonts w:hint="eastAsia" w:ascii="仿宋" w:hAnsi="仿宋" w:eastAsia="仿宋" w:cs="仿宋"/>
          <w:sz w:val="32"/>
          <w:szCs w:val="32"/>
          <w:lang w:eastAsia="zh-CN"/>
        </w:rPr>
        <w:t>，</w:t>
      </w:r>
      <w:r>
        <w:rPr>
          <w:rFonts w:hint="eastAsia" w:ascii="仿宋" w:hAnsi="仿宋" w:eastAsia="仿宋" w:cs="仿宋"/>
          <w:sz w:val="32"/>
          <w:szCs w:val="32"/>
        </w:rPr>
        <w:t>及时发</w:t>
      </w:r>
      <w:r>
        <w:rPr>
          <w:rFonts w:hint="eastAsia" w:ascii="仿宋" w:hAnsi="仿宋" w:eastAsia="仿宋" w:cs="仿宋"/>
          <w:sz w:val="32"/>
          <w:szCs w:val="32"/>
          <w:lang w:eastAsia="zh-CN"/>
        </w:rPr>
        <w:t>布</w:t>
      </w:r>
      <w:r>
        <w:rPr>
          <w:rFonts w:hint="eastAsia" w:ascii="仿宋" w:hAnsi="仿宋" w:eastAsia="仿宋" w:cs="仿宋"/>
          <w:sz w:val="32"/>
          <w:szCs w:val="32"/>
        </w:rPr>
        <w:t>，实现公报目录导航和内容检索服务，便于公众查阅。2021年共计制作和发布政府公报4期。</w:t>
      </w:r>
    </w:p>
    <w:p>
      <w:pPr>
        <w:ind w:firstLine="640" w:firstLineChars="200"/>
        <w:rPr>
          <w:rFonts w:hint="default" w:ascii="仿宋" w:hAnsi="仿宋" w:eastAsia="仿宋" w:cs="仿宋"/>
          <w:sz w:val="32"/>
          <w:szCs w:val="32"/>
          <w:lang w:val="en-US"/>
        </w:rPr>
      </w:pPr>
      <w:r>
        <w:rPr>
          <w:rFonts w:hint="eastAsia" w:ascii="仿宋" w:hAnsi="仿宋" w:eastAsia="仿宋" w:cs="仿宋"/>
          <w:sz w:val="32"/>
          <w:szCs w:val="32"/>
        </w:rPr>
        <w:t>（五）</w:t>
      </w:r>
      <w:r>
        <w:rPr>
          <w:rFonts w:hint="eastAsia" w:ascii="楷体_GB2312" w:hAnsi="楷体_GB2312" w:eastAsia="楷体_GB2312" w:cs="楷体_GB2312"/>
          <w:sz w:val="32"/>
          <w:szCs w:val="32"/>
          <w:lang w:eastAsia="zh-CN"/>
        </w:rPr>
        <w:t>健全完善</w:t>
      </w:r>
      <w:r>
        <w:rPr>
          <w:rFonts w:hint="eastAsia" w:ascii="楷体_GB2312" w:hAnsi="楷体_GB2312" w:eastAsia="楷体_GB2312" w:cs="楷体_GB2312"/>
          <w:sz w:val="32"/>
          <w:szCs w:val="32"/>
        </w:rPr>
        <w:t>监督保障</w:t>
      </w:r>
      <w:r>
        <w:rPr>
          <w:rFonts w:hint="eastAsia" w:ascii="楷体_GB2312" w:hAnsi="楷体_GB2312" w:eastAsia="楷体_GB2312" w:cs="楷体_GB2312"/>
          <w:sz w:val="32"/>
          <w:szCs w:val="32"/>
          <w:lang w:eastAsia="zh-CN"/>
        </w:rPr>
        <w:t>机制</w:t>
      </w:r>
      <w:r>
        <w:rPr>
          <w:rFonts w:hint="eastAsia" w:ascii="楷体_GB2312" w:hAnsi="楷体_GB2312" w:eastAsia="楷体_GB2312" w:cs="楷体_GB2312"/>
          <w:sz w:val="32"/>
          <w:szCs w:val="32"/>
        </w:rPr>
        <w:t>。</w:t>
      </w:r>
      <w:r>
        <w:rPr>
          <w:rFonts w:hint="eastAsia" w:ascii="仿宋" w:hAnsi="仿宋" w:eastAsia="仿宋" w:cs="仿宋"/>
          <w:sz w:val="32"/>
          <w:szCs w:val="32"/>
        </w:rPr>
        <w:t>坚持全区“一盘棋”思想，以制发“政务公开工作要点”等一系列文件为抓手，</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共制发文件1个，</w:t>
      </w:r>
      <w:r>
        <w:rPr>
          <w:rFonts w:hint="eastAsia" w:ascii="仿宋" w:hAnsi="仿宋" w:eastAsia="仿宋" w:cs="仿宋"/>
          <w:sz w:val="32"/>
          <w:szCs w:val="32"/>
          <w:lang w:eastAsia="zh-CN"/>
        </w:rPr>
        <w:t>工作</w:t>
      </w:r>
      <w:r>
        <w:rPr>
          <w:rFonts w:hint="eastAsia" w:ascii="仿宋" w:hAnsi="仿宋" w:eastAsia="仿宋" w:cs="仿宋"/>
          <w:sz w:val="32"/>
          <w:szCs w:val="32"/>
        </w:rPr>
        <w:t>通知25个。</w:t>
      </w:r>
      <w:r>
        <w:rPr>
          <w:rFonts w:hint="eastAsia" w:ascii="仿宋" w:hAnsi="仿宋" w:eastAsia="仿宋" w:cs="仿宋"/>
          <w:sz w:val="32"/>
          <w:szCs w:val="32"/>
          <w:lang w:eastAsia="zh-CN"/>
        </w:rPr>
        <w:t>加强政务公开队伍建设，组织</w:t>
      </w:r>
      <w:r>
        <w:rPr>
          <w:rFonts w:hint="eastAsia" w:ascii="仿宋" w:hAnsi="仿宋" w:eastAsia="仿宋" w:cs="仿宋"/>
          <w:sz w:val="32"/>
          <w:szCs w:val="32"/>
          <w:lang w:val="en-US" w:eastAsia="zh-CN"/>
        </w:rPr>
        <w:t>4次</w:t>
      </w:r>
      <w:r>
        <w:rPr>
          <w:rFonts w:hint="eastAsia" w:ascii="仿宋" w:hAnsi="仿宋" w:eastAsia="仿宋" w:cs="仿宋"/>
          <w:sz w:val="32"/>
          <w:szCs w:val="32"/>
          <w:lang w:eastAsia="zh-CN"/>
        </w:rPr>
        <w:t>区级培训活动</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加大考核力度，</w:t>
      </w:r>
      <w:r>
        <w:rPr>
          <w:rFonts w:hint="eastAsia" w:ascii="仿宋" w:hAnsi="仿宋" w:eastAsia="仿宋" w:cs="仿宋"/>
          <w:sz w:val="32"/>
          <w:szCs w:val="32"/>
        </w:rPr>
        <w:t>制定细化任务指标，压实主体责任，加入负面清单和加分项，</w:t>
      </w:r>
      <w:r>
        <w:rPr>
          <w:rFonts w:hint="eastAsia" w:ascii="仿宋" w:hAnsi="仿宋" w:eastAsia="仿宋" w:cs="仿宋"/>
          <w:sz w:val="32"/>
          <w:szCs w:val="32"/>
          <w:lang w:eastAsia="zh-CN"/>
        </w:rPr>
        <w:t>用考核促</w:t>
      </w:r>
      <w:r>
        <w:rPr>
          <w:rFonts w:hint="eastAsia" w:ascii="仿宋" w:hAnsi="仿宋" w:eastAsia="仿宋" w:cs="仿宋"/>
          <w:sz w:val="32"/>
          <w:szCs w:val="32"/>
        </w:rPr>
        <w:t>实效。2021年</w:t>
      </w:r>
      <w:r>
        <w:rPr>
          <w:rFonts w:hint="eastAsia" w:ascii="仿宋" w:hAnsi="仿宋" w:eastAsia="仿宋" w:cs="仿宋"/>
          <w:sz w:val="32"/>
          <w:szCs w:val="32"/>
          <w:lang w:eastAsia="zh-CN"/>
        </w:rPr>
        <w:t>全</w:t>
      </w:r>
      <w:r>
        <w:rPr>
          <w:rFonts w:hint="eastAsia" w:ascii="仿宋" w:hAnsi="仿宋" w:eastAsia="仿宋" w:cs="仿宋"/>
          <w:sz w:val="32"/>
          <w:szCs w:val="32"/>
        </w:rPr>
        <w:t>市政府3次工作测评中，历城区均取得并列第一名的成绩。</w:t>
      </w:r>
    </w:p>
    <w:p>
      <w:pPr>
        <w:rPr>
          <w:rFonts w:hint="eastAsia" w:eastAsiaTheme="minorEastAsia"/>
          <w:lang w:eastAsia="zh-CN"/>
        </w:rPr>
      </w:pPr>
      <w:r>
        <w:rPr>
          <w:rFonts w:hint="eastAsia" w:eastAsiaTheme="minorEastAsia"/>
          <w:lang w:eastAsia="zh-CN"/>
        </w:rPr>
        <w:drawing>
          <wp:inline distT="0" distB="0" distL="114300" distR="114300">
            <wp:extent cx="5266055" cy="5962015"/>
            <wp:effectExtent l="0" t="0" r="6985" b="12065"/>
            <wp:docPr id="8" name="图片 8" descr="图片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true"/>
                    </pic:cNvPicPr>
                  </pic:nvPicPr>
                  <pic:blipFill>
                    <a:blip r:embed="rId6"/>
                    <a:stretch>
                      <a:fillRect/>
                    </a:stretch>
                  </pic:blipFill>
                  <pic:spPr>
                    <a:xfrm>
                      <a:off x="0" y="0"/>
                      <a:ext cx="5266055" cy="5962015"/>
                    </a:xfrm>
                    <a:prstGeom prst="rect">
                      <a:avLst/>
                    </a:prstGeom>
                  </pic:spPr>
                </pic:pic>
              </a:graphicData>
            </a:graphic>
          </wp:inline>
        </w:drawing>
      </w:r>
    </w:p>
    <w:p>
      <w:pPr>
        <w:jc w:val="center"/>
        <w:rPr>
          <w:rFonts w:ascii="楷体_GB2312" w:eastAsia="楷体_GB2312"/>
          <w:color w:val="000000" w:themeColor="text1"/>
          <w:sz w:val="30"/>
          <w:szCs w:val="30"/>
          <w14:textFill>
            <w14:solidFill>
              <w14:schemeClr w14:val="tx1"/>
            </w14:solidFill>
          </w14:textFill>
        </w:rPr>
      </w:pPr>
      <w:r>
        <w:rPr>
          <w:rFonts w:hint="eastAsia" w:ascii="楷体_GB2312" w:eastAsia="楷体_GB2312"/>
          <w:color w:val="000000" w:themeColor="text1"/>
          <w:sz w:val="30"/>
          <w:szCs w:val="30"/>
          <w14:textFill>
            <w14:solidFill>
              <w14:schemeClr w14:val="tx1"/>
            </w14:solidFill>
          </w14:textFill>
        </w:rPr>
        <w:t>（2021年政务公开培训情况）</w:t>
      </w:r>
    </w:p>
    <w:p>
      <w:pPr>
        <w:spacing w:line="604" w:lineRule="exact"/>
        <w:ind w:firstLine="640" w:firstLineChars="200"/>
        <w:rPr>
          <w:rFonts w:ascii="仿宋_GB2312" w:eastAsia="仿宋_GB2312"/>
          <w:sz w:val="32"/>
          <w:szCs w:val="32"/>
        </w:rPr>
      </w:pPr>
      <w:r>
        <w:rPr>
          <w:rFonts w:hint="eastAsia" w:ascii="黑体" w:hAnsi="黑体" w:eastAsia="黑体"/>
          <w:sz w:val="32"/>
          <w:szCs w:val="32"/>
        </w:rPr>
        <w:t>二、行政机关主动公开政府信息情况</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第二十条  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信息内容</w:t>
            </w:r>
          </w:p>
        </w:tc>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本年制发件数</w:t>
            </w:r>
          </w:p>
        </w:tc>
        <w:tc>
          <w:tcPr>
            <w:tcW w:w="2131"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本年废止件数</w:t>
            </w:r>
          </w:p>
        </w:tc>
        <w:tc>
          <w:tcPr>
            <w:tcW w:w="2131"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规章</w:t>
            </w:r>
          </w:p>
        </w:tc>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0</w:t>
            </w:r>
          </w:p>
        </w:tc>
        <w:tc>
          <w:tcPr>
            <w:tcW w:w="2131"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0</w:t>
            </w:r>
          </w:p>
        </w:tc>
        <w:tc>
          <w:tcPr>
            <w:tcW w:w="2131"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行政规范性文件</w:t>
            </w:r>
          </w:p>
        </w:tc>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0</w:t>
            </w:r>
          </w:p>
        </w:tc>
        <w:tc>
          <w:tcPr>
            <w:tcW w:w="2131"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2</w:t>
            </w:r>
          </w:p>
        </w:tc>
        <w:tc>
          <w:tcPr>
            <w:tcW w:w="2131"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4"/>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第二十条  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信息内容</w:t>
            </w:r>
          </w:p>
        </w:tc>
        <w:tc>
          <w:tcPr>
            <w:tcW w:w="6392" w:type="dxa"/>
            <w:gridSpan w:val="3"/>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行政许可</w:t>
            </w:r>
          </w:p>
        </w:tc>
        <w:tc>
          <w:tcPr>
            <w:tcW w:w="6392" w:type="dxa"/>
            <w:gridSpan w:val="3"/>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1</w:t>
            </w:r>
            <w:r>
              <w:rPr>
                <w:rFonts w:ascii="仿宋_GB2312" w:eastAsia="仿宋_GB2312"/>
                <w:bCs/>
                <w:sz w:val="24"/>
                <w:szCs w:val="24"/>
              </w:rPr>
              <w:t>62586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4"/>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第二十条  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信息内容</w:t>
            </w:r>
          </w:p>
        </w:tc>
        <w:tc>
          <w:tcPr>
            <w:tcW w:w="6392" w:type="dxa"/>
            <w:gridSpan w:val="3"/>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行政处罚</w:t>
            </w:r>
          </w:p>
        </w:tc>
        <w:tc>
          <w:tcPr>
            <w:tcW w:w="6392" w:type="dxa"/>
            <w:gridSpan w:val="3"/>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5</w:t>
            </w:r>
            <w:r>
              <w:rPr>
                <w:rFonts w:ascii="仿宋_GB2312" w:eastAsia="仿宋_GB2312"/>
                <w:bCs/>
                <w:sz w:val="24"/>
                <w:szCs w:val="24"/>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行政强制</w:t>
            </w:r>
          </w:p>
        </w:tc>
        <w:tc>
          <w:tcPr>
            <w:tcW w:w="6392" w:type="dxa"/>
            <w:gridSpan w:val="3"/>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2</w:t>
            </w:r>
            <w:r>
              <w:rPr>
                <w:rFonts w:ascii="仿宋_GB2312" w:eastAsia="仿宋_GB2312"/>
                <w:bCs/>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522" w:type="dxa"/>
            <w:gridSpan w:val="4"/>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第二十条  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信息内容</w:t>
            </w:r>
          </w:p>
        </w:tc>
        <w:tc>
          <w:tcPr>
            <w:tcW w:w="6392" w:type="dxa"/>
            <w:gridSpan w:val="3"/>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pPr>
              <w:spacing w:line="480" w:lineRule="exact"/>
              <w:jc w:val="center"/>
              <w:rPr>
                <w:rFonts w:ascii="仿宋_GB2312" w:eastAsia="仿宋_GB2312"/>
                <w:bCs/>
                <w:sz w:val="24"/>
                <w:szCs w:val="24"/>
              </w:rPr>
            </w:pPr>
            <w:r>
              <w:rPr>
                <w:rFonts w:hint="eastAsia" w:ascii="仿宋_GB2312" w:eastAsia="仿宋_GB2312"/>
                <w:bCs/>
                <w:sz w:val="24"/>
                <w:szCs w:val="24"/>
              </w:rPr>
              <w:t>行政事业性收费</w:t>
            </w:r>
          </w:p>
        </w:tc>
        <w:tc>
          <w:tcPr>
            <w:tcW w:w="6392" w:type="dxa"/>
            <w:gridSpan w:val="3"/>
            <w:vAlign w:val="center"/>
          </w:tcPr>
          <w:p>
            <w:pPr>
              <w:spacing w:line="480" w:lineRule="exact"/>
              <w:jc w:val="center"/>
              <w:rPr>
                <w:rFonts w:ascii="仿宋_GB2312" w:eastAsia="仿宋_GB2312"/>
                <w:bCs/>
                <w:color w:val="000000" w:themeColor="text1"/>
                <w:sz w:val="24"/>
                <w:szCs w:val="24"/>
                <w14:textFill>
                  <w14:solidFill>
                    <w14:schemeClr w14:val="tx1"/>
                  </w14:solidFill>
                </w14:textFill>
              </w:rPr>
            </w:pPr>
            <w:r>
              <w:rPr>
                <w:rFonts w:hint="eastAsia" w:ascii="仿宋_GB2312" w:eastAsia="仿宋_GB2312"/>
                <w:bCs/>
                <w:color w:val="000000" w:themeColor="text1"/>
                <w:sz w:val="24"/>
                <w:szCs w:val="24"/>
                <w14:textFill>
                  <w14:solidFill>
                    <w14:schemeClr w14:val="tx1"/>
                  </w14:solidFill>
                </w14:textFill>
              </w:rPr>
              <w:t>92616</w:t>
            </w:r>
          </w:p>
        </w:tc>
      </w:tr>
    </w:tbl>
    <w:p>
      <w:pPr>
        <w:spacing w:line="604" w:lineRule="exact"/>
        <w:ind w:firstLine="640" w:firstLineChars="200"/>
        <w:rPr>
          <w:rFonts w:ascii="黑体" w:hAnsi="黑体" w:eastAsia="黑体"/>
          <w:sz w:val="32"/>
          <w:szCs w:val="32"/>
        </w:rPr>
      </w:pPr>
      <w:r>
        <w:rPr>
          <w:rFonts w:hint="eastAsia" w:ascii="黑体" w:hAnsi="黑体" w:eastAsia="黑体"/>
          <w:sz w:val="32"/>
          <w:szCs w:val="32"/>
        </w:rPr>
        <w:t>三、行</w:t>
      </w:r>
      <w:r>
        <w:rPr>
          <w:rFonts w:ascii="黑体" w:hAnsi="黑体" w:eastAsia="黑体"/>
          <w:sz w:val="32"/>
          <w:szCs w:val="32"/>
        </w:rPr>
        <w:t>政机关收到和处理政府信息公开申请情况</w:t>
      </w:r>
    </w:p>
    <w:tbl>
      <w:tblPr>
        <w:tblStyle w:val="6"/>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936"/>
        <w:gridCol w:w="2575"/>
        <w:gridCol w:w="669"/>
        <w:gridCol w:w="810"/>
        <w:gridCol w:w="690"/>
        <w:gridCol w:w="690"/>
        <w:gridCol w:w="827"/>
        <w:gridCol w:w="709"/>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734" w:type="dxa"/>
            <w:gridSpan w:val="3"/>
            <w:vMerge w:val="restart"/>
            <w:vAlign w:val="center"/>
          </w:tcPr>
          <w:p>
            <w:pPr>
              <w:spacing w:line="360" w:lineRule="exact"/>
              <w:jc w:val="center"/>
              <w:rPr>
                <w:rFonts w:ascii="仿宋_GB2312" w:eastAsia="仿宋_GB2312"/>
                <w:sz w:val="18"/>
                <w:szCs w:val="18"/>
              </w:rPr>
            </w:pPr>
            <w:r>
              <w:rPr>
                <w:rFonts w:hint="eastAsia" w:ascii="仿宋_GB2312" w:eastAsia="仿宋_GB2312"/>
                <w:sz w:val="18"/>
                <w:szCs w:val="18"/>
              </w:rPr>
              <w:t>（本列数据的勾稽关系为：</w:t>
            </w:r>
          </w:p>
          <w:p>
            <w:pPr>
              <w:spacing w:line="360" w:lineRule="exact"/>
              <w:jc w:val="center"/>
              <w:rPr>
                <w:rFonts w:ascii="仿宋_GB2312" w:eastAsia="仿宋_GB2312"/>
                <w:sz w:val="18"/>
                <w:szCs w:val="18"/>
              </w:rPr>
            </w:pPr>
            <w:r>
              <w:rPr>
                <w:rFonts w:hint="eastAsia" w:ascii="仿宋_GB2312" w:eastAsia="仿宋_GB2312"/>
                <w:sz w:val="18"/>
                <w:szCs w:val="18"/>
              </w:rPr>
              <w:t>第一项加第二项之和，等于第三项加第四项之和）</w:t>
            </w:r>
          </w:p>
        </w:tc>
        <w:tc>
          <w:tcPr>
            <w:tcW w:w="5102" w:type="dxa"/>
            <w:gridSpan w:val="7"/>
            <w:vAlign w:val="center"/>
          </w:tcPr>
          <w:p>
            <w:pPr>
              <w:spacing w:line="360" w:lineRule="exact"/>
              <w:jc w:val="center"/>
              <w:rPr>
                <w:rFonts w:ascii="仿宋_GB2312" w:eastAsia="仿宋_GB2312"/>
                <w:sz w:val="18"/>
                <w:szCs w:val="18"/>
              </w:rPr>
            </w:pPr>
            <w:r>
              <w:rPr>
                <w:rFonts w:hint="eastAsia" w:ascii="仿宋_GB2312" w:eastAsia="仿宋_GB2312"/>
                <w:sz w:val="18"/>
                <w:szCs w:val="18"/>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4" w:type="dxa"/>
            <w:gridSpan w:val="3"/>
            <w:vMerge w:val="continue"/>
            <w:vAlign w:val="center"/>
          </w:tcPr>
          <w:p>
            <w:pPr>
              <w:spacing w:line="360" w:lineRule="exact"/>
              <w:jc w:val="center"/>
              <w:rPr>
                <w:rFonts w:ascii="仿宋_GB2312" w:eastAsia="仿宋_GB2312"/>
                <w:sz w:val="18"/>
                <w:szCs w:val="18"/>
              </w:rPr>
            </w:pPr>
          </w:p>
        </w:tc>
        <w:tc>
          <w:tcPr>
            <w:tcW w:w="669" w:type="dxa"/>
            <w:vMerge w:val="restart"/>
            <w:vAlign w:val="center"/>
          </w:tcPr>
          <w:p>
            <w:pPr>
              <w:spacing w:line="360" w:lineRule="exact"/>
              <w:jc w:val="center"/>
              <w:rPr>
                <w:rFonts w:ascii="仿宋_GB2312" w:eastAsia="仿宋_GB2312"/>
                <w:sz w:val="18"/>
                <w:szCs w:val="18"/>
              </w:rPr>
            </w:pPr>
            <w:r>
              <w:rPr>
                <w:rFonts w:hint="eastAsia" w:ascii="仿宋_GB2312" w:eastAsia="仿宋_GB2312"/>
                <w:sz w:val="18"/>
                <w:szCs w:val="18"/>
              </w:rPr>
              <w:t>自然人</w:t>
            </w:r>
          </w:p>
        </w:tc>
        <w:tc>
          <w:tcPr>
            <w:tcW w:w="3726" w:type="dxa"/>
            <w:gridSpan w:val="5"/>
            <w:vAlign w:val="center"/>
          </w:tcPr>
          <w:p>
            <w:pPr>
              <w:spacing w:line="360" w:lineRule="exact"/>
              <w:jc w:val="center"/>
              <w:rPr>
                <w:rFonts w:ascii="仿宋_GB2312" w:eastAsia="仿宋_GB2312"/>
                <w:sz w:val="18"/>
                <w:szCs w:val="18"/>
              </w:rPr>
            </w:pPr>
            <w:r>
              <w:rPr>
                <w:rFonts w:hint="eastAsia" w:ascii="仿宋_GB2312" w:eastAsia="仿宋_GB2312"/>
                <w:sz w:val="18"/>
                <w:szCs w:val="18"/>
              </w:rPr>
              <w:t>法人或其他组织</w:t>
            </w:r>
          </w:p>
        </w:tc>
        <w:tc>
          <w:tcPr>
            <w:tcW w:w="707" w:type="dxa"/>
            <w:vMerge w:val="restart"/>
            <w:vAlign w:val="center"/>
          </w:tcPr>
          <w:p>
            <w:pPr>
              <w:spacing w:line="360" w:lineRule="exact"/>
              <w:jc w:val="center"/>
              <w:rPr>
                <w:rFonts w:ascii="仿宋_GB2312" w:eastAsia="仿宋_GB2312"/>
                <w:sz w:val="18"/>
                <w:szCs w:val="18"/>
              </w:rPr>
            </w:pPr>
            <w:r>
              <w:rPr>
                <w:rFonts w:hint="eastAsia" w:ascii="仿宋_GB2312" w:eastAsia="仿宋_GB2312"/>
                <w:sz w:val="18"/>
                <w:szCs w:val="18"/>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4734" w:type="dxa"/>
            <w:gridSpan w:val="3"/>
            <w:vMerge w:val="continue"/>
            <w:vAlign w:val="center"/>
          </w:tcPr>
          <w:p>
            <w:pPr>
              <w:spacing w:line="360" w:lineRule="exact"/>
              <w:jc w:val="center"/>
              <w:rPr>
                <w:rFonts w:ascii="仿宋_GB2312" w:eastAsia="仿宋_GB2312"/>
                <w:sz w:val="18"/>
                <w:szCs w:val="18"/>
              </w:rPr>
            </w:pPr>
          </w:p>
        </w:tc>
        <w:tc>
          <w:tcPr>
            <w:tcW w:w="669" w:type="dxa"/>
            <w:vMerge w:val="continue"/>
            <w:vAlign w:val="center"/>
          </w:tcPr>
          <w:p>
            <w:pPr>
              <w:spacing w:line="360" w:lineRule="exact"/>
              <w:jc w:val="center"/>
              <w:rPr>
                <w:rFonts w:ascii="仿宋_GB2312" w:eastAsia="仿宋_GB2312"/>
                <w:sz w:val="18"/>
                <w:szCs w:val="18"/>
              </w:rPr>
            </w:pP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商业</w:t>
            </w:r>
          </w:p>
          <w:p>
            <w:pPr>
              <w:spacing w:line="360" w:lineRule="exact"/>
              <w:jc w:val="center"/>
              <w:rPr>
                <w:rFonts w:ascii="仿宋_GB2312" w:eastAsia="仿宋_GB2312"/>
                <w:sz w:val="18"/>
                <w:szCs w:val="18"/>
              </w:rPr>
            </w:pPr>
            <w:r>
              <w:rPr>
                <w:rFonts w:hint="eastAsia" w:ascii="仿宋_GB2312" w:eastAsia="仿宋_GB2312"/>
                <w:sz w:val="18"/>
                <w:szCs w:val="18"/>
              </w:rPr>
              <w:t>企业</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科研机构</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社会公益组织</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法律服务机构</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其他</w:t>
            </w:r>
          </w:p>
        </w:tc>
        <w:tc>
          <w:tcPr>
            <w:tcW w:w="707" w:type="dxa"/>
            <w:vMerge w:val="continue"/>
            <w:vAlign w:val="center"/>
          </w:tcPr>
          <w:p>
            <w:pPr>
              <w:spacing w:line="360" w:lineRule="exact"/>
              <w:jc w:val="center"/>
              <w:rPr>
                <w:rFonts w:ascii="仿宋_GB2312" w:eastAsia="仿宋_GB231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734" w:type="dxa"/>
            <w:gridSpan w:val="3"/>
            <w:vAlign w:val="center"/>
          </w:tcPr>
          <w:p>
            <w:pPr>
              <w:spacing w:line="360" w:lineRule="exact"/>
              <w:jc w:val="left"/>
              <w:rPr>
                <w:rFonts w:ascii="仿宋_GB2312" w:eastAsia="仿宋_GB2312"/>
                <w:sz w:val="18"/>
                <w:szCs w:val="18"/>
              </w:rPr>
            </w:pPr>
            <w:r>
              <w:rPr>
                <w:rFonts w:hint="eastAsia" w:ascii="仿宋_GB2312" w:eastAsia="仿宋_GB2312"/>
                <w:sz w:val="18"/>
                <w:szCs w:val="18"/>
              </w:rPr>
              <w:t>一、本年新收政府信息公开申请数量</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r>
              <w:rPr>
                <w:rFonts w:ascii="仿宋_GB2312" w:eastAsia="仿宋_GB2312"/>
                <w:sz w:val="18"/>
                <w:szCs w:val="18"/>
              </w:rPr>
              <w:t>78</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r>
              <w:rPr>
                <w:rFonts w:ascii="仿宋_GB2312" w:eastAsia="仿宋_GB2312"/>
                <w:sz w:val="18"/>
                <w:szCs w:val="18"/>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4" w:type="dxa"/>
            <w:gridSpan w:val="3"/>
            <w:vAlign w:val="center"/>
          </w:tcPr>
          <w:p>
            <w:pPr>
              <w:spacing w:line="360" w:lineRule="exact"/>
              <w:jc w:val="left"/>
              <w:rPr>
                <w:rFonts w:ascii="仿宋_GB2312" w:eastAsia="仿宋_GB2312"/>
                <w:sz w:val="18"/>
                <w:szCs w:val="18"/>
              </w:rPr>
            </w:pPr>
            <w:r>
              <w:rPr>
                <w:rFonts w:hint="eastAsia" w:ascii="仿宋_GB2312" w:eastAsia="仿宋_GB2312"/>
                <w:sz w:val="18"/>
                <w:szCs w:val="18"/>
              </w:rPr>
              <w:t>二、上年结转政府信息公开申请数量</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3</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restart"/>
            <w:vAlign w:val="center"/>
          </w:tcPr>
          <w:p>
            <w:pPr>
              <w:spacing w:line="360" w:lineRule="exact"/>
              <w:jc w:val="left"/>
              <w:rPr>
                <w:rFonts w:ascii="仿宋_GB2312" w:eastAsia="仿宋_GB2312"/>
                <w:sz w:val="18"/>
                <w:szCs w:val="18"/>
              </w:rPr>
            </w:pPr>
            <w:r>
              <w:rPr>
                <w:rFonts w:hint="eastAsia" w:ascii="仿宋_GB2312" w:eastAsia="仿宋_GB2312"/>
                <w:sz w:val="18"/>
                <w:szCs w:val="18"/>
              </w:rPr>
              <w:t>三、本年度办理结果</w:t>
            </w:r>
          </w:p>
        </w:tc>
        <w:tc>
          <w:tcPr>
            <w:tcW w:w="3511" w:type="dxa"/>
            <w:gridSpan w:val="2"/>
            <w:vAlign w:val="center"/>
          </w:tcPr>
          <w:p>
            <w:pPr>
              <w:spacing w:line="360" w:lineRule="exact"/>
              <w:jc w:val="left"/>
              <w:rPr>
                <w:rFonts w:ascii="仿宋_GB2312" w:eastAsia="仿宋_GB2312"/>
                <w:sz w:val="18"/>
                <w:szCs w:val="18"/>
              </w:rPr>
            </w:pPr>
            <w:r>
              <w:rPr>
                <w:rFonts w:hint="eastAsia" w:ascii="仿宋_GB2312" w:eastAsia="仿宋_GB2312"/>
                <w:sz w:val="18"/>
                <w:szCs w:val="18"/>
              </w:rPr>
              <w:t>（一）予以公开</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1</w:t>
            </w:r>
            <w:r>
              <w:rPr>
                <w:rFonts w:ascii="仿宋_GB2312" w:eastAsia="仿宋_GB2312"/>
                <w:sz w:val="18"/>
                <w:szCs w:val="18"/>
              </w:rPr>
              <w:t>38</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1</w:t>
            </w:r>
            <w:r>
              <w:rPr>
                <w:rFonts w:ascii="仿宋_GB2312" w:eastAsia="仿宋_GB2312"/>
                <w:sz w:val="18"/>
                <w:szCs w:val="18"/>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3511" w:type="dxa"/>
            <w:gridSpan w:val="2"/>
            <w:vAlign w:val="center"/>
          </w:tcPr>
          <w:p>
            <w:pPr>
              <w:spacing w:line="360" w:lineRule="exact"/>
              <w:jc w:val="left"/>
              <w:rPr>
                <w:rFonts w:ascii="仿宋_GB2312" w:eastAsia="仿宋_GB2312"/>
                <w:sz w:val="18"/>
                <w:szCs w:val="18"/>
              </w:rPr>
            </w:pPr>
            <w:r>
              <w:rPr>
                <w:rFonts w:hint="eastAsia" w:ascii="仿宋_GB2312" w:eastAsia="仿宋_GB2312"/>
                <w:sz w:val="18"/>
                <w:szCs w:val="18"/>
              </w:rPr>
              <w:t>（二）部分公开</w:t>
            </w:r>
            <w:r>
              <w:rPr>
                <w:rFonts w:hint="eastAsia" w:ascii="楷体_GB2312" w:eastAsia="楷体_GB2312"/>
                <w:sz w:val="18"/>
                <w:szCs w:val="18"/>
              </w:rPr>
              <w:t>（区分处理的，只计这一情形，不计其他情形）</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r>
              <w:rPr>
                <w:rFonts w:ascii="仿宋_GB2312" w:eastAsia="仿宋_GB2312"/>
                <w:sz w:val="18"/>
                <w:szCs w:val="18"/>
              </w:rPr>
              <w:t>3</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r>
              <w:rPr>
                <w:rFonts w:ascii="仿宋_GB2312" w:eastAsia="仿宋_GB2312"/>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restart"/>
            <w:vAlign w:val="center"/>
          </w:tcPr>
          <w:p>
            <w:pPr>
              <w:spacing w:line="360" w:lineRule="exact"/>
              <w:jc w:val="left"/>
              <w:rPr>
                <w:rFonts w:ascii="仿宋_GB2312" w:eastAsia="仿宋_GB2312"/>
                <w:sz w:val="18"/>
                <w:szCs w:val="18"/>
              </w:rPr>
            </w:pPr>
            <w:r>
              <w:rPr>
                <w:rFonts w:hint="eastAsia" w:ascii="仿宋_GB2312" w:eastAsia="仿宋_GB2312"/>
                <w:sz w:val="18"/>
                <w:szCs w:val="18"/>
              </w:rPr>
              <w:t>（三）不予公开</w:t>
            </w: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1.属于国家秘密</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2.其他法律行政法规禁止公开</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6</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3.危机“三安全一稳定”</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4.保护第三方合法权益</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4</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1</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5.属于三类内部事务信息</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6.属于四类过程性信息</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7.属于行政执法案卷</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4</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8.属于行政查询事项</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restart"/>
            <w:vAlign w:val="center"/>
          </w:tcPr>
          <w:p>
            <w:pPr>
              <w:spacing w:line="360" w:lineRule="exact"/>
              <w:jc w:val="left"/>
              <w:rPr>
                <w:rFonts w:ascii="仿宋_GB2312" w:eastAsia="仿宋_GB2312"/>
                <w:sz w:val="18"/>
                <w:szCs w:val="18"/>
              </w:rPr>
            </w:pPr>
            <w:r>
              <w:rPr>
                <w:rFonts w:hint="eastAsia" w:ascii="仿宋_GB2312" w:eastAsia="仿宋_GB2312"/>
                <w:sz w:val="18"/>
                <w:szCs w:val="18"/>
              </w:rPr>
              <w:t>（四）无法提供</w:t>
            </w: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1.本机关不掌握相关政府信息</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8</w:t>
            </w:r>
            <w:r>
              <w:rPr>
                <w:rFonts w:ascii="仿宋_GB2312" w:eastAsia="仿宋_GB2312"/>
                <w:sz w:val="18"/>
                <w:szCs w:val="18"/>
              </w:rPr>
              <w:t>2</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8</w:t>
            </w:r>
            <w:r>
              <w:rPr>
                <w:rFonts w:ascii="仿宋_GB2312" w:eastAsia="仿宋_GB2312"/>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2.没有现成信息需要另行制作</w:t>
            </w:r>
          </w:p>
        </w:tc>
        <w:tc>
          <w:tcPr>
            <w:tcW w:w="669" w:type="dxa"/>
            <w:vAlign w:val="center"/>
          </w:tcPr>
          <w:p>
            <w:pPr>
              <w:spacing w:line="360" w:lineRule="exact"/>
              <w:jc w:val="center"/>
              <w:rPr>
                <w:rFonts w:ascii="仿宋_GB2312" w:eastAsia="仿宋_GB2312"/>
                <w:sz w:val="18"/>
                <w:szCs w:val="18"/>
              </w:rPr>
            </w:pPr>
            <w:r>
              <w:rPr>
                <w:rFonts w:ascii="仿宋_GB2312" w:eastAsia="仿宋_GB2312"/>
                <w:sz w:val="18"/>
                <w:szCs w:val="18"/>
              </w:rPr>
              <w:t>7</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ascii="仿宋_GB2312" w:eastAsia="仿宋_GB2312"/>
                <w:sz w:val="18"/>
                <w:szCs w:val="1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3.补正后申请内容仍不明确</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restart"/>
            <w:vAlign w:val="center"/>
          </w:tcPr>
          <w:p>
            <w:pPr>
              <w:spacing w:line="360" w:lineRule="exact"/>
              <w:jc w:val="left"/>
              <w:rPr>
                <w:rFonts w:ascii="仿宋_GB2312" w:eastAsia="仿宋_GB2312"/>
                <w:sz w:val="18"/>
                <w:szCs w:val="18"/>
              </w:rPr>
            </w:pPr>
            <w:r>
              <w:rPr>
                <w:rFonts w:hint="eastAsia" w:ascii="仿宋_GB2312" w:eastAsia="仿宋_GB2312"/>
                <w:sz w:val="18"/>
                <w:szCs w:val="18"/>
              </w:rPr>
              <w:t>（五）不予处理</w:t>
            </w: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1.信访举报投诉类申请</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2.重复申请</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1</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3.要求提供公开出版物</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4.无正当理由大量反复申请</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left"/>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5.要求行政机关确认或重新出具已获取信息</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restart"/>
            <w:vAlign w:val="center"/>
          </w:tcPr>
          <w:p>
            <w:pPr>
              <w:spacing w:line="360" w:lineRule="exact"/>
              <w:jc w:val="left"/>
              <w:rPr>
                <w:rFonts w:ascii="仿宋_GB2312" w:eastAsia="仿宋_GB2312"/>
                <w:sz w:val="18"/>
                <w:szCs w:val="18"/>
              </w:rPr>
            </w:pPr>
            <w:r>
              <w:rPr>
                <w:rFonts w:hint="eastAsia" w:ascii="仿宋_GB2312" w:eastAsia="仿宋_GB2312"/>
                <w:sz w:val="18"/>
                <w:szCs w:val="18"/>
              </w:rPr>
              <w:t>（六）其他处理</w:t>
            </w: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1.申请人无正当理由逾期不补正、行政机关不再处理其政府信息公开申请</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1</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ascii="仿宋_GB2312" w:eastAsia="仿宋_GB2312"/>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center"/>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2.申请人逾期未按收费通知要求缴纳费用、行政机关不再处理其政府信息公开申请</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10" w:type="dxa"/>
            <w:vAlign w:val="center"/>
          </w:tcPr>
          <w:p>
            <w:pPr>
              <w:spacing w:line="360" w:lineRule="exact"/>
              <w:jc w:val="center"/>
              <w:rPr>
                <w:rFonts w:ascii="仿宋_GB2312" w:eastAsia="仿宋_GB2312"/>
                <w:sz w:val="18"/>
                <w:szCs w:val="18"/>
              </w:rPr>
            </w:pPr>
            <w:r>
              <w:rPr>
                <w:rFonts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ascii="仿宋_GB2312" w:eastAsia="仿宋_GB2312"/>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936" w:type="dxa"/>
            <w:vMerge w:val="continue"/>
            <w:vAlign w:val="center"/>
          </w:tcPr>
          <w:p>
            <w:pPr>
              <w:spacing w:line="360" w:lineRule="exact"/>
              <w:jc w:val="center"/>
              <w:rPr>
                <w:rFonts w:ascii="仿宋_GB2312" w:eastAsia="仿宋_GB2312"/>
                <w:sz w:val="18"/>
                <w:szCs w:val="18"/>
              </w:rPr>
            </w:pPr>
          </w:p>
        </w:tc>
        <w:tc>
          <w:tcPr>
            <w:tcW w:w="2575" w:type="dxa"/>
            <w:vAlign w:val="center"/>
          </w:tcPr>
          <w:p>
            <w:pPr>
              <w:spacing w:line="360" w:lineRule="exact"/>
              <w:jc w:val="left"/>
              <w:rPr>
                <w:rFonts w:ascii="仿宋_GB2312" w:eastAsia="仿宋_GB2312"/>
                <w:sz w:val="18"/>
                <w:szCs w:val="18"/>
              </w:rPr>
            </w:pPr>
            <w:r>
              <w:rPr>
                <w:rFonts w:hint="eastAsia" w:ascii="仿宋_GB2312" w:eastAsia="仿宋_GB2312"/>
                <w:sz w:val="18"/>
                <w:szCs w:val="18"/>
              </w:rPr>
              <w:t>3.其他</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5</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1</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3" w:type="dxa"/>
            <w:vMerge w:val="continue"/>
            <w:vAlign w:val="center"/>
          </w:tcPr>
          <w:p>
            <w:pPr>
              <w:spacing w:line="360" w:lineRule="exact"/>
              <w:jc w:val="center"/>
              <w:rPr>
                <w:rFonts w:ascii="仿宋_GB2312" w:eastAsia="仿宋_GB2312"/>
                <w:sz w:val="18"/>
                <w:szCs w:val="18"/>
              </w:rPr>
            </w:pPr>
          </w:p>
        </w:tc>
        <w:tc>
          <w:tcPr>
            <w:tcW w:w="3511" w:type="dxa"/>
            <w:gridSpan w:val="2"/>
            <w:vAlign w:val="center"/>
          </w:tcPr>
          <w:p>
            <w:pPr>
              <w:spacing w:line="360" w:lineRule="exact"/>
              <w:jc w:val="left"/>
              <w:rPr>
                <w:rFonts w:ascii="仿宋_GB2312" w:eastAsia="仿宋_GB2312"/>
                <w:sz w:val="18"/>
                <w:szCs w:val="18"/>
              </w:rPr>
            </w:pPr>
            <w:r>
              <w:rPr>
                <w:rFonts w:hint="eastAsia" w:ascii="仿宋_GB2312" w:eastAsia="仿宋_GB2312"/>
                <w:sz w:val="18"/>
                <w:szCs w:val="18"/>
              </w:rPr>
              <w:t>（七）总结</w:t>
            </w:r>
          </w:p>
        </w:tc>
        <w:tc>
          <w:tcPr>
            <w:tcW w:w="66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r>
              <w:rPr>
                <w:rFonts w:ascii="仿宋_GB2312" w:eastAsia="仿宋_GB2312"/>
                <w:sz w:val="18"/>
                <w:szCs w:val="18"/>
              </w:rPr>
              <w:t>75</w:t>
            </w:r>
          </w:p>
        </w:tc>
        <w:tc>
          <w:tcPr>
            <w:tcW w:w="810" w:type="dxa"/>
            <w:vAlign w:val="center"/>
          </w:tcPr>
          <w:p>
            <w:pPr>
              <w:spacing w:line="360" w:lineRule="exact"/>
              <w:jc w:val="center"/>
              <w:rPr>
                <w:rFonts w:ascii="仿宋_GB2312" w:eastAsia="仿宋_GB2312"/>
                <w:sz w:val="18"/>
                <w:szCs w:val="18"/>
              </w:rPr>
            </w:pPr>
            <w:r>
              <w:rPr>
                <w:rFonts w:ascii="仿宋_GB2312" w:eastAsia="仿宋_GB2312"/>
                <w:sz w:val="18"/>
                <w:szCs w:val="18"/>
              </w:rPr>
              <w:t>2</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ascii="仿宋_GB2312" w:eastAsia="仿宋_GB2312"/>
                <w:sz w:val="18"/>
                <w:szCs w:val="18"/>
              </w:rPr>
              <w:t>2</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2</w:t>
            </w:r>
            <w:r>
              <w:rPr>
                <w:rFonts w:ascii="仿宋_GB2312" w:eastAsia="仿宋_GB2312"/>
                <w:sz w:val="18"/>
                <w:szCs w:val="18"/>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4" w:type="dxa"/>
            <w:gridSpan w:val="3"/>
            <w:vAlign w:val="center"/>
          </w:tcPr>
          <w:p>
            <w:pPr>
              <w:spacing w:line="360" w:lineRule="exact"/>
              <w:jc w:val="left"/>
              <w:rPr>
                <w:rFonts w:ascii="仿宋_GB2312" w:eastAsia="仿宋_GB2312"/>
                <w:sz w:val="18"/>
                <w:szCs w:val="18"/>
              </w:rPr>
            </w:pPr>
            <w:r>
              <w:rPr>
                <w:rFonts w:hint="eastAsia" w:ascii="仿宋_GB2312" w:eastAsia="仿宋_GB2312"/>
                <w:sz w:val="18"/>
                <w:szCs w:val="18"/>
              </w:rPr>
              <w:t>四、结转下年度继续办理</w:t>
            </w:r>
          </w:p>
        </w:tc>
        <w:tc>
          <w:tcPr>
            <w:tcW w:w="669" w:type="dxa"/>
            <w:vAlign w:val="center"/>
          </w:tcPr>
          <w:p>
            <w:pPr>
              <w:spacing w:line="360" w:lineRule="exact"/>
              <w:jc w:val="center"/>
              <w:rPr>
                <w:rFonts w:ascii="仿宋_GB2312" w:eastAsia="仿宋_GB2312"/>
                <w:sz w:val="18"/>
                <w:szCs w:val="18"/>
              </w:rPr>
            </w:pPr>
            <w:r>
              <w:rPr>
                <w:rFonts w:ascii="仿宋_GB2312" w:eastAsia="仿宋_GB2312"/>
                <w:sz w:val="18"/>
                <w:szCs w:val="18"/>
              </w:rPr>
              <w:t>6</w:t>
            </w:r>
          </w:p>
        </w:tc>
        <w:tc>
          <w:tcPr>
            <w:tcW w:w="81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690"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827"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9" w:type="dxa"/>
            <w:vAlign w:val="center"/>
          </w:tcPr>
          <w:p>
            <w:pPr>
              <w:spacing w:line="360" w:lineRule="exact"/>
              <w:jc w:val="center"/>
              <w:rPr>
                <w:rFonts w:ascii="仿宋_GB2312" w:eastAsia="仿宋_GB2312"/>
                <w:sz w:val="18"/>
                <w:szCs w:val="18"/>
              </w:rPr>
            </w:pPr>
            <w:r>
              <w:rPr>
                <w:rFonts w:hint="eastAsia" w:ascii="仿宋_GB2312" w:eastAsia="仿宋_GB2312"/>
                <w:sz w:val="18"/>
                <w:szCs w:val="18"/>
              </w:rPr>
              <w:t>0</w:t>
            </w:r>
          </w:p>
        </w:tc>
        <w:tc>
          <w:tcPr>
            <w:tcW w:w="707" w:type="dxa"/>
            <w:vAlign w:val="center"/>
          </w:tcPr>
          <w:p>
            <w:pPr>
              <w:spacing w:line="360" w:lineRule="exact"/>
              <w:jc w:val="center"/>
              <w:rPr>
                <w:rFonts w:ascii="仿宋_GB2312" w:eastAsia="仿宋_GB2312"/>
                <w:sz w:val="18"/>
                <w:szCs w:val="18"/>
              </w:rPr>
            </w:pPr>
            <w:r>
              <w:rPr>
                <w:rFonts w:ascii="仿宋_GB2312" w:eastAsia="仿宋_GB2312"/>
                <w:sz w:val="18"/>
                <w:szCs w:val="18"/>
              </w:rPr>
              <w:t>6</w:t>
            </w:r>
          </w:p>
        </w:tc>
      </w:tr>
    </w:tbl>
    <w:p>
      <w:pPr>
        <w:pStyle w:val="2"/>
        <w:spacing w:before="0" w:after="0" w:line="604" w:lineRule="exact"/>
        <w:ind w:firstLine="640" w:firstLineChars="200"/>
        <w:rPr>
          <w:rFonts w:ascii="黑体" w:hAnsi="黑体" w:eastAsia="黑体" w:cstheme="minorBidi"/>
          <w:b w:val="0"/>
          <w:bCs w:val="0"/>
        </w:rPr>
      </w:pPr>
      <w:r>
        <w:rPr>
          <w:rFonts w:ascii="黑体" w:hAnsi="黑体" w:eastAsia="黑体" w:cstheme="minorBidi"/>
          <w:b w:val="0"/>
          <w:bCs w:val="0"/>
        </w:rPr>
        <w:t>四、因政府信息公开工作被申请行政复议、提起行政诉讼情况</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739"/>
        <w:gridCol w:w="548"/>
        <w:gridCol w:w="549"/>
        <w:gridCol w:w="549"/>
        <w:gridCol w:w="549"/>
        <w:gridCol w:w="549"/>
        <w:gridCol w:w="549"/>
        <w:gridCol w:w="549"/>
        <w:gridCol w:w="549"/>
        <w:gridCol w:w="549"/>
        <w:gridCol w:w="549"/>
        <w:gridCol w:w="549"/>
        <w:gridCol w:w="550"/>
        <w:gridCol w:w="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58" w:type="dxa"/>
            <w:gridSpan w:val="5"/>
            <w:vAlign w:val="center"/>
          </w:tcPr>
          <w:p>
            <w:pPr>
              <w:spacing w:line="280" w:lineRule="exact"/>
              <w:jc w:val="center"/>
              <w:rPr>
                <w:rFonts w:ascii="仿宋_GB2312" w:eastAsia="仿宋_GB2312"/>
                <w:sz w:val="15"/>
                <w:szCs w:val="15"/>
              </w:rPr>
            </w:pPr>
            <w:r>
              <w:rPr>
                <w:rFonts w:hint="eastAsia" w:ascii="仿宋_GB2312" w:eastAsia="仿宋_GB2312"/>
                <w:sz w:val="15"/>
                <w:szCs w:val="15"/>
              </w:rPr>
              <w:t>行政复议</w:t>
            </w:r>
          </w:p>
        </w:tc>
        <w:tc>
          <w:tcPr>
            <w:tcW w:w="5682" w:type="dxa"/>
            <w:gridSpan w:val="10"/>
            <w:vAlign w:val="center"/>
          </w:tcPr>
          <w:p>
            <w:pPr>
              <w:spacing w:line="280" w:lineRule="exact"/>
              <w:jc w:val="center"/>
              <w:rPr>
                <w:rFonts w:ascii="仿宋_GB2312" w:eastAsia="仿宋_GB2312"/>
                <w:sz w:val="15"/>
                <w:szCs w:val="15"/>
              </w:rPr>
            </w:pPr>
            <w:r>
              <w:rPr>
                <w:rFonts w:hint="eastAsia" w:ascii="仿宋_GB2312" w:eastAsia="仿宋_GB2312"/>
                <w:sz w:val="15"/>
                <w:szCs w:val="15"/>
              </w:rPr>
              <w:t>行政诉讼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vAlign w:val="center"/>
          </w:tcPr>
          <w:p>
            <w:pPr>
              <w:spacing w:line="280" w:lineRule="exact"/>
              <w:jc w:val="center"/>
              <w:rPr>
                <w:rFonts w:ascii="仿宋_GB2312" w:eastAsia="仿宋_GB2312"/>
                <w:sz w:val="15"/>
                <w:szCs w:val="15"/>
              </w:rPr>
            </w:pPr>
            <w:r>
              <w:rPr>
                <w:rFonts w:hint="eastAsia" w:ascii="仿宋_GB2312" w:eastAsia="仿宋_GB2312"/>
                <w:sz w:val="15"/>
                <w:szCs w:val="15"/>
              </w:rPr>
              <w:t>结果</w:t>
            </w:r>
          </w:p>
          <w:p>
            <w:pPr>
              <w:spacing w:line="280" w:lineRule="exact"/>
              <w:jc w:val="center"/>
              <w:rPr>
                <w:rFonts w:ascii="仿宋_GB2312" w:eastAsia="仿宋_GB2312"/>
                <w:sz w:val="15"/>
                <w:szCs w:val="15"/>
              </w:rPr>
            </w:pPr>
            <w:r>
              <w:rPr>
                <w:rFonts w:hint="eastAsia" w:ascii="仿宋_GB2312" w:eastAsia="仿宋_GB2312"/>
                <w:sz w:val="15"/>
                <w:szCs w:val="15"/>
              </w:rPr>
              <w:t>维持</w:t>
            </w:r>
          </w:p>
        </w:tc>
        <w:tc>
          <w:tcPr>
            <w:tcW w:w="779" w:type="dxa"/>
            <w:vMerge w:val="restart"/>
            <w:vAlign w:val="center"/>
          </w:tcPr>
          <w:p>
            <w:pPr>
              <w:spacing w:line="280" w:lineRule="exact"/>
              <w:jc w:val="center"/>
              <w:rPr>
                <w:rFonts w:ascii="仿宋_GB2312" w:eastAsia="仿宋_GB2312"/>
                <w:sz w:val="15"/>
                <w:szCs w:val="15"/>
              </w:rPr>
            </w:pPr>
            <w:r>
              <w:rPr>
                <w:rFonts w:hint="eastAsia" w:ascii="仿宋_GB2312" w:eastAsia="仿宋_GB2312"/>
                <w:sz w:val="15"/>
                <w:szCs w:val="15"/>
              </w:rPr>
              <w:t>结果</w:t>
            </w:r>
          </w:p>
          <w:p>
            <w:pPr>
              <w:spacing w:line="280" w:lineRule="exact"/>
              <w:jc w:val="center"/>
              <w:rPr>
                <w:rFonts w:ascii="仿宋_GB2312" w:eastAsia="仿宋_GB2312"/>
                <w:sz w:val="15"/>
                <w:szCs w:val="15"/>
              </w:rPr>
            </w:pPr>
            <w:r>
              <w:rPr>
                <w:rFonts w:hint="eastAsia" w:ascii="仿宋_GB2312" w:eastAsia="仿宋_GB2312"/>
                <w:sz w:val="15"/>
                <w:szCs w:val="15"/>
              </w:rPr>
              <w:t>纠正</w:t>
            </w:r>
          </w:p>
        </w:tc>
        <w:tc>
          <w:tcPr>
            <w:tcW w:w="568" w:type="dxa"/>
            <w:vMerge w:val="restart"/>
            <w:vAlign w:val="center"/>
          </w:tcPr>
          <w:p>
            <w:pPr>
              <w:spacing w:line="280" w:lineRule="exact"/>
              <w:jc w:val="center"/>
              <w:rPr>
                <w:rFonts w:ascii="仿宋_GB2312" w:eastAsia="仿宋_GB2312"/>
                <w:sz w:val="15"/>
                <w:szCs w:val="15"/>
              </w:rPr>
            </w:pPr>
            <w:r>
              <w:rPr>
                <w:rFonts w:hint="eastAsia" w:ascii="仿宋_GB2312" w:eastAsia="仿宋_GB2312"/>
                <w:sz w:val="15"/>
                <w:szCs w:val="15"/>
              </w:rPr>
              <w:t>其他结果</w:t>
            </w:r>
          </w:p>
        </w:tc>
        <w:tc>
          <w:tcPr>
            <w:tcW w:w="568" w:type="dxa"/>
            <w:vMerge w:val="restart"/>
            <w:vAlign w:val="center"/>
          </w:tcPr>
          <w:p>
            <w:pPr>
              <w:spacing w:line="280" w:lineRule="exact"/>
              <w:jc w:val="center"/>
              <w:rPr>
                <w:rFonts w:ascii="仿宋_GB2312" w:eastAsia="仿宋_GB2312"/>
                <w:sz w:val="15"/>
                <w:szCs w:val="15"/>
              </w:rPr>
            </w:pPr>
            <w:r>
              <w:rPr>
                <w:rFonts w:hint="eastAsia" w:ascii="仿宋_GB2312" w:eastAsia="仿宋_GB2312"/>
                <w:sz w:val="15"/>
                <w:szCs w:val="15"/>
              </w:rPr>
              <w:t>尚未审结</w:t>
            </w:r>
          </w:p>
        </w:tc>
        <w:tc>
          <w:tcPr>
            <w:tcW w:w="568" w:type="dxa"/>
            <w:vMerge w:val="restart"/>
            <w:vAlign w:val="center"/>
          </w:tcPr>
          <w:p>
            <w:pPr>
              <w:spacing w:line="280" w:lineRule="exact"/>
              <w:jc w:val="center"/>
              <w:rPr>
                <w:rFonts w:ascii="仿宋_GB2312" w:eastAsia="仿宋_GB2312"/>
                <w:sz w:val="15"/>
                <w:szCs w:val="15"/>
              </w:rPr>
            </w:pPr>
            <w:r>
              <w:rPr>
                <w:rFonts w:hint="eastAsia" w:ascii="仿宋_GB2312" w:eastAsia="仿宋_GB2312"/>
                <w:sz w:val="15"/>
                <w:szCs w:val="15"/>
              </w:rPr>
              <w:t>总计</w:t>
            </w:r>
          </w:p>
        </w:tc>
        <w:tc>
          <w:tcPr>
            <w:tcW w:w="2840" w:type="dxa"/>
            <w:gridSpan w:val="5"/>
            <w:vAlign w:val="center"/>
          </w:tcPr>
          <w:p>
            <w:pPr>
              <w:spacing w:line="280" w:lineRule="exact"/>
              <w:jc w:val="center"/>
              <w:rPr>
                <w:rFonts w:ascii="仿宋_GB2312" w:eastAsia="仿宋_GB2312"/>
                <w:sz w:val="15"/>
                <w:szCs w:val="15"/>
              </w:rPr>
            </w:pPr>
            <w:r>
              <w:rPr>
                <w:rFonts w:hint="eastAsia" w:ascii="仿宋_GB2312" w:eastAsia="仿宋_GB2312"/>
                <w:sz w:val="15"/>
                <w:szCs w:val="15"/>
              </w:rPr>
              <w:t>未经复议直接起诉</w:t>
            </w:r>
          </w:p>
        </w:tc>
        <w:tc>
          <w:tcPr>
            <w:tcW w:w="2842" w:type="dxa"/>
            <w:gridSpan w:val="5"/>
            <w:vAlign w:val="center"/>
          </w:tcPr>
          <w:p>
            <w:pPr>
              <w:spacing w:line="280" w:lineRule="exact"/>
              <w:jc w:val="center"/>
              <w:rPr>
                <w:rFonts w:ascii="仿宋_GB2312" w:eastAsia="仿宋_GB2312"/>
                <w:sz w:val="15"/>
                <w:szCs w:val="15"/>
              </w:rPr>
            </w:pPr>
            <w:r>
              <w:rPr>
                <w:rFonts w:hint="eastAsia" w:ascii="仿宋_GB2312" w:eastAsia="仿宋_GB2312"/>
                <w:sz w:val="15"/>
                <w:szCs w:val="15"/>
              </w:rPr>
              <w:t>复议后起诉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vAlign w:val="center"/>
          </w:tcPr>
          <w:p>
            <w:pPr>
              <w:spacing w:line="280" w:lineRule="exact"/>
              <w:jc w:val="center"/>
              <w:rPr>
                <w:rFonts w:ascii="仿宋_GB2312" w:eastAsia="仿宋_GB2312"/>
                <w:sz w:val="15"/>
                <w:szCs w:val="15"/>
              </w:rPr>
            </w:pPr>
          </w:p>
        </w:tc>
        <w:tc>
          <w:tcPr>
            <w:tcW w:w="779" w:type="dxa"/>
            <w:vMerge w:val="continue"/>
            <w:vAlign w:val="center"/>
          </w:tcPr>
          <w:p>
            <w:pPr>
              <w:spacing w:line="280" w:lineRule="exact"/>
              <w:jc w:val="center"/>
              <w:rPr>
                <w:rFonts w:ascii="仿宋_GB2312" w:eastAsia="仿宋_GB2312"/>
                <w:sz w:val="15"/>
                <w:szCs w:val="15"/>
              </w:rPr>
            </w:pPr>
          </w:p>
        </w:tc>
        <w:tc>
          <w:tcPr>
            <w:tcW w:w="568" w:type="dxa"/>
            <w:vMerge w:val="continue"/>
            <w:vAlign w:val="center"/>
          </w:tcPr>
          <w:p>
            <w:pPr>
              <w:spacing w:line="280" w:lineRule="exact"/>
              <w:jc w:val="center"/>
              <w:rPr>
                <w:rFonts w:ascii="仿宋_GB2312" w:eastAsia="仿宋_GB2312"/>
                <w:sz w:val="15"/>
                <w:szCs w:val="15"/>
              </w:rPr>
            </w:pPr>
          </w:p>
        </w:tc>
        <w:tc>
          <w:tcPr>
            <w:tcW w:w="568" w:type="dxa"/>
            <w:vMerge w:val="continue"/>
            <w:vAlign w:val="center"/>
          </w:tcPr>
          <w:p>
            <w:pPr>
              <w:spacing w:line="280" w:lineRule="exact"/>
              <w:jc w:val="center"/>
              <w:rPr>
                <w:rFonts w:ascii="仿宋_GB2312" w:eastAsia="仿宋_GB2312"/>
                <w:sz w:val="15"/>
                <w:szCs w:val="15"/>
              </w:rPr>
            </w:pPr>
          </w:p>
        </w:tc>
        <w:tc>
          <w:tcPr>
            <w:tcW w:w="568" w:type="dxa"/>
            <w:vMerge w:val="continue"/>
            <w:vAlign w:val="center"/>
          </w:tcPr>
          <w:p>
            <w:pPr>
              <w:spacing w:line="280" w:lineRule="exact"/>
              <w:jc w:val="center"/>
              <w:rPr>
                <w:rFonts w:ascii="仿宋_GB2312" w:eastAsia="仿宋_GB2312"/>
                <w:sz w:val="15"/>
                <w:szCs w:val="15"/>
              </w:rPr>
            </w:pP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结果维持</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结果纠正</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其他结果</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尚未审结</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总计</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结果维持</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结果纠正</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其他结果</w:t>
            </w:r>
          </w:p>
        </w:tc>
        <w:tc>
          <w:tcPr>
            <w:tcW w:w="569"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尚未审结</w:t>
            </w:r>
          </w:p>
        </w:tc>
        <w:tc>
          <w:tcPr>
            <w:tcW w:w="569"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5"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8</w:t>
            </w:r>
          </w:p>
        </w:tc>
        <w:tc>
          <w:tcPr>
            <w:tcW w:w="779"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1</w:t>
            </w:r>
            <w:r>
              <w:rPr>
                <w:rFonts w:ascii="仿宋_GB2312" w:eastAsia="仿宋_GB2312"/>
                <w:sz w:val="15"/>
                <w:szCs w:val="15"/>
              </w:rPr>
              <w:t>6</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6</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3</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3</w:t>
            </w:r>
            <w:r>
              <w:rPr>
                <w:rFonts w:ascii="仿宋_GB2312" w:eastAsia="仿宋_GB2312"/>
                <w:sz w:val="15"/>
                <w:szCs w:val="15"/>
              </w:rPr>
              <w:t>3</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7</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2</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5</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0</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14</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2</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0</w:t>
            </w:r>
          </w:p>
        </w:tc>
        <w:tc>
          <w:tcPr>
            <w:tcW w:w="568"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1</w:t>
            </w:r>
          </w:p>
        </w:tc>
        <w:tc>
          <w:tcPr>
            <w:tcW w:w="569"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3</w:t>
            </w:r>
          </w:p>
        </w:tc>
        <w:tc>
          <w:tcPr>
            <w:tcW w:w="569" w:type="dxa"/>
            <w:vAlign w:val="center"/>
          </w:tcPr>
          <w:p>
            <w:pPr>
              <w:spacing w:line="280" w:lineRule="exact"/>
              <w:jc w:val="center"/>
              <w:rPr>
                <w:rFonts w:ascii="仿宋_GB2312" w:eastAsia="仿宋_GB2312"/>
                <w:sz w:val="15"/>
                <w:szCs w:val="15"/>
              </w:rPr>
            </w:pPr>
            <w:r>
              <w:rPr>
                <w:rFonts w:hint="eastAsia" w:ascii="仿宋_GB2312" w:eastAsia="仿宋_GB2312"/>
                <w:sz w:val="15"/>
                <w:szCs w:val="15"/>
              </w:rPr>
              <w:t>6</w:t>
            </w:r>
          </w:p>
        </w:tc>
      </w:tr>
    </w:tbl>
    <w:p>
      <w:pPr>
        <w:pStyle w:val="2"/>
        <w:spacing w:before="0" w:after="0" w:line="240" w:lineRule="auto"/>
        <w:ind w:firstLine="640" w:firstLineChars="200"/>
        <w:rPr>
          <w:rFonts w:ascii="黑体" w:hAnsi="黑体" w:eastAsia="黑体" w:cstheme="minorBidi"/>
          <w:b w:val="0"/>
          <w:bCs w:val="0"/>
        </w:rPr>
      </w:pPr>
      <w:r>
        <w:rPr>
          <w:rFonts w:ascii="黑体" w:hAnsi="黑体" w:eastAsia="黑体" w:cstheme="minorBidi"/>
          <w:b w:val="0"/>
          <w:bCs w:val="0"/>
        </w:rPr>
        <w:t>五、政府信息公开工作存在的主要问题及改进情况</w:t>
      </w:r>
    </w:p>
    <w:p>
      <w:pPr>
        <w:ind w:firstLine="642"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问题一：</w:t>
      </w:r>
      <w:r>
        <w:rPr>
          <w:rFonts w:hint="eastAsia" w:ascii="仿宋_GB2312" w:eastAsia="仿宋_GB2312"/>
          <w:color w:val="000000" w:themeColor="text1"/>
          <w:sz w:val="32"/>
          <w:szCs w:val="32"/>
          <w14:textFill>
            <w14:solidFill>
              <w14:schemeClr w14:val="tx1"/>
            </w14:solidFill>
          </w14:textFill>
        </w:rPr>
        <w:t>作为政务公开第一平台的区政府门户网站栏目设置存在部分不合理的情况，搜索功能不完善；</w:t>
      </w:r>
      <w:r>
        <w:rPr>
          <w:rFonts w:hint="eastAsia" w:ascii="仿宋_GB2312" w:eastAsia="仿宋_GB2312"/>
          <w:b/>
          <w:color w:val="000000" w:themeColor="text1"/>
          <w:sz w:val="32"/>
          <w:szCs w:val="32"/>
          <w14:textFill>
            <w14:solidFill>
              <w14:schemeClr w14:val="tx1"/>
            </w14:solidFill>
          </w14:textFill>
        </w:rPr>
        <w:t>问题二：</w:t>
      </w:r>
      <w:r>
        <w:rPr>
          <w:rFonts w:hint="eastAsia" w:ascii="仿宋_GB2312" w:eastAsia="仿宋_GB2312"/>
          <w:color w:val="000000" w:themeColor="text1"/>
          <w:sz w:val="32"/>
          <w:szCs w:val="32"/>
          <w14:textFill>
            <w14:solidFill>
              <w14:schemeClr w14:val="tx1"/>
            </w14:solidFill>
          </w14:textFill>
        </w:rPr>
        <w:t>部分单位存在公开意识不够，依申请公开答复不规范的情况，与公众需求还存在一定差距；</w:t>
      </w:r>
      <w:r>
        <w:rPr>
          <w:rFonts w:hint="eastAsia" w:ascii="仿宋_GB2312" w:eastAsia="仿宋_GB2312"/>
          <w:b/>
          <w:color w:val="000000" w:themeColor="text1"/>
          <w:sz w:val="32"/>
          <w:szCs w:val="32"/>
          <w14:textFill>
            <w14:solidFill>
              <w14:schemeClr w14:val="tx1"/>
            </w14:solidFill>
          </w14:textFill>
        </w:rPr>
        <w:t>问题三：</w:t>
      </w:r>
      <w:r>
        <w:rPr>
          <w:rFonts w:hint="eastAsia" w:ascii="仿宋_GB2312" w:eastAsia="仿宋_GB2312"/>
          <w:color w:val="000000" w:themeColor="text1"/>
          <w:sz w:val="32"/>
          <w:szCs w:val="32"/>
          <w14:textFill>
            <w14:solidFill>
              <w14:schemeClr w14:val="tx1"/>
            </w14:solidFill>
          </w14:textFill>
        </w:rPr>
        <w:t>政务公开工作缺少创造性。</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color w:val="000000" w:themeColor="text1"/>
          <w:sz w:val="32"/>
          <w:szCs w:val="32"/>
          <w14:textFill>
            <w14:solidFill>
              <w14:schemeClr w14:val="tx1"/>
            </w14:solidFill>
          </w14:textFill>
        </w:rPr>
        <w:t>对于以上问题，2021年历城区做了针对性改进提升：</w:t>
      </w:r>
    </w:p>
    <w:p>
      <w:pPr>
        <w:ind w:firstLine="640"/>
        <w:rPr>
          <w:rFonts w:ascii="仿宋_GB2312" w:eastAsia="仿宋_GB2312"/>
          <w:color w:val="FF0000"/>
          <w:sz w:val="32"/>
          <w:szCs w:val="32"/>
        </w:rPr>
      </w:pPr>
      <w:r>
        <w:rPr>
          <w:rFonts w:hint="eastAsia" w:ascii="仿宋_GB2312" w:eastAsia="仿宋_GB2312"/>
          <w:b/>
          <w:color w:val="000000" w:themeColor="text1"/>
          <w:sz w:val="32"/>
          <w:szCs w:val="32"/>
          <w14:textFill>
            <w14:solidFill>
              <w14:schemeClr w14:val="tx1"/>
            </w14:solidFill>
          </w14:textFill>
        </w:rPr>
        <w:t>一是</w:t>
      </w:r>
      <w:r>
        <w:rPr>
          <w:rFonts w:ascii="Times New Roman" w:hAnsi="Times New Roman" w:eastAsia="仿宋_GB2312"/>
          <w:color w:val="000000" w:themeColor="text1"/>
          <w:sz w:val="32"/>
          <w:szCs w:val="32"/>
          <w14:textFill>
            <w14:solidFill>
              <w14:schemeClr w14:val="tx1"/>
            </w14:solidFill>
          </w14:textFill>
        </w:rPr>
        <w:t>从工作实际和公众需要出发，进一步调整和充实了目录和专栏，使网站平台栏目设置更加便民。同时将网站改版列入工作计划，利用网站全面改版从根本上解决网站平台存在的各种问题；</w:t>
      </w:r>
      <w:r>
        <w:rPr>
          <w:rFonts w:ascii="Times New Roman" w:hAnsi="Times New Roman" w:eastAsia="仿宋_GB2312"/>
          <w:b/>
          <w:color w:val="000000" w:themeColor="text1"/>
          <w:sz w:val="32"/>
          <w:szCs w:val="32"/>
          <w14:textFill>
            <w14:solidFill>
              <w14:schemeClr w14:val="tx1"/>
            </w14:solidFill>
          </w14:textFill>
        </w:rPr>
        <w:t>二是</w:t>
      </w:r>
      <w:r>
        <w:rPr>
          <w:rFonts w:hint="eastAsia" w:ascii="仿宋_GB2312" w:eastAsia="仿宋_GB2312"/>
          <w:color w:val="000000" w:themeColor="text1"/>
          <w:sz w:val="32"/>
          <w:szCs w:val="32"/>
          <w14:textFill>
            <w14:solidFill>
              <w14:schemeClr w14:val="tx1"/>
            </w14:solidFill>
          </w14:textFill>
        </w:rPr>
        <w:t>不断强化政务公开工作培训，丰富培训形式，提高培训效果，增强培训的针对性、系统性，切实提升各单位公开意识和业务水平</w:t>
      </w:r>
      <w:r>
        <w:rPr>
          <w:rFonts w:ascii="Times New Roman" w:hAnsi="Times New Roman" w:eastAsia="仿宋_GB2312"/>
          <w:color w:val="000000" w:themeColor="text1"/>
          <w:sz w:val="32"/>
          <w:szCs w:val="32"/>
          <w14:textFill>
            <w14:solidFill>
              <w14:schemeClr w14:val="tx1"/>
            </w14:solidFill>
          </w14:textFill>
        </w:rPr>
        <w:t>；</w:t>
      </w:r>
      <w:r>
        <w:rPr>
          <w:rFonts w:ascii="Times New Roman" w:hAnsi="Times New Roman" w:eastAsia="仿宋_GB2312"/>
          <w:b/>
          <w:color w:val="000000" w:themeColor="text1"/>
          <w:sz w:val="32"/>
          <w:szCs w:val="32"/>
          <w14:textFill>
            <w14:solidFill>
              <w14:schemeClr w14:val="tx1"/>
            </w14:solidFill>
          </w14:textFill>
        </w:rPr>
        <w:t>三是</w:t>
      </w:r>
      <w:r>
        <w:rPr>
          <w:rFonts w:hint="eastAsia" w:ascii="仿宋_GB2312" w:eastAsia="仿宋_GB2312"/>
          <w:color w:val="000000" w:themeColor="text1"/>
          <w:sz w:val="32"/>
          <w:szCs w:val="32"/>
          <w14:textFill>
            <w14:solidFill>
              <w14:schemeClr w14:val="tx1"/>
            </w14:solidFill>
          </w14:textFill>
        </w:rPr>
        <w:t>通过学习先进地区的亮点和经验，深入挖掘创新场景，培育创新试点，2021年实现了新突破。</w:t>
      </w:r>
    </w:p>
    <w:p>
      <w:pPr>
        <w:pStyle w:val="2"/>
        <w:spacing w:before="0" w:after="0" w:line="240" w:lineRule="auto"/>
        <w:ind w:firstLine="640" w:firstLineChars="200"/>
      </w:pPr>
      <w:r>
        <w:rPr>
          <w:rFonts w:hint="eastAsia" w:ascii="黑体" w:hAnsi="黑体" w:eastAsia="黑体" w:cstheme="minorBidi"/>
          <w:b w:val="0"/>
          <w:bCs w:val="0"/>
        </w:rPr>
        <w:t>六、</w:t>
      </w:r>
      <w:r>
        <w:rPr>
          <w:rFonts w:ascii="黑体" w:hAnsi="黑体" w:eastAsia="黑体" w:cstheme="minorBidi"/>
          <w:b w:val="0"/>
          <w:bCs w:val="0"/>
        </w:rPr>
        <w:t>其他需要报告的事项</w:t>
      </w:r>
    </w:p>
    <w:p>
      <w:pPr>
        <w:pStyle w:val="4"/>
        <w:spacing w:before="0" w:beforeAutospacing="0" w:after="0" w:afterAutospacing="0"/>
        <w:ind w:firstLine="640" w:firstLineChars="200"/>
        <w:rPr>
          <w:rFonts w:ascii="仿宋_GB2312" w:eastAsia="仿宋_GB2312" w:hAnsiTheme="minorHAnsi" w:cstheme="minorBidi"/>
          <w:color w:val="000000" w:themeColor="text1"/>
          <w:kern w:val="2"/>
          <w:sz w:val="32"/>
          <w:szCs w:val="32"/>
          <w14:textFill>
            <w14:solidFill>
              <w14:schemeClr w14:val="tx1"/>
            </w14:solidFill>
          </w14:textFill>
        </w:rPr>
      </w:pPr>
      <w:r>
        <w:rPr>
          <w:rFonts w:hint="eastAsia" w:ascii="楷体_GB2312" w:eastAsia="楷体_GB2312"/>
          <w:sz w:val="32"/>
          <w:szCs w:val="32"/>
        </w:rPr>
        <w:t>（一）收取信息处理费的情况。</w:t>
      </w:r>
      <w:r>
        <w:rPr>
          <w:rFonts w:hint="eastAsia" w:ascii="仿宋_GB2312" w:eastAsia="仿宋_GB2312" w:hAnsiTheme="minorHAnsi" w:cstheme="minorBidi"/>
          <w:color w:val="000000" w:themeColor="text1"/>
          <w:kern w:val="2"/>
          <w:sz w:val="32"/>
          <w:szCs w:val="32"/>
          <w14:textFill>
            <w14:solidFill>
              <w14:schemeClr w14:val="tx1"/>
            </w14:solidFill>
          </w14:textFill>
        </w:rPr>
        <w:t>2021年，我区收取政府信息公开信息处理费230元，无减免情况。</w:t>
      </w:r>
    </w:p>
    <w:p>
      <w:pPr>
        <w:ind w:firstLine="640" w:firstLineChars="200"/>
        <w:rPr>
          <w:rFonts w:ascii="楷体_GB2312" w:eastAsia="楷体_GB2312"/>
          <w:sz w:val="32"/>
          <w:szCs w:val="32"/>
        </w:rPr>
      </w:pPr>
      <w:r>
        <w:rPr>
          <w:rFonts w:hint="eastAsia" w:ascii="楷体_GB2312" w:eastAsia="楷体_GB2312"/>
          <w:sz w:val="32"/>
          <w:szCs w:val="32"/>
        </w:rPr>
        <w:t>（二）落实年度政务公开工作要点情况。</w:t>
      </w:r>
    </w:p>
    <w:p>
      <w:pPr>
        <w:ind w:firstLine="642"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首先是整体推进。</w:t>
      </w:r>
      <w:r>
        <w:rPr>
          <w:rFonts w:hint="eastAsia" w:ascii="仿宋_GB2312" w:eastAsia="仿宋_GB2312"/>
          <w:color w:val="000000" w:themeColor="text1"/>
          <w:sz w:val="32"/>
          <w:szCs w:val="32"/>
          <w14:textFill>
            <w14:solidFill>
              <w14:schemeClr w14:val="tx1"/>
            </w14:solidFill>
          </w14:textFill>
        </w:rPr>
        <w:t>根据济南市政务公开工作要点，我区组织了多次调研，征求重点单位意见，及时制定了我区政务公开工作要点（</w:t>
      </w:r>
      <w:r>
        <w:rPr>
          <w:rFonts w:hint="eastAsia" w:ascii="仿宋_GB2312" w:hAnsi="黑体" w:eastAsia="仿宋_GB2312" w:cs="Times New Roman"/>
          <w:color w:val="000000" w:themeColor="text1"/>
          <w:sz w:val="32"/>
          <w:szCs w:val="32"/>
          <w14:textFill>
            <w14:solidFill>
              <w14:schemeClr w14:val="tx1"/>
            </w14:solidFill>
          </w14:textFill>
        </w:rPr>
        <w:t>济历城政办发〔2021〕3号</w:t>
      </w:r>
      <w:r>
        <w:rPr>
          <w:rFonts w:hint="eastAsia" w:ascii="仿宋_GB2312" w:eastAsia="仿宋_GB2312"/>
          <w:color w:val="000000" w:themeColor="text1"/>
          <w:sz w:val="32"/>
          <w:szCs w:val="32"/>
          <w14:textFill>
            <w14:solidFill>
              <w14:schemeClr w14:val="tx1"/>
            </w14:solidFill>
          </w14:textFill>
        </w:rPr>
        <w:t>），要点细化和明确了任务和责任，既是对上级文件精神的贯彻落实，更是我区各单位开展工作的行动指南。针对不同业务需求及时召开专题会议，安排落实相关工作，并形成“一对一帮扶”机制，对个别单位进行重点安排，提升了全区工作落实能力。</w:t>
      </w:r>
    </w:p>
    <w:p>
      <w:pPr>
        <w:ind w:firstLine="642" w:firstLineChars="200"/>
        <w:rPr>
          <w:rFonts w:ascii="仿宋_GB2312" w:eastAsia="仿宋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其次是突出重点。</w:t>
      </w:r>
      <w:r>
        <w:rPr>
          <w:rFonts w:hint="eastAsia" w:ascii="仿宋_GB2312" w:eastAsia="仿宋_GB2312"/>
          <w:color w:val="000000" w:themeColor="text1"/>
          <w:sz w:val="32"/>
          <w:szCs w:val="32"/>
          <w14:textFill>
            <w14:solidFill>
              <w14:schemeClr w14:val="tx1"/>
            </w14:solidFill>
          </w14:textFill>
        </w:rPr>
        <w:t>一是内容上更加紧扣主题，紧紧</w:t>
      </w:r>
      <w:r>
        <w:rPr>
          <w:rFonts w:hint="eastAsia" w:ascii="仿宋_GB2312" w:hAnsi="仿宋_GB2312" w:eastAsia="仿宋_GB2312" w:cs="仿宋_GB2312"/>
          <w:color w:val="000000" w:themeColor="text1"/>
          <w:sz w:val="32"/>
          <w:szCs w:val="32"/>
          <w14:textFill>
            <w14:solidFill>
              <w14:schemeClr w14:val="tx1"/>
            </w14:solidFill>
          </w14:textFill>
        </w:rPr>
        <w:t>围绕全区中心工作，着力发布科技创新、产业发展、文化事业、城市品质、项目建设、服务保障、民生改善等方面情况及取得的成果。二是形式上更加多元化，以方便公众查阅的视角，进一步丰富解读形式，增强栏目设置，信息展示更加直观友好。三是渠道上更加丰富，区政府门户网站、政务新媒体、政务服务大厅等各类平台同步发力，进一步拓宽信息公开覆盖面，实现信息精准送达。四是保障上更加强基固本，强化信息纠错能力，加强人才队伍建设，改进工作作风，夯实工作基础。</w:t>
      </w:r>
    </w:p>
    <w:p>
      <w:pPr>
        <w:ind w:firstLine="642" w:firstLineChars="200"/>
        <w:rPr>
          <w:rFonts w:ascii="楷体_GB2312" w:eastAsia="楷体_GB2312"/>
          <w:color w:val="000000" w:themeColor="text1"/>
          <w:sz w:val="32"/>
          <w:szCs w:val="32"/>
          <w14:textFill>
            <w14:solidFill>
              <w14:schemeClr w14:val="tx1"/>
            </w14:solidFill>
          </w14:textFill>
        </w:rPr>
      </w:pPr>
      <w:r>
        <w:rPr>
          <w:rFonts w:hint="eastAsia" w:ascii="仿宋_GB2312" w:eastAsia="仿宋_GB2312"/>
          <w:b/>
          <w:color w:val="000000" w:themeColor="text1"/>
          <w:sz w:val="32"/>
          <w:szCs w:val="32"/>
          <w14:textFill>
            <w14:solidFill>
              <w14:schemeClr w14:val="tx1"/>
            </w14:solidFill>
          </w14:textFill>
        </w:rPr>
        <w:t>最后是注重实效。</w:t>
      </w:r>
      <w:r>
        <w:rPr>
          <w:rFonts w:hint="eastAsia" w:ascii="仿宋_GB2312" w:eastAsia="仿宋_GB2312"/>
          <w:color w:val="000000" w:themeColor="text1"/>
          <w:sz w:val="32"/>
          <w:szCs w:val="32"/>
          <w14:textFill>
            <w14:solidFill>
              <w14:schemeClr w14:val="tx1"/>
            </w14:solidFill>
          </w14:textFill>
        </w:rPr>
        <w:t>2021年历城区持续加强信息管理、平台建设，深入推进基层政务公开工作，进一步扩大公开范围、丰富公开渠道、规范内容形式、提高工作标准</w:t>
      </w:r>
      <w:r>
        <w:rPr>
          <w:rFonts w:ascii="仿宋_GB2312" w:eastAsia="仿宋_GB2312"/>
          <w:color w:val="000000" w:themeColor="text1"/>
          <w:sz w:val="32"/>
          <w:szCs w:val="32"/>
          <w14:textFill>
            <w14:solidFill>
              <w14:schemeClr w14:val="tx1"/>
            </w14:solidFill>
          </w14:textFill>
        </w:rPr>
        <w:t>，切实保障</w:t>
      </w:r>
      <w:r>
        <w:rPr>
          <w:rFonts w:hint="eastAsia" w:ascii="仿宋_GB2312" w:eastAsia="仿宋_GB2312"/>
          <w:color w:val="000000" w:themeColor="text1"/>
          <w:sz w:val="32"/>
          <w:szCs w:val="32"/>
          <w14:textFill>
            <w14:solidFill>
              <w14:schemeClr w14:val="tx1"/>
            </w14:solidFill>
          </w14:textFill>
        </w:rPr>
        <w:t>人民群众知情权、参与权、监督权</w:t>
      </w:r>
      <w:r>
        <w:rPr>
          <w:rFonts w:hint="eastAsia" w:ascii="楷体_GB2312" w:eastAsia="楷体_GB2312"/>
          <w:color w:val="000000" w:themeColor="text1"/>
          <w:sz w:val="32"/>
          <w:szCs w:val="32"/>
          <w14:textFill>
            <w14:solidFill>
              <w14:schemeClr w14:val="tx1"/>
            </w14:solidFill>
          </w14:textFill>
        </w:rPr>
        <w:t>。</w:t>
      </w:r>
    </w:p>
    <w:p>
      <w:pPr>
        <w:ind w:firstLine="640" w:firstLineChars="200"/>
        <w:rPr>
          <w:rFonts w:ascii="仿宋_GB2312" w:eastAsia="仿宋_GB2312"/>
          <w:color w:val="000000" w:themeColor="text1"/>
          <w:sz w:val="32"/>
          <w:szCs w:val="32"/>
          <w14:textFill>
            <w14:solidFill>
              <w14:schemeClr w14:val="tx1"/>
            </w14:solidFill>
          </w14:textFill>
        </w:rPr>
      </w:pPr>
      <w:r>
        <w:rPr>
          <w:rFonts w:hint="eastAsia" w:ascii="楷体_GB2312" w:eastAsia="楷体_GB2312"/>
          <w:color w:val="000000" w:themeColor="text1"/>
          <w:sz w:val="32"/>
          <w:szCs w:val="32"/>
          <w14:textFill>
            <w14:solidFill>
              <w14:schemeClr w14:val="tx1"/>
            </w14:solidFill>
          </w14:textFill>
        </w:rPr>
        <w:t>（三）人大代表建议和政协提案办理结果公开情况。</w:t>
      </w:r>
      <w:r>
        <w:rPr>
          <w:rFonts w:hint="eastAsia" w:ascii="仿宋_GB2312" w:eastAsia="仿宋_GB2312"/>
          <w:color w:val="000000" w:themeColor="text1"/>
          <w:sz w:val="32"/>
          <w:szCs w:val="32"/>
          <w14:textFill>
            <w14:solidFill>
              <w14:schemeClr w14:val="tx1"/>
            </w14:solidFill>
          </w14:textFill>
        </w:rPr>
        <w:t>历城区高度重视人大代表建议和政协提案办理工作，区十八届人大五次会议、区政协九届五次会议以来，区政府系统共承办人大代表建议87件、政协委员提案207件，主要涉及经济科技、城市建设、教科文卫等方面，已全部办理回复完毕，除涉及国家秘密、工作秘密的，均在区政府门户网站相关专栏中予以集中公开。</w:t>
      </w:r>
    </w:p>
    <w:p>
      <w:pPr>
        <w:jc w:val="center"/>
        <w:rPr>
          <w:rFonts w:ascii="楷体_GB2312" w:eastAsia="楷体_GB2312"/>
          <w:color w:val="00B0F0"/>
          <w:sz w:val="32"/>
          <w:szCs w:val="32"/>
        </w:rPr>
      </w:pPr>
      <w:r>
        <w:rPr>
          <w:rFonts w:ascii="楷体_GB2312" w:eastAsia="楷体_GB2312"/>
          <w:color w:val="00B0F0"/>
          <w:sz w:val="32"/>
          <w:szCs w:val="32"/>
        </w:rPr>
        <w:drawing>
          <wp:inline distT="0" distB="0" distL="0" distR="0">
            <wp:extent cx="5274310" cy="3360420"/>
            <wp:effectExtent l="0" t="0" r="13970" b="7620"/>
            <wp:docPr id="3" name="图片 2" descr="微信图片_20220124090912.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descr="微信图片_20220124090912.png"/>
                    <pic:cNvPicPr>
                      <a:picLocks noChangeAspect="true"/>
                    </pic:cNvPicPr>
                  </pic:nvPicPr>
                  <pic:blipFill>
                    <a:blip r:embed="rId7" cstate="print"/>
                    <a:stretch>
                      <a:fillRect/>
                    </a:stretch>
                  </pic:blipFill>
                  <pic:spPr>
                    <a:xfrm>
                      <a:off x="0" y="0"/>
                      <a:ext cx="5274310" cy="3360420"/>
                    </a:xfrm>
                    <a:prstGeom prst="rect">
                      <a:avLst/>
                    </a:prstGeom>
                  </pic:spPr>
                </pic:pic>
              </a:graphicData>
            </a:graphic>
          </wp:inline>
        </w:drawing>
      </w:r>
    </w:p>
    <w:p>
      <w:pPr>
        <w:jc w:val="center"/>
        <w:rPr>
          <w:rFonts w:ascii="楷体_GB2312" w:eastAsia="楷体_GB2312"/>
          <w:color w:val="00B0F0"/>
          <w:sz w:val="32"/>
          <w:szCs w:val="32"/>
        </w:rPr>
      </w:pPr>
      <w:r>
        <w:rPr>
          <w:rFonts w:hint="eastAsia" w:ascii="楷体_GB2312" w:eastAsia="楷体_GB2312"/>
          <w:color w:val="000000" w:themeColor="text1"/>
          <w:sz w:val="30"/>
          <w:szCs w:val="30"/>
          <w14:textFill>
            <w14:solidFill>
              <w14:schemeClr w14:val="tx1"/>
            </w14:solidFill>
          </w14:textFill>
        </w:rPr>
        <w:t>（人大建议和政协提案公开情况）</w:t>
      </w:r>
    </w:p>
    <w:p>
      <w:pPr>
        <w:ind w:firstLine="640" w:firstLineChars="200"/>
        <w:rPr>
          <w:rFonts w:ascii="楷体_GB2312" w:eastAsia="楷体_GB2312"/>
          <w:sz w:val="32"/>
          <w:szCs w:val="32"/>
        </w:rPr>
      </w:pPr>
      <w:r>
        <w:rPr>
          <w:rFonts w:hint="eastAsia" w:ascii="楷体_GB2312" w:eastAsia="楷体_GB2312"/>
          <w:sz w:val="32"/>
          <w:szCs w:val="32"/>
        </w:rPr>
        <w:t>（四）政务公开工作创新情况。</w:t>
      </w:r>
    </w:p>
    <w:p>
      <w:pPr>
        <w:ind w:firstLine="640" w:firstLineChars="200"/>
        <w:rPr>
          <w:rFonts w:ascii="仿宋_GB2312" w:eastAsia="仿宋_GB2312"/>
          <w:sz w:val="32"/>
          <w:szCs w:val="32"/>
        </w:rPr>
      </w:pPr>
      <w:r>
        <w:rPr>
          <w:rFonts w:hint="eastAsia" w:ascii="仿宋_GB2312" w:eastAsia="仿宋_GB2312"/>
          <w:sz w:val="32"/>
          <w:szCs w:val="32"/>
        </w:rPr>
        <w:t>创新一：2021年历城区</w:t>
      </w:r>
      <w:r>
        <w:rPr>
          <w:rFonts w:hint="eastAsia" w:ascii="仿宋_GB2312" w:eastAsia="仿宋_GB2312"/>
          <w:color w:val="000000" w:themeColor="text1"/>
          <w:sz w:val="32"/>
          <w:szCs w:val="32"/>
          <w14:textFill>
            <w14:solidFill>
              <w14:schemeClr w14:val="tx1"/>
            </w14:solidFill>
          </w14:textFill>
        </w:rPr>
        <w:t>以提升政府决策透明度为方向，</w:t>
      </w:r>
      <w:r>
        <w:rPr>
          <w:rFonts w:hint="eastAsia" w:ascii="仿宋_GB2312" w:eastAsia="仿宋_GB2312"/>
          <w:sz w:val="32"/>
          <w:szCs w:val="32"/>
        </w:rPr>
        <w:t>围绕健全“最初一公里”意见征集、强化“关键中间段”过程跟踪、深化“最后一公里”效果评价三个关键环节，聚力破解决策公开痛点难点，</w:t>
      </w:r>
      <w:r>
        <w:rPr>
          <w:rFonts w:hint="eastAsia" w:ascii="仿宋_GB2312" w:eastAsia="仿宋_GB2312"/>
          <w:color w:val="000000" w:themeColor="text1"/>
          <w:sz w:val="32"/>
          <w:szCs w:val="32"/>
          <w14:textFill>
            <w14:solidFill>
              <w14:schemeClr w14:val="tx1"/>
            </w14:solidFill>
          </w14:textFill>
        </w:rPr>
        <w:t>试点开展政务公开特色化工作。通过搭建权威、易用、集约、高效的“历城区决策民意征集平台”，</w:t>
      </w:r>
      <w:r>
        <w:rPr>
          <w:rFonts w:hint="eastAsia" w:ascii="仿宋_GB2312" w:hAnsi="楷体" w:eastAsia="仿宋_GB2312" w:cs="楷体"/>
          <w:sz w:val="32"/>
          <w:szCs w:val="32"/>
        </w:rPr>
        <w:t>打通了公众参与政府决策的堵点，并坚持“分级分类分批”多元发力，2021年，</w:t>
      </w:r>
      <w:r>
        <w:rPr>
          <w:rFonts w:hint="eastAsia" w:ascii="仿宋_GB2312" w:eastAsia="仿宋_GB2312"/>
          <w:sz w:val="32"/>
          <w:szCs w:val="32"/>
        </w:rPr>
        <w:t>区大数据局、区市场监管局、区行政审批局等部门以及洪家楼、山大路、荷花路等街道开展了平台应用。</w:t>
      </w:r>
    </w:p>
    <w:p>
      <w:pPr>
        <w:jc w:val="center"/>
        <w:rPr>
          <w:rFonts w:ascii="楷体_GB2312" w:eastAsia="楷体_GB2312"/>
          <w:color w:val="000000" w:themeColor="text1"/>
          <w:sz w:val="30"/>
          <w:szCs w:val="30"/>
          <w14:textFill>
            <w14:solidFill>
              <w14:schemeClr w14:val="tx1"/>
            </w14:solidFill>
          </w14:textFill>
        </w:rPr>
      </w:pPr>
      <w:r>
        <w:rPr>
          <w:rFonts w:hint="eastAsia" w:ascii="楷体_GB2312" w:eastAsia="楷体_GB2312"/>
          <w:color w:val="000000" w:themeColor="text1"/>
          <w:sz w:val="30"/>
          <w:szCs w:val="30"/>
          <w14:textFill>
            <w14:solidFill>
              <w14:schemeClr w14:val="tx1"/>
            </w14:solidFill>
          </w14:textFill>
        </w:rPr>
        <w:drawing>
          <wp:inline distT="0" distB="0" distL="0" distR="0">
            <wp:extent cx="5274310" cy="2689860"/>
            <wp:effectExtent l="0" t="0" r="13970" b="7620"/>
            <wp:docPr id="20" name="图片 3" descr="微信图片_2022011216472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3" descr="微信图片_20220112164724.png"/>
                    <pic:cNvPicPr>
                      <a:picLocks noChangeAspect="true"/>
                    </pic:cNvPicPr>
                  </pic:nvPicPr>
                  <pic:blipFill>
                    <a:blip r:embed="rId8" cstate="print"/>
                    <a:stretch>
                      <a:fillRect/>
                    </a:stretch>
                  </pic:blipFill>
                  <pic:spPr>
                    <a:xfrm>
                      <a:off x="0" y="0"/>
                      <a:ext cx="5274310" cy="2689860"/>
                    </a:xfrm>
                    <a:prstGeom prst="rect">
                      <a:avLst/>
                    </a:prstGeom>
                  </pic:spPr>
                </pic:pic>
              </a:graphicData>
            </a:graphic>
          </wp:inline>
        </w:drawing>
      </w:r>
    </w:p>
    <w:p>
      <w:pPr>
        <w:jc w:val="center"/>
        <w:rPr>
          <w:rFonts w:ascii="楷体_GB2312" w:eastAsia="楷体_GB2312"/>
          <w:color w:val="000000" w:themeColor="text1"/>
          <w:sz w:val="30"/>
          <w:szCs w:val="30"/>
          <w14:textFill>
            <w14:solidFill>
              <w14:schemeClr w14:val="tx1"/>
            </w14:solidFill>
          </w14:textFill>
        </w:rPr>
      </w:pPr>
      <w:r>
        <w:rPr>
          <w:rFonts w:hint="eastAsia" w:ascii="楷体_GB2312" w:eastAsia="楷体_GB2312"/>
          <w:color w:val="000000" w:themeColor="text1"/>
          <w:sz w:val="30"/>
          <w:szCs w:val="30"/>
          <w14:textFill>
            <w14:solidFill>
              <w14:schemeClr w14:val="tx1"/>
            </w14:solidFill>
          </w14:textFill>
        </w:rPr>
        <w:t>（历城区决策民意征集平台）</w:t>
      </w:r>
    </w:p>
    <w:p>
      <w:pPr>
        <w:jc w:val="center"/>
        <w:rPr>
          <w:rFonts w:ascii="楷体_GB2312" w:eastAsia="楷体_GB2312"/>
          <w:color w:val="000000" w:themeColor="text1"/>
          <w:sz w:val="30"/>
          <w:szCs w:val="30"/>
          <w14:textFill>
            <w14:solidFill>
              <w14:schemeClr w14:val="tx1"/>
            </w14:solidFill>
          </w14:textFill>
        </w:rPr>
      </w:pPr>
      <w:r>
        <w:rPr>
          <w:rFonts w:ascii="楷体_GB2312" w:eastAsia="楷体_GB2312"/>
          <w:color w:val="000000" w:themeColor="text1"/>
          <w:sz w:val="30"/>
          <w:szCs w:val="30"/>
          <w14:textFill>
            <w14:solidFill>
              <w14:schemeClr w14:val="tx1"/>
            </w14:solidFill>
          </w14:textFill>
        </w:rPr>
        <w:drawing>
          <wp:inline distT="0" distB="0" distL="0" distR="0">
            <wp:extent cx="5274310" cy="6184900"/>
            <wp:effectExtent l="0" t="0" r="13970" b="2540"/>
            <wp:docPr id="12" name="图片 11" descr="微信图片_20220124104126.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1" descr="微信图片_20220124104126.png"/>
                    <pic:cNvPicPr>
                      <a:picLocks noChangeAspect="true"/>
                    </pic:cNvPicPr>
                  </pic:nvPicPr>
                  <pic:blipFill>
                    <a:blip r:embed="rId9" cstate="print"/>
                    <a:stretch>
                      <a:fillRect/>
                    </a:stretch>
                  </pic:blipFill>
                  <pic:spPr>
                    <a:xfrm>
                      <a:off x="0" y="0"/>
                      <a:ext cx="5274310" cy="6184900"/>
                    </a:xfrm>
                    <a:prstGeom prst="rect">
                      <a:avLst/>
                    </a:prstGeom>
                  </pic:spPr>
                </pic:pic>
              </a:graphicData>
            </a:graphic>
          </wp:inline>
        </w:drawing>
      </w:r>
    </w:p>
    <w:p>
      <w:pPr>
        <w:jc w:val="center"/>
        <w:rPr>
          <w:rFonts w:ascii="仿宋_GB2312" w:eastAsia="仿宋_GB2312"/>
          <w:sz w:val="32"/>
          <w:szCs w:val="32"/>
        </w:rPr>
      </w:pPr>
      <w:r>
        <w:rPr>
          <w:rFonts w:hint="eastAsia" w:ascii="楷体_GB2312" w:eastAsia="楷体_GB2312"/>
          <w:color w:val="000000" w:themeColor="text1"/>
          <w:sz w:val="30"/>
          <w:szCs w:val="30"/>
          <w14:textFill>
            <w14:solidFill>
              <w14:schemeClr w14:val="tx1"/>
            </w14:solidFill>
          </w14:textFill>
        </w:rPr>
        <w:t>（持续推动特色化试点应用）</w:t>
      </w:r>
    </w:p>
    <w:p>
      <w:pPr>
        <w:ind w:firstLine="640" w:firstLineChars="200"/>
        <w:rPr>
          <w:rFonts w:ascii="仿宋_GB2312" w:eastAsia="仿宋_GB2312"/>
          <w:sz w:val="32"/>
          <w:szCs w:val="32"/>
        </w:rPr>
      </w:pPr>
      <w:r>
        <w:rPr>
          <w:rFonts w:hint="eastAsia" w:ascii="仿宋_GB2312" w:eastAsia="仿宋_GB2312"/>
          <w:sz w:val="32"/>
          <w:szCs w:val="32"/>
        </w:rPr>
        <w:t>创新二：历城区创新政策宣讲新模式，开展了惠企助企政策云宣讲活动，通过搭建“云平台”，即可实现“政策云解读，线上送服务”。2021年2月4日第一期活动暨启动仪式顺利举行，临港开发区、14个街道设立分会场，活动以“最新税收优惠政策讲解”为主题，相关工作人员以及部分企业家代表齐聚“云端”，让公众“一站式”获取“惠企锦囊”，进一步激发了民营企业发展活力，让企业了解政策、懂得政策、享受政策，助力民营企业高质量发展。 </w:t>
      </w:r>
    </w:p>
    <w:p>
      <w:pPr>
        <w:jc w:val="center"/>
        <w:rPr>
          <w:rFonts w:ascii="仿宋_GB2312" w:eastAsia="仿宋_GB2312"/>
          <w:sz w:val="32"/>
          <w:szCs w:val="32"/>
        </w:rPr>
      </w:pPr>
      <w:r>
        <w:rPr>
          <w:rFonts w:hint="eastAsia" w:ascii="仿宋_GB2312" w:eastAsia="仿宋_GB2312"/>
          <w:sz w:val="32"/>
          <w:szCs w:val="32"/>
        </w:rPr>
        <w:drawing>
          <wp:inline distT="0" distB="0" distL="0" distR="0">
            <wp:extent cx="5274310" cy="3407410"/>
            <wp:effectExtent l="0" t="0" r="13970" b="6350"/>
            <wp:docPr id="14" name="图片 13" descr="微信图片_2022012410411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3" descr="微信图片_20220124104118.png"/>
                    <pic:cNvPicPr>
                      <a:picLocks noChangeAspect="true"/>
                    </pic:cNvPicPr>
                  </pic:nvPicPr>
                  <pic:blipFill>
                    <a:blip r:embed="rId10" cstate="print"/>
                    <a:stretch>
                      <a:fillRect/>
                    </a:stretch>
                  </pic:blipFill>
                  <pic:spPr>
                    <a:xfrm>
                      <a:off x="0" y="0"/>
                      <a:ext cx="5274310" cy="3407410"/>
                    </a:xfrm>
                    <a:prstGeom prst="rect">
                      <a:avLst/>
                    </a:prstGeom>
                  </pic:spPr>
                </pic:pic>
              </a:graphicData>
            </a:graphic>
          </wp:inline>
        </w:drawing>
      </w:r>
    </w:p>
    <w:p>
      <w:pPr>
        <w:jc w:val="center"/>
        <w:rPr>
          <w:rFonts w:ascii="仿宋_GB2312" w:eastAsia="仿宋_GB2312"/>
          <w:sz w:val="32"/>
          <w:szCs w:val="32"/>
        </w:rPr>
      </w:pPr>
      <w:r>
        <w:rPr>
          <w:rFonts w:hint="eastAsia" w:ascii="楷体_GB2312" w:eastAsia="楷体_GB2312"/>
          <w:color w:val="000000" w:themeColor="text1"/>
          <w:sz w:val="30"/>
          <w:szCs w:val="30"/>
          <w14:textFill>
            <w14:solidFill>
              <w14:schemeClr w14:val="tx1"/>
            </w14:solidFill>
          </w14:textFill>
        </w:rPr>
        <w:t>（区投促局开展政策云宣讲活动）</w:t>
      </w:r>
    </w:p>
    <w:p>
      <w:pPr>
        <w:rPr>
          <w:rFonts w:hint="eastAsia" w:eastAsiaTheme="minorEastAsi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文鼎CS楷體"/>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文鼎CS楷體"/>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Calibri Light">
    <w:altName w:val="DejaVu Sans"/>
    <w:panose1 w:val="020F0302020204030204"/>
    <w:charset w:val="00"/>
    <w:family w:val="auto"/>
    <w:pitch w:val="default"/>
    <w:sig w:usb0="00000000" w:usb1="00000000"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A00002BF" w:usb1="38CF7CFA" w:usb2="00082016" w:usb3="00000000" w:csb0="00040001" w:csb1="00000000"/>
  </w:font>
  <w:font w:name="DejaVu Sans">
    <w:panose1 w:val="020B0603030804020204"/>
    <w:charset w:val="00"/>
    <w:family w:val="auto"/>
    <w:pitch w:val="default"/>
    <w:sig w:usb0="E7006EFF" w:usb1="D200FDFF" w:usb2="0A246029" w:usb3="0400200C" w:csb0="600001FF" w:csb1="DFFF0000"/>
  </w:font>
  <w:font w:name="方正书宋简体">
    <w:panose1 w:val="02000000000000000000"/>
    <w:charset w:val="86"/>
    <w:family w:val="auto"/>
    <w:pitch w:val="default"/>
    <w:sig w:usb0="A00002BF" w:usb1="184F6CFA" w:usb2="00000012" w:usb3="00000000" w:csb0="00040001" w:csb1="00000000"/>
  </w:font>
  <w:font w:name="方正仿宋简体">
    <w:panose1 w:val="03000509000000000000"/>
    <w:charset w:val="86"/>
    <w:family w:val="auto"/>
    <w:pitch w:val="default"/>
    <w:sig w:usb0="00000001" w:usb1="080E0000" w:usb2="00000000" w:usb3="00000000" w:csb0="00040000" w:csb1="00000000"/>
  </w:font>
  <w:font w:name="方正宋体S-超大字符集(SIP)">
    <w:panose1 w:val="03000509000000000000"/>
    <w:charset w:val="86"/>
    <w:family w:val="auto"/>
    <w:pitch w:val="default"/>
    <w:sig w:usb0="00000003" w:usb1="0A0E0800" w:usb2="00000006" w:usb3="00000000" w:csb0="00040001" w:csb1="00000000"/>
  </w:font>
  <w:font w:name="方正宋体S-超大字符集">
    <w:panose1 w:val="02000000000000000000"/>
    <w:charset w:val="86"/>
    <w:family w:val="auto"/>
    <w:pitch w:val="default"/>
    <w:sig w:usb0="00000001" w:usb1="08000000" w:usb2="00000000" w:usb3="00000000" w:csb0="00040000" w:csb1="00000000"/>
  </w:font>
  <w:font w:name="方正隶书_GBK">
    <w:panose1 w:val="03000509000000000000"/>
    <w:charset w:val="86"/>
    <w:family w:val="auto"/>
    <w:pitch w:val="default"/>
    <w:sig w:usb0="00000001" w:usb1="080E0000" w:usb2="00000000" w:usb3="00000000" w:csb0="00040000" w:csb1="00000000"/>
  </w:font>
  <w:font w:name="方正黑体简体">
    <w:panose1 w:val="03000509000000000000"/>
    <w:charset w:val="86"/>
    <w:family w:val="auto"/>
    <w:pitch w:val="default"/>
    <w:sig w:usb0="00000001" w:usb1="080E0000" w:usb2="00000000" w:usb3="00000000" w:csb0="00040000" w:csb1="00000000"/>
  </w:font>
  <w:font w:name="文鼎CS楷體">
    <w:panose1 w:val="02010609010101010101"/>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68BED7"/>
    <w:multiLevelType w:val="singleLevel"/>
    <w:tmpl w:val="F168BED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VmMmNhYjhkMTAxMDhjMjQ2NTQzY2UxMWQyMTQzYzkifQ=="/>
  </w:docVars>
  <w:rsids>
    <w:rsidRoot w:val="0FDB13F7"/>
    <w:rsid w:val="0FDB13F7"/>
    <w:rsid w:val="BEFBE8F4"/>
    <w:rsid w:val="E9EFD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3955</Words>
  <Characters>4170</Characters>
  <Lines>0</Lines>
  <Paragraphs>0</Paragraphs>
  <TotalTime>17</TotalTime>
  <ScaleCrop>false</ScaleCrop>
  <LinksUpToDate>false</LinksUpToDate>
  <CharactersWithSpaces>4180</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2022-09-07T09:26:00Z</dcterms:created>
  <dc:creator>韩梦寒梦</dc:creator>
  <cp:lastModifiedBy>jnak</cp:lastModifiedBy>
  <dcterms:modified xsi:type="dcterms:W3CDTF">2022-09-07T10:27:14Z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AA49D2F75E81478A96EC0CECF4CAA687</vt:lpwstr>
  </property>
</Properties>
</file>