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olors1.xml" ContentType="application/vnd.ms-office.chartcolorstyle+xml"/>
  <Override PartName="/word/charts/style1.xml" ContentType="application/vnd.ms-office.chart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方正小标宋简体" w:hAnsi="文星标宋" w:eastAsia="方正小标宋简体"/>
          <w:sz w:val="44"/>
          <w:szCs w:val="44"/>
        </w:rPr>
      </w:pPr>
      <w:bookmarkStart w:id="0" w:name="_Hlk94363940"/>
      <w:bookmarkEnd w:id="0"/>
    </w:p>
    <w:p>
      <w:pPr>
        <w:spacing w:line="560" w:lineRule="exact"/>
        <w:jc w:val="center"/>
        <w:rPr>
          <w:rFonts w:ascii="方正小标宋简体" w:hAnsi="文星标宋" w:eastAsia="方正小标宋简体"/>
          <w:sz w:val="44"/>
          <w:szCs w:val="44"/>
        </w:rPr>
      </w:pPr>
      <w:r>
        <w:rPr>
          <w:rFonts w:hint="eastAsia" w:ascii="方正小标宋简体" w:hAnsi="文星标宋" w:eastAsia="方正小标宋简体"/>
          <w:sz w:val="44"/>
          <w:szCs w:val="44"/>
        </w:rPr>
        <w:t>济南市历城区</w:t>
      </w:r>
      <w:r>
        <w:rPr>
          <w:rFonts w:hint="eastAsia" w:ascii="方正小标宋简体" w:hAnsi="文星标宋" w:eastAsia="方正小标宋简体"/>
          <w:sz w:val="44"/>
          <w:szCs w:val="44"/>
          <w:lang w:val="en-US" w:eastAsia="zh-CN"/>
        </w:rPr>
        <w:t>人民政府</w:t>
      </w:r>
      <w:r>
        <w:rPr>
          <w:rFonts w:hint="eastAsia" w:ascii="方正小标宋简体" w:hAnsi="文星标宋" w:eastAsia="方正小标宋简体"/>
          <w:sz w:val="44"/>
          <w:szCs w:val="44"/>
        </w:rPr>
        <w:t>2022年政府信息公开工作</w:t>
      </w:r>
      <w:bookmarkStart w:id="1" w:name="_GoBack"/>
      <w:bookmarkEnd w:id="1"/>
      <w:r>
        <w:rPr>
          <w:rFonts w:hint="eastAsia" w:ascii="方正小标宋简体" w:hAnsi="文星标宋" w:eastAsia="方正小标宋简体"/>
          <w:sz w:val="44"/>
          <w:szCs w:val="44"/>
        </w:rPr>
        <w:t>年度报告</w:t>
      </w:r>
    </w:p>
    <w:p>
      <w:pPr>
        <w:spacing w:line="560" w:lineRule="exact"/>
        <w:jc w:val="center"/>
        <w:rPr>
          <w:rFonts w:ascii="仿宋_GB2312" w:hAnsi="文星标宋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根据《中华人民共和国政府信息公开条例》（国务院令第711号，以下简称《条例》）的要求，特向社会公布2022年本级政府信息公开年度报告。本报告包括：总体情况、主动公开政府信息情况、收到和处理政府信息公开申请情况、政府信息公开行政复议和行政诉讼情况、存在的主要问题及改进情况、其他需要报告的事项等六个部分。本年度报告中所列数据统计期限从2022年1月1日到2022年12月31日。本报告可在历城区政府门户网站（www.licheng.gov.cn）查看和下载。如对本报告有任何疑问，请与济南市历城区人民政府办公室联系（地址：济南市历城区山大北路47号；邮编：250100；电话：0531-88023751；电子邮箱：jnslcqzfbgszwgk@jn.shandong.cn）。</w:t>
      </w:r>
    </w:p>
    <w:p>
      <w:pPr>
        <w:spacing w:line="560" w:lineRule="exact"/>
        <w:ind w:firstLine="640" w:firstLineChars="200"/>
        <w:rPr>
          <w:rFonts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一、总体情况</w:t>
      </w:r>
    </w:p>
    <w:p>
      <w:pPr>
        <w:spacing w:line="560" w:lineRule="exact"/>
        <w:ind w:firstLine="640" w:firstLineChars="200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（一）主动公开。</w:t>
      </w:r>
      <w:r>
        <w:rPr>
          <w:rFonts w:hint="eastAsia" w:ascii="仿宋_GB2312" w:hAnsi="楷体_GB2312" w:eastAsia="仿宋_GB2312" w:cs="楷体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一是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强化重点领域信息公开。</w:t>
      </w:r>
      <w:r>
        <w:rPr>
          <w:rFonts w:hint="eastAsia" w:ascii="仿宋_GB2312" w:hAnsi="仿宋_GB2312" w:eastAsia="仿宋_GB2312" w:cs="仿宋_GB2312"/>
          <w:sz w:val="32"/>
          <w:szCs w:val="32"/>
        </w:rPr>
        <w:t>围绕“疫情防控”、“稳岗就业”等重点领域，梳理目录，细化任务，确保信息及时公开。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4271010" cy="2416810"/>
            <wp:effectExtent l="19050" t="19050" r="15240" b="215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2416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rPr>
          <w:rFonts w:ascii="仿宋_GB2312" w:hAnsi="宋体" w:eastAsia="仿宋_GB2312" w:cs="宋体"/>
          <w:sz w:val="32"/>
          <w:szCs w:val="32"/>
        </w:rPr>
      </w:pPr>
      <w:r>
        <w:rPr>
          <w:rFonts w:hint="eastAsia" w:ascii="仿宋_GB2312" w:hAnsi="宋体" w:eastAsia="仿宋_GB2312" w:cs="宋体"/>
          <w:sz w:val="32"/>
          <w:szCs w:val="32"/>
        </w:rPr>
        <w:t>(公共企事业单位公开平台）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楷体_GB2312" w:eastAsia="仿宋_GB2312" w:cs="楷体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二是落实公共企事业单位信息公开。</w:t>
      </w:r>
      <w:r>
        <w:rPr>
          <w:rFonts w:hint="eastAsia" w:ascii="仿宋_GB2312" w:hAnsi="仿宋_GB2312" w:eastAsia="仿宋_GB2312" w:cs="仿宋_GB2312"/>
          <w:sz w:val="32"/>
          <w:szCs w:val="32"/>
        </w:rPr>
        <w:t>在区政府门户网站设立“公共企事业单位信息公开平台”，汇聚卫生健康、教育、供电等领域的89所区属学校、14所区属医疗机构和1个供电企业，共计发布信息7000余条。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楷体_GB2312" w:eastAsia="仿宋_GB2312" w:cs="楷体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三是深化基层政务公开标准化规范化工作。</w:t>
      </w:r>
      <w:r>
        <w:rPr>
          <w:rFonts w:hint="eastAsia" w:ascii="仿宋_GB2312" w:hAnsi="仿宋_GB2312" w:eastAsia="仿宋_GB2312" w:cs="仿宋_GB2312"/>
          <w:sz w:val="32"/>
          <w:szCs w:val="32"/>
        </w:rPr>
        <w:t>编制发布交通运输、旅游等7大领域的标准化清单，开展清单落实情况“回头看”，确保将政务公开标准化成果落实到位。</w:t>
      </w:r>
    </w:p>
    <w:p>
      <w:pPr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690" cy="5266690"/>
            <wp:effectExtent l="19050" t="19050" r="10160" b="10160"/>
            <wp:docPr id="4" name="图片 4" descr="微信图片_2023020214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2021417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sz w:val="32"/>
          <w:szCs w:val="32"/>
        </w:rPr>
        <w:t>（政府开放月活动情况）</w:t>
      </w:r>
    </w:p>
    <w:p>
      <w:pPr>
        <w:spacing w:line="560" w:lineRule="exact"/>
        <w:ind w:firstLine="640" w:firstLineChars="200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楷体_GB2312" w:eastAsia="仿宋_GB2312" w:cs="楷体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四是开展政府开放月活动。</w:t>
      </w:r>
      <w:r>
        <w:rPr>
          <w:rFonts w:hint="eastAsia" w:ascii="仿宋_GB2312" w:hAnsi="仿宋_GB2312" w:eastAsia="仿宋_GB2312" w:cs="仿宋_GB2312"/>
          <w:sz w:val="32"/>
          <w:szCs w:val="32"/>
        </w:rPr>
        <w:t>2022年9月份，我区组织开展全区政府开放月活动，全区19个部门、14个街道组织活动33场，1000余名各界代表参加开放月活动。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2022年，历城区通过政府网站公开发布各类信息19413条，包括概况类信息591条，政务动态类信息3875条，信息公开类信息14947条。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（二）依申请公开。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2022年，历城区以搭建依申请公开平台、引入区级法律顾问等措施，实现“申请工单全流程跟踪、热点事件及时研判”，着力提升全区依申请公开办理答复质量。2022年，全区共收到政府信息公开申请357件，较2021年增加26.6%,内容主要涉及征地拆迁、安置补偿、社会保障等方面；处理2021年结转申请6件。2022年共计答复申请362件，结转下年度继续办理申请1件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5219700" cy="3060065"/>
            <wp:effectExtent l="0" t="0" r="0" b="6985"/>
            <wp:docPr id="22" name="图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>
      <w:pPr>
        <w:spacing w:line="560" w:lineRule="exact"/>
        <w:jc w:val="center"/>
        <w:rPr>
          <w:rFonts w:ascii="仿宋_GB2312" w:hAnsi="宋体" w:eastAsia="仿宋_GB2312" w:cs="宋体"/>
          <w:sz w:val="32"/>
          <w:szCs w:val="32"/>
        </w:rPr>
      </w:pPr>
      <w:r>
        <w:rPr>
          <w:rFonts w:hint="eastAsia" w:ascii="仿宋_GB2312" w:hAnsi="宋体" w:eastAsia="仿宋_GB2312" w:cs="宋体"/>
          <w:sz w:val="32"/>
          <w:szCs w:val="32"/>
        </w:rPr>
        <w:t>（信息公开处理结果）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2022年，全区因政府信息公开引起行政复议15件（较2021年降低54.5%），其中结果维持7件、结果纠正2件（较2021年降低87.5%）、其他结果1件、尚未审结5件。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2022年，全区因政府信息公开引起的行政诉讼9件（同比降低55%），结果维持7件、结果纠正2件。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5219700" cy="3060065"/>
            <wp:effectExtent l="0" t="0" r="0" b="6985"/>
            <wp:docPr id="17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>
      <w:pPr>
        <w:spacing w:line="560" w:lineRule="exact"/>
        <w:jc w:val="center"/>
        <w:rPr>
          <w:rFonts w:ascii="仿宋_GB2312" w:hAnsi="宋体" w:eastAsia="仿宋_GB2312" w:cs="宋体"/>
          <w:sz w:val="32"/>
          <w:szCs w:val="32"/>
        </w:rPr>
      </w:pPr>
      <w:r>
        <w:rPr>
          <w:rFonts w:hint="eastAsia" w:ascii="仿宋_GB2312" w:hAnsi="宋体" w:eastAsia="仿宋_GB2312" w:cs="宋体"/>
          <w:sz w:val="32"/>
          <w:szCs w:val="32"/>
        </w:rPr>
        <w:t>（2021、2022年依申请公开情况对比）</w:t>
      </w:r>
    </w:p>
    <w:p>
      <w:pPr>
        <w:spacing w:line="560" w:lineRule="exact"/>
        <w:ind w:firstLine="640" w:firstLineChars="200"/>
        <w:rPr>
          <w:rFonts w:ascii="仿宋_GB2312" w:hAnsi="仿宋" w:eastAsia="仿宋_GB2312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（三）政府信息管理。</w:t>
      </w:r>
      <w:r>
        <w:rPr>
          <w:rFonts w:hint="eastAsia" w:ascii="仿宋_GB2312" w:hAnsi="仿宋_GB2312" w:eastAsia="仿宋_GB2312" w:cs="仿宋_GB2312"/>
          <w:sz w:val="32"/>
          <w:szCs w:val="32"/>
        </w:rPr>
        <w:t>2022年，历城区组织开展政府文件集中公开工作，完成文件梳理和录入1200余件。2022年历城区清理失效的规范性文件1个。</w:t>
      </w:r>
    </w:p>
    <w:p>
      <w:pPr>
        <w:ind w:left="420" w:leftChars="200"/>
        <w:jc w:val="center"/>
        <w:rPr>
          <w:rFonts w:ascii="仿宋_GB2312" w:hAnsi="仿宋" w:eastAsia="仿宋_GB2312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675505" cy="2833370"/>
            <wp:effectExtent l="9525" t="9525" r="20320" b="14605"/>
            <wp:docPr id="8" name="图片 8" descr="微信截图_20230131164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截图_202301311647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5505" cy="2833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rPr>
          <w:rFonts w:ascii="仿宋_GB2312" w:hAnsi="宋体" w:eastAsia="仿宋_GB2312" w:cs="宋体"/>
          <w:sz w:val="32"/>
          <w:szCs w:val="32"/>
        </w:rPr>
      </w:pPr>
      <w:r>
        <w:rPr>
          <w:rFonts w:hint="eastAsia" w:ascii="仿宋_GB2312" w:hAnsi="宋体" w:eastAsia="仿宋_GB2312" w:cs="宋体"/>
          <w:sz w:val="32"/>
          <w:szCs w:val="32"/>
        </w:rPr>
        <w:t>（规范性文件常态化维护情况）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持续完善历城区政府和各街道、部门主动公开基本目录，形成动态调整机制。</w:t>
      </w:r>
      <w:r>
        <w:rPr>
          <w:rFonts w:hint="eastAsia" w:ascii="仿宋_GB2312" w:eastAsia="仿宋_GB2312"/>
          <w:sz w:val="32"/>
          <w:szCs w:val="32"/>
        </w:rPr>
        <w:t xml:space="preserve"> </w:t>
      </w:r>
    </w:p>
    <w:p>
      <w:pPr>
        <w:spacing w:line="560" w:lineRule="exact"/>
        <w:jc w:val="center"/>
        <w:rPr>
          <w:rFonts w:ascii="仿宋_GB2312" w:hAnsi="仿宋" w:eastAsia="仿宋_GB2312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（四）政府信息公开平台建设</w:t>
      </w:r>
      <w:r>
        <w:rPr>
          <w:rFonts w:hint="eastAsia" w:ascii="楷体_GB2312" w:eastAsia="楷体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2022年，历城区开展门户网站改版工作，围绕政府工作重点和社会公众关注热点，完善了无障碍访问功能，进行了适老化改造，切实增加网站的易用性、便利性。</w:t>
      </w:r>
    </w:p>
    <w:p>
      <w:pPr>
        <w:spacing w:line="560" w:lineRule="exact"/>
        <w:ind w:firstLine="640" w:firstLineChars="200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强化政务新媒体建设工作，建立新媒体矩阵，全区上下形成“责任到人、工作入群、整体联动、集体发声”的公开格局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>
      <w:pPr>
        <w:jc w:val="center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138930" cy="2994025"/>
            <wp:effectExtent l="9525" t="9525" r="12065" b="13970"/>
            <wp:docPr id="21" name="图片 21" descr="微信截图_2023013116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截图_202301311657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38930" cy="2994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rPr>
          <w:rFonts w:ascii="仿宋_GB2312" w:hAnsi="宋体" w:eastAsia="仿宋_GB2312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宋体" w:eastAsia="仿宋_GB2312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（政务新媒体矩阵）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持续推进“1+14+N”政务公开专区建设，将政务公开拓展到“食安角”等功能区，汇集信息公开、查阅办理、申请填报等功能，实现多“区”融合。</w:t>
      </w:r>
    </w:p>
    <w:p>
      <w:pPr>
        <w:jc w:val="center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037330" cy="3029585"/>
            <wp:effectExtent l="9525" t="9525" r="22225" b="24130"/>
            <wp:docPr id="24" name="图片 24" descr="微信图片_2023013117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301311712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37330" cy="30295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（历城区华山街道卧牛社区便民服务大厅开设政务公开专区）</w:t>
      </w:r>
    </w:p>
    <w:p>
      <w:pPr>
        <w:numPr>
          <w:ilvl w:val="0"/>
          <w:numId w:val="1"/>
        </w:numPr>
        <w:spacing w:line="560" w:lineRule="exact"/>
        <w:ind w:firstLine="640" w:firstLineChars="200"/>
        <w:rPr>
          <w:rFonts w:ascii="仿宋_GB2312" w:hAnsi="Helvetica" w:eastAsia="仿宋_GB2312" w:cs="Helvetic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监督保障情况。</w:t>
      </w:r>
      <w:r>
        <w:rPr>
          <w:rFonts w:hint="eastAsia" w:ascii="仿宋_GB2312" w:hAnsi="仿宋_GB2312" w:eastAsia="仿宋_GB2312" w:cs="仿宋_GB2312"/>
          <w:sz w:val="32"/>
          <w:szCs w:val="32"/>
        </w:rPr>
        <w:t>继续将政务公开工作纳入全区综合绩效考核，每季度开展督导检查，形成各类问题清单300余份，涉及单位60余个。</w:t>
      </w:r>
    </w:p>
    <w:p>
      <w:pPr>
        <w:jc w:val="center"/>
        <w:rPr>
          <w:rFonts w:ascii="仿宋_GB2312" w:hAnsi="Helvetica" w:eastAsia="仿宋_GB2312" w:cs="Helvetic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Helvetica" w:eastAsia="仿宋_GB2312" w:cs="Helvetic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096385" cy="4652645"/>
            <wp:effectExtent l="9525" t="9525" r="24130" b="16510"/>
            <wp:docPr id="26" name="图片 26" descr="微信截图_2023013117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截图_2023013117184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46526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（督查通报情况）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针对关键工作，发布专题督查通报。开展全区政务公开强基行动，逐一梳理公开目录，确定发布规则、责任科室、更新频率，形成标准化工作清单。</w:t>
      </w:r>
    </w:p>
    <w:p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二、主动公开政府信息情况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4"/>
            <w:shd w:val="clear" w:color="auto" w:fill="BDD6EE" w:themeFill="accent1" w:themeFillTint="66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第二十条  第（一）项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信息内容</w:t>
            </w:r>
          </w:p>
        </w:tc>
        <w:tc>
          <w:tcPr>
            <w:tcW w:w="2130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本年制发件数</w:t>
            </w:r>
          </w:p>
        </w:tc>
        <w:tc>
          <w:tcPr>
            <w:tcW w:w="2131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本年废止件数</w:t>
            </w:r>
          </w:p>
        </w:tc>
        <w:tc>
          <w:tcPr>
            <w:tcW w:w="2131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现行有效件数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规章</w:t>
            </w:r>
          </w:p>
        </w:tc>
        <w:tc>
          <w:tcPr>
            <w:tcW w:w="2130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0</w:t>
            </w:r>
          </w:p>
        </w:tc>
        <w:tc>
          <w:tcPr>
            <w:tcW w:w="2131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0</w:t>
            </w:r>
          </w:p>
        </w:tc>
        <w:tc>
          <w:tcPr>
            <w:tcW w:w="2131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行政规范性文件</w:t>
            </w:r>
          </w:p>
        </w:tc>
        <w:tc>
          <w:tcPr>
            <w:tcW w:w="2130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0</w:t>
            </w:r>
          </w:p>
        </w:tc>
        <w:tc>
          <w:tcPr>
            <w:tcW w:w="2131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1</w:t>
            </w:r>
          </w:p>
        </w:tc>
        <w:tc>
          <w:tcPr>
            <w:tcW w:w="2131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4"/>
            <w:shd w:val="clear" w:color="auto" w:fill="BDD6EE" w:themeFill="accent1" w:themeFillTint="66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第二十条  第（五）项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信息内容</w:t>
            </w:r>
          </w:p>
        </w:tc>
        <w:tc>
          <w:tcPr>
            <w:tcW w:w="6392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本年处理决定数量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行政许可</w:t>
            </w:r>
          </w:p>
        </w:tc>
        <w:tc>
          <w:tcPr>
            <w:tcW w:w="6392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153197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4"/>
            <w:shd w:val="clear" w:color="auto" w:fill="BDD6EE" w:themeFill="accent1" w:themeFillTint="66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第二十条  第（六）项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信息内容</w:t>
            </w:r>
          </w:p>
        </w:tc>
        <w:tc>
          <w:tcPr>
            <w:tcW w:w="6392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本年处理决定数量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行政处罚</w:t>
            </w:r>
          </w:p>
        </w:tc>
        <w:tc>
          <w:tcPr>
            <w:tcW w:w="6392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2731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行政强制</w:t>
            </w:r>
          </w:p>
        </w:tc>
        <w:tc>
          <w:tcPr>
            <w:tcW w:w="6392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115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4"/>
            <w:shd w:val="clear" w:color="auto" w:fill="BDD6EE" w:themeFill="accent1" w:themeFillTint="66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第二十条  第（八）项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信息内容</w:t>
            </w:r>
          </w:p>
        </w:tc>
        <w:tc>
          <w:tcPr>
            <w:tcW w:w="6392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本年收费金额（单位：万元）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行政事业性收费</w:t>
            </w:r>
          </w:p>
        </w:tc>
        <w:tc>
          <w:tcPr>
            <w:tcW w:w="6392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72074</w:t>
            </w:r>
          </w:p>
        </w:tc>
      </w:tr>
    </w:tbl>
    <w:p>
      <w:pPr>
        <w:numPr>
          <w:ilvl w:val="0"/>
          <w:numId w:val="2"/>
        </w:num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收到和处理政府信息公开申请情况</w:t>
      </w:r>
    </w:p>
    <w:tbl>
      <w:tblPr>
        <w:tblStyle w:val="6"/>
        <w:tblW w:w="9643" w:type="dxa"/>
        <w:tblInd w:w="-4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709"/>
        <w:gridCol w:w="2342"/>
        <w:gridCol w:w="820"/>
        <w:gridCol w:w="840"/>
        <w:gridCol w:w="741"/>
        <w:gridCol w:w="742"/>
        <w:gridCol w:w="878"/>
        <w:gridCol w:w="883"/>
        <w:gridCol w:w="979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3760" w:type="dxa"/>
            <w:gridSpan w:val="3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（本列数据的勾稽关系为：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第一项加第二项之和，等于第三项加第四项之和）</w:t>
            </w:r>
          </w:p>
        </w:tc>
        <w:tc>
          <w:tcPr>
            <w:tcW w:w="5883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申请人情况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3760" w:type="dxa"/>
            <w:gridSpan w:val="3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820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自然人</w:t>
            </w:r>
          </w:p>
        </w:tc>
        <w:tc>
          <w:tcPr>
            <w:tcW w:w="4084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法人或其他组织</w:t>
            </w:r>
          </w:p>
        </w:tc>
        <w:tc>
          <w:tcPr>
            <w:tcW w:w="97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总计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</w:trPr>
        <w:tc>
          <w:tcPr>
            <w:tcW w:w="3760" w:type="dxa"/>
            <w:gridSpan w:val="3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82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商业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企业</w:t>
            </w:r>
          </w:p>
        </w:tc>
        <w:tc>
          <w:tcPr>
            <w:tcW w:w="7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科研机构</w:t>
            </w:r>
          </w:p>
        </w:tc>
        <w:tc>
          <w:tcPr>
            <w:tcW w:w="7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社会公益组织</w:t>
            </w:r>
          </w:p>
        </w:tc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法律服务机构</w:t>
            </w:r>
          </w:p>
        </w:tc>
        <w:tc>
          <w:tcPr>
            <w:tcW w:w="8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其他</w:t>
            </w:r>
          </w:p>
        </w:tc>
        <w:tc>
          <w:tcPr>
            <w:tcW w:w="97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3760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一、本年新收政府信息公开申请数量</w:t>
            </w:r>
          </w:p>
        </w:tc>
        <w:tc>
          <w:tcPr>
            <w:tcW w:w="8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341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15</w:t>
            </w:r>
          </w:p>
        </w:tc>
        <w:tc>
          <w:tcPr>
            <w:tcW w:w="7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7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8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1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357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3760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二、上年结转政府信息公开申请数量</w:t>
            </w:r>
          </w:p>
        </w:tc>
        <w:tc>
          <w:tcPr>
            <w:tcW w:w="8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6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7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7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8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6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70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三、本年度办理结果</w:t>
            </w:r>
          </w:p>
        </w:tc>
        <w:tc>
          <w:tcPr>
            <w:tcW w:w="3051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（一）予以公开</w:t>
            </w:r>
          </w:p>
        </w:tc>
        <w:tc>
          <w:tcPr>
            <w:tcW w:w="8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176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9</w:t>
            </w:r>
          </w:p>
        </w:tc>
        <w:tc>
          <w:tcPr>
            <w:tcW w:w="7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7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8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185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70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3051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（二）部分公开</w:t>
            </w:r>
            <w:r>
              <w:rPr>
                <w:rStyle w:val="13"/>
                <w:rFonts w:hint="eastAsia" w:ascii="仿宋_GB2312" w:hAnsi="宋体" w:eastAsia="仿宋_GB2312"/>
                <w:sz w:val="28"/>
                <w:szCs w:val="28"/>
                <w:lang w:bidi="ar"/>
              </w:rPr>
              <w:t>（区分处理的，只计这一情形，不计其他情形）</w:t>
            </w:r>
          </w:p>
        </w:tc>
        <w:tc>
          <w:tcPr>
            <w:tcW w:w="8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38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1</w:t>
            </w:r>
          </w:p>
        </w:tc>
        <w:tc>
          <w:tcPr>
            <w:tcW w:w="7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7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8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39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70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（三）不予公开</w:t>
            </w:r>
          </w:p>
        </w:tc>
        <w:tc>
          <w:tcPr>
            <w:tcW w:w="23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1.属于国家秘密</w:t>
            </w:r>
          </w:p>
        </w:tc>
        <w:tc>
          <w:tcPr>
            <w:tcW w:w="8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7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7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8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70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23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2.其他法律行政法规禁止公开</w:t>
            </w:r>
          </w:p>
        </w:tc>
        <w:tc>
          <w:tcPr>
            <w:tcW w:w="8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1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7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7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8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1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70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23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3.危机“三安全一稳定”</w:t>
            </w:r>
          </w:p>
        </w:tc>
        <w:tc>
          <w:tcPr>
            <w:tcW w:w="8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7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7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8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70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23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4.保护第三方合法权益</w:t>
            </w:r>
          </w:p>
        </w:tc>
        <w:tc>
          <w:tcPr>
            <w:tcW w:w="8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2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7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7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8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2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70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23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5.属于三类内部事务信息</w:t>
            </w:r>
          </w:p>
        </w:tc>
        <w:tc>
          <w:tcPr>
            <w:tcW w:w="8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7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7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8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70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23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6.属于四类过程性信息</w:t>
            </w:r>
          </w:p>
        </w:tc>
        <w:tc>
          <w:tcPr>
            <w:tcW w:w="8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7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7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8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70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23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7.属于行政执法案卷</w:t>
            </w:r>
          </w:p>
        </w:tc>
        <w:tc>
          <w:tcPr>
            <w:tcW w:w="8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6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7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7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8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6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70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23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8.属于行政查询事项</w:t>
            </w:r>
          </w:p>
        </w:tc>
        <w:tc>
          <w:tcPr>
            <w:tcW w:w="8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3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1</w:t>
            </w:r>
          </w:p>
        </w:tc>
        <w:tc>
          <w:tcPr>
            <w:tcW w:w="7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7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8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70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（四）无法提供</w:t>
            </w:r>
          </w:p>
        </w:tc>
        <w:tc>
          <w:tcPr>
            <w:tcW w:w="23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1.本机关不掌握相关政府信息</w:t>
            </w:r>
          </w:p>
        </w:tc>
        <w:tc>
          <w:tcPr>
            <w:tcW w:w="8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111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4</w:t>
            </w:r>
          </w:p>
        </w:tc>
        <w:tc>
          <w:tcPr>
            <w:tcW w:w="7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7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8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1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116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70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23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2.没有现成信息需要另行制作</w:t>
            </w:r>
          </w:p>
        </w:tc>
        <w:tc>
          <w:tcPr>
            <w:tcW w:w="8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1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7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7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8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1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70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23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3.补正后申请内容仍不明确</w:t>
            </w:r>
          </w:p>
        </w:tc>
        <w:tc>
          <w:tcPr>
            <w:tcW w:w="8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7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7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8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70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（五）不予处理</w:t>
            </w:r>
          </w:p>
        </w:tc>
        <w:tc>
          <w:tcPr>
            <w:tcW w:w="23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1.信访举报投诉类申请</w:t>
            </w:r>
          </w:p>
        </w:tc>
        <w:tc>
          <w:tcPr>
            <w:tcW w:w="8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2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7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7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8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2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70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23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2.重复申请</w:t>
            </w:r>
          </w:p>
        </w:tc>
        <w:tc>
          <w:tcPr>
            <w:tcW w:w="8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2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7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7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8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2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70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23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3.要求提供公开出版物</w:t>
            </w:r>
          </w:p>
        </w:tc>
        <w:tc>
          <w:tcPr>
            <w:tcW w:w="8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7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7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8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70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23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4.无正当理由大量反复申请</w:t>
            </w:r>
          </w:p>
        </w:tc>
        <w:tc>
          <w:tcPr>
            <w:tcW w:w="8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7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7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8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</w:trPr>
        <w:tc>
          <w:tcPr>
            <w:tcW w:w="70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23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5.要求行政机关确认或重新出具已获取信息</w:t>
            </w:r>
          </w:p>
        </w:tc>
        <w:tc>
          <w:tcPr>
            <w:tcW w:w="8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7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7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8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8" w:hRule="atLeast"/>
        </w:trPr>
        <w:tc>
          <w:tcPr>
            <w:tcW w:w="70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（六）其他处理</w:t>
            </w:r>
          </w:p>
        </w:tc>
        <w:tc>
          <w:tcPr>
            <w:tcW w:w="23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1.申请人无正当理由逾期不补正、行政机关不再处理其政府信息公开申请</w:t>
            </w:r>
          </w:p>
        </w:tc>
        <w:tc>
          <w:tcPr>
            <w:tcW w:w="8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1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7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7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8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1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6" w:hRule="atLeast"/>
        </w:trPr>
        <w:tc>
          <w:tcPr>
            <w:tcW w:w="70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23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2.申请人逾期未按收费通知要求缴纳费用、行政机关不再处理其政府信息公开申请</w:t>
            </w:r>
          </w:p>
        </w:tc>
        <w:tc>
          <w:tcPr>
            <w:tcW w:w="8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7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7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8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70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23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3.其他</w:t>
            </w:r>
          </w:p>
        </w:tc>
        <w:tc>
          <w:tcPr>
            <w:tcW w:w="8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3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7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7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8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3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70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3051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（七）总结</w:t>
            </w:r>
          </w:p>
        </w:tc>
        <w:tc>
          <w:tcPr>
            <w:tcW w:w="8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346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15</w:t>
            </w:r>
          </w:p>
        </w:tc>
        <w:tc>
          <w:tcPr>
            <w:tcW w:w="7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7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8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1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362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3760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四、结转下年度继续办理</w:t>
            </w:r>
          </w:p>
        </w:tc>
        <w:tc>
          <w:tcPr>
            <w:tcW w:w="8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1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0</w:t>
            </w:r>
          </w:p>
        </w:tc>
        <w:tc>
          <w:tcPr>
            <w:tcW w:w="7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0</w:t>
            </w:r>
          </w:p>
        </w:tc>
        <w:tc>
          <w:tcPr>
            <w:tcW w:w="7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0</w:t>
            </w:r>
          </w:p>
        </w:tc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0</w:t>
            </w:r>
          </w:p>
        </w:tc>
        <w:tc>
          <w:tcPr>
            <w:tcW w:w="8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0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1</w:t>
            </w:r>
          </w:p>
        </w:tc>
      </w:tr>
    </w:tbl>
    <w:p>
      <w:pPr>
        <w:pStyle w:val="2"/>
        <w:spacing w:before="0" w:after="0" w:line="560" w:lineRule="exact"/>
        <w:ind w:firstLine="640" w:firstLineChars="200"/>
        <w:rPr>
          <w:rFonts w:ascii="黑体" w:hAnsi="黑体" w:eastAsia="黑体"/>
          <w:b w:val="0"/>
          <w:bCs w:val="0"/>
        </w:rPr>
      </w:pPr>
      <w:r>
        <w:rPr>
          <w:rFonts w:hint="eastAsia" w:ascii="黑体" w:hAnsi="黑体" w:eastAsia="黑体" w:cstheme="minorBidi"/>
          <w:b w:val="0"/>
          <w:bCs w:val="0"/>
        </w:rPr>
        <w:t>四、政府信息公开行政复议、行政诉讼情况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8"/>
        <w:gridCol w:w="731"/>
        <w:gridCol w:w="542"/>
        <w:gridCol w:w="543"/>
        <w:gridCol w:w="546"/>
        <w:gridCol w:w="543"/>
        <w:gridCol w:w="543"/>
        <w:gridCol w:w="543"/>
        <w:gridCol w:w="543"/>
        <w:gridCol w:w="546"/>
        <w:gridCol w:w="543"/>
        <w:gridCol w:w="543"/>
        <w:gridCol w:w="543"/>
        <w:gridCol w:w="544"/>
        <w:gridCol w:w="5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00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行政复议</w:t>
            </w:r>
          </w:p>
        </w:tc>
        <w:tc>
          <w:tcPr>
            <w:tcW w:w="5439" w:type="dxa"/>
            <w:gridSpan w:val="10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行政诉讼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8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结果</w:t>
            </w:r>
          </w:p>
          <w:p>
            <w:pPr>
              <w:spacing w:line="4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维持</w:t>
            </w:r>
          </w:p>
        </w:tc>
        <w:tc>
          <w:tcPr>
            <w:tcW w:w="731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结果</w:t>
            </w:r>
          </w:p>
          <w:p>
            <w:pPr>
              <w:spacing w:line="4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纠正</w:t>
            </w:r>
          </w:p>
        </w:tc>
        <w:tc>
          <w:tcPr>
            <w:tcW w:w="542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其他结果</w:t>
            </w:r>
          </w:p>
        </w:tc>
        <w:tc>
          <w:tcPr>
            <w:tcW w:w="543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尚未审结</w:t>
            </w:r>
          </w:p>
        </w:tc>
        <w:tc>
          <w:tcPr>
            <w:tcW w:w="546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总计</w:t>
            </w:r>
          </w:p>
        </w:tc>
        <w:tc>
          <w:tcPr>
            <w:tcW w:w="2718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未经复议直接起诉</w:t>
            </w:r>
          </w:p>
        </w:tc>
        <w:tc>
          <w:tcPr>
            <w:tcW w:w="2721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复议后起诉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8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731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542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543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546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543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结果维持</w:t>
            </w:r>
          </w:p>
        </w:tc>
        <w:tc>
          <w:tcPr>
            <w:tcW w:w="543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结果纠正</w:t>
            </w:r>
          </w:p>
        </w:tc>
        <w:tc>
          <w:tcPr>
            <w:tcW w:w="543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其他结果</w:t>
            </w:r>
          </w:p>
        </w:tc>
        <w:tc>
          <w:tcPr>
            <w:tcW w:w="543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尚未审结</w:t>
            </w:r>
          </w:p>
        </w:tc>
        <w:tc>
          <w:tcPr>
            <w:tcW w:w="546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总计</w:t>
            </w:r>
          </w:p>
        </w:tc>
        <w:tc>
          <w:tcPr>
            <w:tcW w:w="543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结果维持</w:t>
            </w:r>
          </w:p>
        </w:tc>
        <w:tc>
          <w:tcPr>
            <w:tcW w:w="543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结果纠正</w:t>
            </w:r>
          </w:p>
        </w:tc>
        <w:tc>
          <w:tcPr>
            <w:tcW w:w="543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其他结果</w:t>
            </w:r>
          </w:p>
        </w:tc>
        <w:tc>
          <w:tcPr>
            <w:tcW w:w="54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尚未审结</w:t>
            </w:r>
          </w:p>
        </w:tc>
        <w:tc>
          <w:tcPr>
            <w:tcW w:w="548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总计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8" w:type="dxa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7</w:t>
            </w:r>
          </w:p>
        </w:tc>
        <w:tc>
          <w:tcPr>
            <w:tcW w:w="731" w:type="dxa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2</w:t>
            </w:r>
          </w:p>
        </w:tc>
        <w:tc>
          <w:tcPr>
            <w:tcW w:w="542" w:type="dxa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32"/>
                <w:szCs w:val="32"/>
                <w:lang w:bidi="ar"/>
              </w:rPr>
              <w:t>1</w:t>
            </w:r>
          </w:p>
        </w:tc>
        <w:tc>
          <w:tcPr>
            <w:tcW w:w="543" w:type="dxa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32"/>
                <w:szCs w:val="32"/>
                <w:lang w:bidi="ar"/>
              </w:rPr>
              <w:t>5</w:t>
            </w:r>
          </w:p>
        </w:tc>
        <w:tc>
          <w:tcPr>
            <w:tcW w:w="546" w:type="dxa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15</w:t>
            </w:r>
          </w:p>
        </w:tc>
        <w:tc>
          <w:tcPr>
            <w:tcW w:w="543" w:type="dxa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7</w:t>
            </w:r>
          </w:p>
        </w:tc>
        <w:tc>
          <w:tcPr>
            <w:tcW w:w="543" w:type="dxa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2</w:t>
            </w:r>
          </w:p>
        </w:tc>
        <w:tc>
          <w:tcPr>
            <w:tcW w:w="543" w:type="dxa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0</w:t>
            </w:r>
          </w:p>
        </w:tc>
        <w:tc>
          <w:tcPr>
            <w:tcW w:w="543" w:type="dxa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0</w:t>
            </w:r>
          </w:p>
        </w:tc>
        <w:tc>
          <w:tcPr>
            <w:tcW w:w="546" w:type="dxa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9</w:t>
            </w:r>
          </w:p>
        </w:tc>
        <w:tc>
          <w:tcPr>
            <w:tcW w:w="543" w:type="dxa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32"/>
                <w:szCs w:val="32"/>
                <w:lang w:bidi="ar"/>
              </w:rPr>
              <w:t>0</w:t>
            </w:r>
          </w:p>
        </w:tc>
        <w:tc>
          <w:tcPr>
            <w:tcW w:w="543" w:type="dxa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32"/>
                <w:szCs w:val="32"/>
                <w:lang w:bidi="ar"/>
              </w:rPr>
              <w:t>0</w:t>
            </w:r>
          </w:p>
        </w:tc>
        <w:tc>
          <w:tcPr>
            <w:tcW w:w="543" w:type="dxa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32"/>
                <w:szCs w:val="32"/>
                <w:lang w:bidi="ar"/>
              </w:rPr>
              <w:t>0</w:t>
            </w:r>
          </w:p>
        </w:tc>
        <w:tc>
          <w:tcPr>
            <w:tcW w:w="544" w:type="dxa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32"/>
                <w:szCs w:val="32"/>
                <w:lang w:bidi="ar"/>
              </w:rPr>
              <w:t>0</w:t>
            </w:r>
          </w:p>
        </w:tc>
        <w:tc>
          <w:tcPr>
            <w:tcW w:w="548" w:type="dxa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32"/>
                <w:szCs w:val="32"/>
                <w:lang w:bidi="ar"/>
              </w:rPr>
              <w:t>0</w:t>
            </w:r>
          </w:p>
        </w:tc>
      </w:tr>
    </w:tbl>
    <w:p>
      <w:pPr>
        <w:pStyle w:val="5"/>
        <w:widowControl/>
        <w:shd w:val="clear" w:color="auto" w:fill="FFFFFF"/>
        <w:adjustRightInd w:val="0"/>
        <w:snapToGrid w:val="0"/>
        <w:spacing w:beforeAutospacing="0" w:afterAutospacing="0" w:line="560" w:lineRule="exact"/>
        <w:ind w:firstLine="640" w:firstLineChars="200"/>
        <w:jc w:val="both"/>
        <w:rPr>
          <w:rFonts w:ascii="黑体" w:hAnsi="黑体" w:eastAsia="黑体" w:cs="黑体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五、存在的主要问题及改进情况</w:t>
      </w:r>
    </w:p>
    <w:p>
      <w:pPr>
        <w:spacing w:line="560" w:lineRule="exact"/>
        <w:ind w:firstLine="640" w:firstLineChars="200"/>
        <w:outlineLvl w:val="1"/>
        <w:rPr>
          <w:rFonts w:ascii="楷体_GB2312" w:hAnsi="仿宋" w:eastAsia="楷体_GB2312" w:cs="仿宋"/>
          <w:color w:val="333333"/>
          <w:sz w:val="32"/>
          <w:szCs w:val="32"/>
          <w:shd w:val="clear" w:color="auto" w:fill="FFFFFF"/>
        </w:rPr>
      </w:pPr>
      <w:r>
        <w:rPr>
          <w:rFonts w:hint="eastAsia" w:ascii="楷体_GB2312" w:hAnsi="文星仿宋" w:eastAsia="楷体_GB2312"/>
          <w:sz w:val="32"/>
          <w:szCs w:val="32"/>
        </w:rPr>
        <w:t>（一）存在的主要问题</w:t>
      </w:r>
    </w:p>
    <w:p>
      <w:pPr>
        <w:pStyle w:val="5"/>
        <w:widowControl/>
        <w:shd w:val="clear" w:color="auto" w:fill="FFFFFF"/>
        <w:adjustRightInd w:val="0"/>
        <w:snapToGrid w:val="0"/>
        <w:spacing w:beforeAutospacing="0" w:afterAutospacing="0" w:line="560" w:lineRule="exact"/>
        <w:ind w:firstLine="640" w:firstLineChars="200"/>
        <w:jc w:val="both"/>
        <w:rPr>
          <w:rFonts w:ascii="仿宋_GB2312" w:hAnsi="Helvetica" w:eastAsia="仿宋_GB2312" w:cs="Helvetica"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Helvetica" w:eastAsia="仿宋_GB2312" w:cs="Helvetica"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  <w:t>一是政务公开工作人员变化大，队伍建设仍需强化，业务能力与水平有待提升。二是政策解读形式不丰富，多角度、多维度解读力度待加强。三是部分单位对依申请公开工作要求把握不牢，办理水平不高。四是公共企事业单位信息公开需进一步规范。</w:t>
      </w:r>
    </w:p>
    <w:p>
      <w:pPr>
        <w:spacing w:line="560" w:lineRule="exact"/>
        <w:ind w:firstLine="640" w:firstLineChars="200"/>
        <w:outlineLvl w:val="1"/>
        <w:rPr>
          <w:rFonts w:ascii="楷体_GB2312" w:hAnsi="文星仿宋" w:eastAsia="楷体_GB2312"/>
          <w:sz w:val="32"/>
          <w:szCs w:val="32"/>
        </w:rPr>
      </w:pPr>
      <w:r>
        <w:rPr>
          <w:rFonts w:hint="eastAsia" w:ascii="楷体_GB2312" w:hAnsi="文星仿宋" w:eastAsia="楷体_GB2312"/>
          <w:sz w:val="32"/>
          <w:szCs w:val="32"/>
        </w:rPr>
        <w:t>（二）改进情况</w:t>
      </w:r>
    </w:p>
    <w:p>
      <w:pPr>
        <w:pStyle w:val="5"/>
        <w:widowControl/>
        <w:shd w:val="clear" w:color="auto" w:fill="FFFFFF"/>
        <w:adjustRightInd w:val="0"/>
        <w:snapToGrid w:val="0"/>
        <w:spacing w:beforeAutospacing="0" w:afterAutospacing="0" w:line="560" w:lineRule="exact"/>
        <w:ind w:firstLine="640" w:firstLineChars="200"/>
        <w:jc w:val="both"/>
        <w:rPr>
          <w:rFonts w:ascii="仿宋_GB2312" w:hAnsi="Helvetica" w:eastAsia="仿宋_GB2312" w:cs="Helvetica"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Helvetica" w:eastAsia="仿宋_GB2312" w:cs="Helvetica"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  <w:t>一是部署开展基层信息公开强基行动，加强政务公开工作机制建设，明确工作机构，责任明确到岗到人。区本级和各街道、部门均制定政务公开培训计划，业务培训采取小班制、一对一指导等形式，提高针对性与实效性。组织文件库建设、新网站政务公开系统等专项培训，通过具体实践促进工作和业务水平提升。</w:t>
      </w:r>
    </w:p>
    <w:p>
      <w:pPr>
        <w:pStyle w:val="5"/>
        <w:widowControl/>
        <w:shd w:val="clear" w:color="auto" w:fill="FFFFFF"/>
        <w:adjustRightInd w:val="0"/>
        <w:snapToGrid w:val="0"/>
        <w:spacing w:beforeAutospacing="0" w:afterAutospacing="0" w:line="560" w:lineRule="exact"/>
        <w:ind w:firstLine="640" w:firstLineChars="200"/>
        <w:jc w:val="both"/>
        <w:rPr>
          <w:rFonts w:ascii="仿宋_GB2312" w:hAnsi="Helvetica" w:eastAsia="仿宋_GB2312" w:cs="Helvetica"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Helvetica" w:eastAsia="仿宋_GB2312" w:cs="Helvetica"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  <w:t>二是加大区政府常务会议议题的解读力度，发挥区融媒体中心优势，加大媒体解读力度，提高解读质量，对会议议题进行细化解读。强化重点政策文件解读，采用文字、图文、动画、视频等多种形式进行解读。</w:t>
      </w:r>
    </w:p>
    <w:p>
      <w:pPr>
        <w:pStyle w:val="5"/>
        <w:widowControl/>
        <w:shd w:val="clear" w:color="auto" w:fill="FFFFFF"/>
        <w:adjustRightInd w:val="0"/>
        <w:snapToGrid w:val="0"/>
        <w:spacing w:beforeAutospacing="0" w:afterAutospacing="0" w:line="560" w:lineRule="exact"/>
        <w:ind w:firstLine="640" w:firstLineChars="200"/>
        <w:jc w:val="both"/>
        <w:rPr>
          <w:rFonts w:ascii="仿宋_GB2312" w:hAnsi="Helvetica" w:eastAsia="仿宋_GB2312" w:cs="Helvetica"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Helvetica" w:eastAsia="仿宋_GB2312" w:cs="Helvetica"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  <w:t>三是着力提高依申请公开办理质量，建立健全受理和办理台账登记制度。加强部门协同联动机制，及时解决工作中遇到的问题，依法依规做好回复，最大限度满足公众合理诉求。</w:t>
      </w:r>
    </w:p>
    <w:p>
      <w:pPr>
        <w:pStyle w:val="5"/>
        <w:widowControl/>
        <w:shd w:val="clear" w:color="auto" w:fill="FFFFFF"/>
        <w:adjustRightInd w:val="0"/>
        <w:snapToGrid w:val="0"/>
        <w:spacing w:beforeAutospacing="0" w:afterAutospacing="0" w:line="560" w:lineRule="exact"/>
        <w:ind w:firstLine="640" w:firstLineChars="200"/>
        <w:jc w:val="both"/>
        <w:rPr>
          <w:rFonts w:ascii="仿宋_GB2312" w:hAnsi="Helvetica" w:eastAsia="仿宋_GB2312" w:cs="Helvetica"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Helvetica" w:eastAsia="仿宋_GB2312" w:cs="Helvetica"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  <w:t>四是推动公共企事业单位信息公开规范化水平，充分发挥发改、教体、卫健等牵头单位作用，完善公开机制，狠抓业务培训，强化日常督导，确保公开规范。</w:t>
      </w:r>
    </w:p>
    <w:p>
      <w:pPr>
        <w:pStyle w:val="5"/>
        <w:widowControl/>
        <w:shd w:val="clear" w:color="auto" w:fill="FFFFFF"/>
        <w:adjustRightInd w:val="0"/>
        <w:snapToGrid w:val="0"/>
        <w:spacing w:beforeAutospacing="0" w:afterAutospacing="0" w:line="560" w:lineRule="exact"/>
        <w:ind w:firstLine="640" w:firstLineChars="200"/>
        <w:jc w:val="both"/>
        <w:rPr>
          <w:rFonts w:ascii="黑体" w:hAnsi="黑体" w:eastAsia="黑体" w:cs="黑体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六、其他需要报告的事项</w:t>
      </w:r>
    </w:p>
    <w:p>
      <w:pPr>
        <w:pStyle w:val="5"/>
        <w:widowControl/>
        <w:shd w:val="clear" w:color="auto" w:fill="FFFFFF"/>
        <w:adjustRightInd w:val="0"/>
        <w:snapToGrid w:val="0"/>
        <w:spacing w:beforeAutospacing="0" w:afterAutospacing="0" w:line="560" w:lineRule="exact"/>
        <w:ind w:firstLine="640" w:firstLineChars="200"/>
        <w:jc w:val="both"/>
        <w:rPr>
          <w:rFonts w:ascii="仿宋_GB2312" w:hAnsi="仿宋_GB2312" w:eastAsia="仿宋_GB2312" w:cs="仿宋_GB2312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文星仿宋" w:eastAsia="楷体_GB2312" w:cstheme="minorBidi"/>
          <w:kern w:val="2"/>
          <w:sz w:val="32"/>
          <w:szCs w:val="32"/>
        </w:rPr>
        <w:t>（一）收取信息处理费的情况。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2022年度，历城区依据《政府信息公开信息处理费管理办法》未收信息处理费。</w:t>
      </w:r>
    </w:p>
    <w:p>
      <w:pPr>
        <w:pStyle w:val="5"/>
        <w:widowControl/>
        <w:shd w:val="clear" w:color="auto" w:fill="FFFFFF"/>
        <w:adjustRightInd w:val="0"/>
        <w:snapToGrid w:val="0"/>
        <w:spacing w:beforeAutospacing="0" w:afterAutospacing="0" w:line="560" w:lineRule="exact"/>
        <w:ind w:firstLine="640" w:firstLineChars="200"/>
        <w:jc w:val="both"/>
        <w:rPr>
          <w:rFonts w:ascii="楷体_GB2312" w:hAnsi="文星仿宋" w:eastAsia="楷体_GB2312" w:cstheme="minorBidi"/>
          <w:kern w:val="2"/>
          <w:sz w:val="32"/>
          <w:szCs w:val="32"/>
        </w:rPr>
      </w:pPr>
      <w:r>
        <w:rPr>
          <w:rFonts w:hint="eastAsia" w:ascii="楷体_GB2312" w:hAnsi="文星仿宋" w:eastAsia="楷体_GB2312" w:cstheme="minorBidi"/>
          <w:kern w:val="2"/>
          <w:sz w:val="32"/>
          <w:szCs w:val="32"/>
        </w:rPr>
        <w:t>（二）落实上级年度政务公开工作要点情况。</w:t>
      </w:r>
    </w:p>
    <w:p>
      <w:pPr>
        <w:spacing w:line="560" w:lineRule="exact"/>
        <w:ind w:firstLine="640" w:firstLineChars="200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Helvetica" w:eastAsia="仿宋_GB2312" w:cs="Helvetic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一是明确责任分工抓公开。根据国家和省、市政务公开工作要点要求，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印发了《2022年济南市历城区政务公开工作要点》（济历城政办发〔2021〕3号），梳理了《</w:t>
      </w:r>
      <w:r>
        <w:rPr>
          <w:rFonts w:hint="eastAsia" w:ascii="仿宋_GB2312" w:hAnsi="宋体" w:eastAsia="仿宋_GB2312" w:cs="仿宋_GB2312"/>
          <w:color w:val="000000" w:themeColor="text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  <w:t>2022 年济南市历城区政务公开重点工作任务分解表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》，明确了工作任务、具体要求、责任单位、工作时限，从整体上策划，从细节里突破，各街道、部门制定年度政务公开工作方案和措施，全区上下形成工作合力。</w:t>
      </w:r>
    </w:p>
    <w:p>
      <w:pPr>
        <w:pStyle w:val="5"/>
        <w:widowControl/>
        <w:shd w:val="clear" w:color="auto" w:fill="FFFFFF"/>
        <w:adjustRightInd w:val="0"/>
        <w:snapToGrid w:val="0"/>
        <w:spacing w:beforeAutospacing="0" w:afterAutospacing="0" w:line="560" w:lineRule="exact"/>
        <w:ind w:firstLine="640" w:firstLineChars="200"/>
        <w:jc w:val="both"/>
        <w:rPr>
          <w:rFonts w:ascii="仿宋_GB2312" w:hAnsi="Helvetica" w:eastAsia="仿宋_GB2312" w:cs="Helvetica"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Helvetica" w:eastAsia="仿宋_GB2312" w:cs="Helvetica"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  <w:t>二是围绕重点热点抓公开。围绕上级年度公开重点，立足历城区经济社会发展实际，加大营商环境、减税降费、惠企政策、扩大有效投资、疫情防控、乡村振兴等领域的信息公开力度。围绕企业群众生产生活实际需要，强化涉农补贴、稳岗就业、义务教育、养老服务、社会保险、社会救助等领域政策、补贴信息公开力度。围绕基层政务公开规范化推进要求，强化信息公开力度，及时更新公开指南和公开目录，进一步强化基层信息公开查阅点、专区等阵地建设，推动网站改版，满足公众查阅信息的各项需求。</w:t>
      </w:r>
    </w:p>
    <w:p>
      <w:pPr>
        <w:pStyle w:val="5"/>
        <w:widowControl/>
        <w:shd w:val="clear" w:color="auto" w:fill="FFFFFF"/>
        <w:adjustRightInd w:val="0"/>
        <w:snapToGrid w:val="0"/>
        <w:spacing w:beforeAutospacing="0" w:afterAutospacing="0" w:line="560" w:lineRule="exact"/>
        <w:ind w:firstLine="640" w:firstLineChars="200"/>
        <w:jc w:val="both"/>
        <w:rPr>
          <w:rFonts w:ascii="楷体_GB2312" w:hAnsi="文星仿宋" w:eastAsia="楷体_GB2312" w:cstheme="minorBidi"/>
          <w:kern w:val="2"/>
          <w:sz w:val="32"/>
          <w:szCs w:val="32"/>
        </w:rPr>
      </w:pPr>
      <w:r>
        <w:rPr>
          <w:rFonts w:hint="eastAsia" w:ascii="楷体_GB2312" w:hAnsi="文星仿宋" w:eastAsia="楷体_GB2312" w:cstheme="minorBidi"/>
          <w:kern w:val="2"/>
          <w:sz w:val="32"/>
          <w:szCs w:val="32"/>
        </w:rPr>
        <w:t>（三）人大代表建议和政协提案办理结果公开情况。</w:t>
      </w:r>
    </w:p>
    <w:p>
      <w:pPr>
        <w:spacing w:line="560" w:lineRule="exact"/>
        <w:ind w:firstLine="640" w:firstLineChars="200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2022年区人大十九届一次会议、区政协十届一次会议以来，区政府系统共承办人大代表建议183 件、政协委员提案248件，主要涉及经济科技、城市建设、教科文卫、社会民主法制、环境保护和生态建设等方面，已按照规定时限办理面复完毕，满意率和基本满意率达100%。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除涉及国家秘密、工作秘密外，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办理情况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均在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区政府门户网站专栏中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进行公开。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3982720" cy="2773680"/>
            <wp:effectExtent l="9525" t="9525" r="27305" b="1714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82720" cy="2773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（人大代表建议情况）</w:t>
      </w:r>
    </w:p>
    <w:p>
      <w:pPr>
        <w:pStyle w:val="5"/>
        <w:widowControl/>
        <w:shd w:val="clear" w:color="auto" w:fill="FFFFFF"/>
        <w:adjustRightInd w:val="0"/>
        <w:snapToGrid w:val="0"/>
        <w:spacing w:beforeAutospacing="0" w:afterAutospacing="0" w:line="560" w:lineRule="exact"/>
        <w:ind w:firstLine="640" w:firstLineChars="200"/>
        <w:jc w:val="both"/>
        <w:rPr>
          <w:rFonts w:ascii="楷体_GB2312" w:hAnsi="文星仿宋" w:eastAsia="楷体_GB2312" w:cstheme="minorBidi"/>
          <w:kern w:val="2"/>
          <w:sz w:val="32"/>
          <w:szCs w:val="32"/>
        </w:rPr>
      </w:pPr>
      <w:r>
        <w:rPr>
          <w:rFonts w:hint="eastAsia" w:ascii="楷体_GB2312" w:hAnsi="文星仿宋" w:eastAsia="楷体_GB2312" w:cstheme="minorBidi"/>
          <w:kern w:val="2"/>
          <w:sz w:val="32"/>
          <w:szCs w:val="32"/>
        </w:rPr>
        <w:t>（四）政务公开工作创新情况。</w:t>
      </w:r>
    </w:p>
    <w:p>
      <w:pPr>
        <w:pStyle w:val="5"/>
        <w:widowControl/>
        <w:spacing w:beforeAutospacing="0" w:afterAutospacing="0"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一是开发依申请公开全流程监管平台。为进一步规范政务信息依申请公开工作，开发历城区依申请公开全流程监管平台，对全区政府信息公开申请办件进行全过程监督，以信息化促进规范化，有效提升政府信息依申请公开工作质量。</w:t>
      </w:r>
    </w:p>
    <w:p>
      <w:pPr>
        <w:jc w:val="center"/>
        <w:rPr>
          <w:rFonts w:ascii="仿宋_GB2312" w:hAnsi="仿宋_GB2312" w:eastAsia="仿宋_GB2312" w:cs="仿宋_GB2312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493260" cy="2438400"/>
            <wp:effectExtent l="19050" t="19050" r="21590" b="19050"/>
            <wp:docPr id="12" name="图片 12" descr="5269a113edb52e4143d5ce382cdcf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269a113edb52e4143d5ce382cdcfd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93260" cy="2438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（依申请公开全流程监管平台）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二是组织“1+3+N”的全方位、多层次、宽领域“政府开放月”活动。“1”即制定统一活动方案，由区政府办公室集中对外发布，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全区19个部门、14个街道组织活动33场，</w:t>
      </w:r>
      <w:r>
        <w:rPr>
          <w:rFonts w:hint="eastAsia" w:ascii="仿宋_GB2312" w:hAnsi="仿宋_GB2312" w:eastAsia="仿宋_GB2312" w:cs="仿宋_GB2312"/>
          <w:sz w:val="32"/>
          <w:szCs w:val="32"/>
        </w:rPr>
        <w:t>其中区政府办公室联合省粮食和物资储备局、市政府办公厅、区粮食事业发展中心组织开展“政府开放日暨粮食质量检测实验室开放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日”活动，取得良好效果</w:t>
      </w:r>
      <w:r>
        <w:rPr>
          <w:rFonts w:hint="eastAsia" w:ascii="仿宋_GB2312" w:hAnsi="仿宋_GB2312" w:eastAsia="仿宋_GB2312" w:cs="仿宋_GB2312"/>
          <w:sz w:val="32"/>
          <w:szCs w:val="32"/>
        </w:rPr>
        <w:t>。“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3”即聚焦服务、保障民生</w:t>
      </w:r>
      <w:r>
        <w:rPr>
          <w:rFonts w:hint="eastAsia" w:ascii="仿宋_GB2312" w:hAnsi="仿宋_GB2312" w:eastAsia="仿宋_GB2312" w:cs="仿宋_GB2312"/>
          <w:sz w:val="32"/>
          <w:szCs w:val="32"/>
        </w:rPr>
        <w:t>、突出创新3项重点，组织公众代表、社区群众及相关对象“沉浸式”体验政府工作。“N”即多领域齐行动，包括政务服务、民生保障、教育、金融、环保、信访等领域以回应社会关切为主要目的，组织现场体验活动。</w:t>
      </w:r>
    </w:p>
    <w:p>
      <w:pPr>
        <w:jc w:val="center"/>
        <w:rPr>
          <w:rFonts w:ascii="仿宋_GB2312" w:hAnsi="仿宋_GB2312" w:eastAsia="仿宋_GB2312" w:cs="仿宋_GB2312"/>
          <w:color w:val="222222"/>
          <w:spacing w:val="5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222222"/>
          <w:spacing w:val="5"/>
          <w:sz w:val="32"/>
          <w:szCs w:val="32"/>
          <w:shd w:val="clear" w:color="auto" w:fill="FFFFFF"/>
        </w:rPr>
        <w:drawing>
          <wp:inline distT="0" distB="0" distL="114300" distR="114300">
            <wp:extent cx="4572000" cy="3045460"/>
            <wp:effectExtent l="19050" t="19050" r="19050" b="21590"/>
            <wp:docPr id="15" name="图片 15" descr="微信图片_2022092815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209281514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80680" cy="30514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（政府开放月情况）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>三是在食品监管领域试点社区“食安角”建设。</w:t>
      </w:r>
      <w:r>
        <w:rPr>
          <w:rFonts w:hint="eastAsia" w:ascii="仿宋_GB2312" w:hAnsi="仿宋_GB2312" w:eastAsia="仿宋_GB2312" w:cs="仿宋_GB2312"/>
          <w:sz w:val="32"/>
          <w:szCs w:val="32"/>
        </w:rPr>
        <w:t>以提高群众知晓度和满意率为目标，在全市首创“阵地+队伍+活动”相结合的社区“食安角”工作机制，着力做好食安政策、知识的公开和解读，让基层政务公开工作更贴近社区实际，满足群众需要。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324225" cy="4434205"/>
            <wp:effectExtent l="16510" t="21590" r="26035" b="26035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26511" cy="44375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（历城区王舍人街道周靳郭商业街食安角）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楷体_GB2312" w:hAnsi="仿宋" w:eastAsia="楷体_GB2312" w:cs="仿宋"/>
          <w:sz w:val="32"/>
          <w:szCs w:val="32"/>
        </w:rPr>
        <w:t>（五）年报数据统计需要说明的事项：</w:t>
      </w:r>
      <w:r>
        <w:rPr>
          <w:rFonts w:hint="eastAsia" w:ascii="仿宋_GB2312" w:hAnsi="仿宋" w:eastAsia="仿宋_GB2312" w:cs="仿宋"/>
          <w:sz w:val="32"/>
          <w:szCs w:val="32"/>
        </w:rPr>
        <w:t xml:space="preserve">收到和处理政府信息公开申请情况中第六项“其他处理”的3件为申请人申请信息不存在。 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文星标宋">
    <w:altName w:val="微软雅黑"/>
    <w:panose1 w:val="0201060900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Helvetica">
    <w:panose1 w:val="020B0604020202030204"/>
    <w:charset w:val="00"/>
    <w:family w:val="swiss"/>
    <w:pitch w:val="default"/>
    <w:sig w:usb0="00000000" w:usb1="00000000" w:usb2="00000000" w:usb3="00000000" w:csb0="00000093" w:csb1="00000000"/>
  </w:font>
  <w:font w:name="文星仿宋">
    <w:altName w:val="仿宋"/>
    <w:panose1 w:val="0201060900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rFonts w:ascii="宋体" w:hAnsi="宋体" w:eastAsia="宋体"/>
        <w:sz w:val="28"/>
        <w:szCs w:val="28"/>
      </w:rPr>
    </w:pPr>
    <w:r>
      <w:rPr>
        <w:rFonts w:hint="eastAsia" w:ascii="宋体" w:hAnsi="宋体" w:eastAsia="宋体"/>
        <w:sz w:val="28"/>
        <w:szCs w:val="28"/>
      </w:rPr>
      <w:t xml:space="preserve">— </w:t>
    </w:r>
    <w:sdt>
      <w:sdtPr>
        <w:rPr>
          <w:rFonts w:ascii="宋体" w:hAnsi="宋体" w:eastAsia="宋体"/>
          <w:sz w:val="28"/>
          <w:szCs w:val="28"/>
        </w:rPr>
        <w:id w:val="1808821345"/>
        <w:docPartObj>
          <w:docPartGallery w:val="AutoText"/>
        </w:docPartObj>
      </w:sdtPr>
      <w:sdtEndPr>
        <w:rPr>
          <w:rFonts w:ascii="宋体" w:hAnsi="宋体" w:eastAsia="宋体"/>
          <w:sz w:val="28"/>
          <w:szCs w:val="28"/>
        </w:rPr>
      </w:sdtEndPr>
      <w:sdtContent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2</w:t>
        </w:r>
        <w:r>
          <w:rPr>
            <w:rFonts w:ascii="宋体" w:hAnsi="宋体" w:eastAsia="宋体"/>
            <w:sz w:val="28"/>
            <w:szCs w:val="28"/>
          </w:rPr>
          <w:fldChar w:fldCharType="end"/>
        </w:r>
        <w:r>
          <w:rPr>
            <w:rFonts w:ascii="宋体" w:hAnsi="宋体" w:eastAsia="宋体"/>
            <w:sz w:val="28"/>
            <w:szCs w:val="28"/>
          </w:rPr>
          <w:t xml:space="preserve"> </w:t>
        </w:r>
        <w:r>
          <w:rPr>
            <w:rFonts w:hint="eastAsia" w:ascii="宋体" w:hAnsi="宋体" w:eastAsia="宋体"/>
            <w:sz w:val="28"/>
            <w:szCs w:val="28"/>
          </w:rPr>
          <w:t>—</w:t>
        </w:r>
      </w:sdtContent>
    </w:sdt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A6A776"/>
    <w:multiLevelType w:val="singleLevel"/>
    <w:tmpl w:val="16A6A776"/>
    <w:lvl w:ilvl="0" w:tentative="0">
      <w:start w:val="5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52C03ACE"/>
    <w:multiLevelType w:val="singleLevel"/>
    <w:tmpl w:val="52C03ACE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VmMmNhYjhkMTAxMDhjMjQ2NTQzY2UxMWQyMTQzYzkifQ=="/>
  </w:docVars>
  <w:rsids>
    <w:rsidRoot w:val="7A64769C"/>
    <w:rsid w:val="000007CA"/>
    <w:rsid w:val="000276E0"/>
    <w:rsid w:val="00191628"/>
    <w:rsid w:val="00250BB8"/>
    <w:rsid w:val="00262D84"/>
    <w:rsid w:val="0038250D"/>
    <w:rsid w:val="004D46F3"/>
    <w:rsid w:val="00540370"/>
    <w:rsid w:val="00597335"/>
    <w:rsid w:val="007B4CF5"/>
    <w:rsid w:val="00A17490"/>
    <w:rsid w:val="00DC4E44"/>
    <w:rsid w:val="00FB682E"/>
    <w:rsid w:val="01922277"/>
    <w:rsid w:val="02E91886"/>
    <w:rsid w:val="03555A65"/>
    <w:rsid w:val="03802893"/>
    <w:rsid w:val="03857450"/>
    <w:rsid w:val="0539563E"/>
    <w:rsid w:val="05557F9E"/>
    <w:rsid w:val="06AD62E4"/>
    <w:rsid w:val="071747CF"/>
    <w:rsid w:val="08846FD0"/>
    <w:rsid w:val="0A6845A4"/>
    <w:rsid w:val="0B941820"/>
    <w:rsid w:val="0BA31A63"/>
    <w:rsid w:val="0BC32105"/>
    <w:rsid w:val="0E19425F"/>
    <w:rsid w:val="0F7626D6"/>
    <w:rsid w:val="0FF860F6"/>
    <w:rsid w:val="129518DF"/>
    <w:rsid w:val="146947DE"/>
    <w:rsid w:val="16B65F5A"/>
    <w:rsid w:val="16D36F75"/>
    <w:rsid w:val="173739A8"/>
    <w:rsid w:val="182B5D71"/>
    <w:rsid w:val="19980E35"/>
    <w:rsid w:val="1A312930"/>
    <w:rsid w:val="1BCA1685"/>
    <w:rsid w:val="1EFF34F7"/>
    <w:rsid w:val="1FB80C79"/>
    <w:rsid w:val="1FDE65DF"/>
    <w:rsid w:val="20140D2A"/>
    <w:rsid w:val="210F2C09"/>
    <w:rsid w:val="218B501C"/>
    <w:rsid w:val="24D33E8D"/>
    <w:rsid w:val="276A7481"/>
    <w:rsid w:val="27DC2A12"/>
    <w:rsid w:val="2BAE3DE1"/>
    <w:rsid w:val="2BC5112A"/>
    <w:rsid w:val="2F041FF8"/>
    <w:rsid w:val="2F3A75F4"/>
    <w:rsid w:val="307C26FF"/>
    <w:rsid w:val="3486373A"/>
    <w:rsid w:val="34D60AE6"/>
    <w:rsid w:val="351C181F"/>
    <w:rsid w:val="35245113"/>
    <w:rsid w:val="35551771"/>
    <w:rsid w:val="36575075"/>
    <w:rsid w:val="36C74172"/>
    <w:rsid w:val="390775F1"/>
    <w:rsid w:val="398F1E6F"/>
    <w:rsid w:val="3B44206B"/>
    <w:rsid w:val="3CFF1E88"/>
    <w:rsid w:val="3D081E52"/>
    <w:rsid w:val="3DC35A65"/>
    <w:rsid w:val="3E020999"/>
    <w:rsid w:val="3F0C10F2"/>
    <w:rsid w:val="3FBF05D0"/>
    <w:rsid w:val="41375F15"/>
    <w:rsid w:val="44093E66"/>
    <w:rsid w:val="448636F5"/>
    <w:rsid w:val="44FF34A7"/>
    <w:rsid w:val="468D7625"/>
    <w:rsid w:val="49AB775A"/>
    <w:rsid w:val="4CF65C58"/>
    <w:rsid w:val="4D2C5E89"/>
    <w:rsid w:val="4DBC3CE3"/>
    <w:rsid w:val="54462559"/>
    <w:rsid w:val="55DA564E"/>
    <w:rsid w:val="55F676CE"/>
    <w:rsid w:val="56293EE0"/>
    <w:rsid w:val="57A52A8D"/>
    <w:rsid w:val="57F7BE18"/>
    <w:rsid w:val="587807BE"/>
    <w:rsid w:val="58826127"/>
    <w:rsid w:val="5A650A35"/>
    <w:rsid w:val="60570350"/>
    <w:rsid w:val="60B85853"/>
    <w:rsid w:val="6172368A"/>
    <w:rsid w:val="622A625D"/>
    <w:rsid w:val="6299063F"/>
    <w:rsid w:val="646802C9"/>
    <w:rsid w:val="65735178"/>
    <w:rsid w:val="66346E75"/>
    <w:rsid w:val="66E81953"/>
    <w:rsid w:val="66E9449E"/>
    <w:rsid w:val="67CE5916"/>
    <w:rsid w:val="68A51AEC"/>
    <w:rsid w:val="68F15E27"/>
    <w:rsid w:val="693B2679"/>
    <w:rsid w:val="6BF728CF"/>
    <w:rsid w:val="6E481A15"/>
    <w:rsid w:val="6EC3646A"/>
    <w:rsid w:val="700D41C4"/>
    <w:rsid w:val="70F133F4"/>
    <w:rsid w:val="73253279"/>
    <w:rsid w:val="73AD5CF9"/>
    <w:rsid w:val="73E07E7C"/>
    <w:rsid w:val="7413074C"/>
    <w:rsid w:val="742C30C1"/>
    <w:rsid w:val="751F1357"/>
    <w:rsid w:val="75D367F3"/>
    <w:rsid w:val="76261D92"/>
    <w:rsid w:val="7702318A"/>
    <w:rsid w:val="77A117D5"/>
    <w:rsid w:val="77B223D4"/>
    <w:rsid w:val="7836450F"/>
    <w:rsid w:val="7A64769C"/>
    <w:rsid w:val="7B7A1944"/>
    <w:rsid w:val="7C117355"/>
    <w:rsid w:val="7C3D1796"/>
    <w:rsid w:val="7CA0464C"/>
    <w:rsid w:val="7CB11EA4"/>
    <w:rsid w:val="CED30024"/>
    <w:rsid w:val="DFF97DE4"/>
    <w:rsid w:val="FFA94547"/>
    <w:rsid w:val="FFF30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character" w:customStyle="1" w:styleId="11">
    <w:name w:val="font11"/>
    <w:basedOn w:val="8"/>
    <w:qFormat/>
    <w:uiPriority w:val="0"/>
    <w:rPr>
      <w:rFonts w:hint="eastAsia" w:ascii="仿宋_GB2312" w:eastAsia="仿宋_GB2312" w:cs="仿宋_GB2312"/>
      <w:color w:val="000000"/>
      <w:sz w:val="24"/>
      <w:szCs w:val="24"/>
      <w:u w:val="none"/>
    </w:rPr>
  </w:style>
  <w:style w:type="character" w:customStyle="1" w:styleId="12">
    <w:name w:val="font21"/>
    <w:basedOn w:val="8"/>
    <w:qFormat/>
    <w:uiPriority w:val="0"/>
    <w:rPr>
      <w:rFonts w:ascii="楷体_GB2312" w:eastAsia="楷体_GB2312" w:cs="楷体_GB2312"/>
      <w:color w:val="000000"/>
      <w:sz w:val="18"/>
      <w:szCs w:val="18"/>
      <w:u w:val="none"/>
    </w:rPr>
  </w:style>
  <w:style w:type="character" w:customStyle="1" w:styleId="13">
    <w:name w:val="font01"/>
    <w:basedOn w:val="8"/>
    <w:qFormat/>
    <w:uiPriority w:val="0"/>
    <w:rPr>
      <w:rFonts w:ascii="楷体_GB2312" w:eastAsia="楷体_GB2312" w:cs="楷体_GB2312"/>
      <w:color w:val="000000"/>
      <w:sz w:val="18"/>
      <w:szCs w:val="18"/>
      <w:u w:val="none"/>
    </w:rPr>
  </w:style>
  <w:style w:type="character" w:customStyle="1" w:styleId="14">
    <w:name w:val="页脚 字符"/>
    <w:basedOn w:val="8"/>
    <w:link w:val="3"/>
    <w:qFormat/>
    <w:uiPriority w:val="99"/>
    <w:rPr>
      <w:rFonts w:asciiTheme="minorHAnsi" w:hAnsiTheme="minorHAnsi" w:eastAsiaTheme="minorEastAsia" w:cstheme="minorBidi"/>
      <w:kern w:val="2"/>
      <w:sz w:val="18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chart" Target="charts/chart2.xml"/><Relationship Id="rId7" Type="http://schemas.openxmlformats.org/officeDocument/2006/relationships/chart" Target="charts/chart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24037;&#20316;&#31807;1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&#24037;&#20316;&#31807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/>
              <a:t>信息公开处理结果 </a:t>
            </a:r>
            <a:endParaRPr lang="zh-CN" altLang="en-US"/>
          </a:p>
        </c:rich>
      </c:tx>
      <c:layout>
        <c:manualLayout>
          <c:xMode val="edge"/>
          <c:yMode val="edge"/>
          <c:x val="0.370316301703163"/>
          <c:y val="0.0249014318323304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effectLst/>
      </c:spPr>
    </c:floor>
    <c:sideWall>
      <c:thickness val="0"/>
      <c:spPr>
        <a:noFill/>
        <a:effectLst/>
      </c:spPr>
    </c:sideWall>
    <c:backWall>
      <c:thickness val="0"/>
      <c:spPr>
        <a:noFill/>
        <a:effectLst/>
      </c:spPr>
    </c:backWall>
    <c:plotArea>
      <c:layout>
        <c:manualLayout>
          <c:layoutTarget val="inner"/>
          <c:xMode val="edge"/>
          <c:yMode val="edge"/>
          <c:x val="0.0840976435727388"/>
          <c:y val="0.114754098360656"/>
          <c:w val="0.837872160293495"/>
          <c:h val="0.723594106661133"/>
        </c:manualLayout>
      </c:layout>
      <c:pie3D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contourW="25400"/>
          </c:spPr>
          <c:explosion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/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/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/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/>
            </c:spPr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/>
            </c:spPr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/>
            </c:spPr>
          </c:dPt>
          <c:dLbls>
            <c:dLbl>
              <c:idx val="4"/>
              <c:layout>
                <c:manualLayout>
                  <c:x val="-0.0070323488045007"/>
                  <c:y val="0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0.0297922120921546"/>
                  <c:y val="-0.00436348158124038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bestFit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[工作簿1]Sheet2!$A$1:$A$6</c:f>
              <c:strCache>
                <c:ptCount val="6"/>
                <c:pt idx="0">
                  <c:v>予以公开</c:v>
                </c:pt>
                <c:pt idx="1">
                  <c:v>部分公开</c:v>
                </c:pt>
                <c:pt idx="2">
                  <c:v>不予公开</c:v>
                </c:pt>
                <c:pt idx="3">
                  <c:v>无法提供</c:v>
                </c:pt>
                <c:pt idx="4">
                  <c:v>不予处理</c:v>
                </c:pt>
                <c:pt idx="5">
                  <c:v>其他处理</c:v>
                </c:pt>
              </c:strCache>
            </c:strRef>
          </c:cat>
          <c:val>
            <c:numRef>
              <c:f>[工作簿1]Sheet2!$B$1:$B$6</c:f>
              <c:numCache>
                <c:formatCode>General</c:formatCode>
                <c:ptCount val="6"/>
                <c:pt idx="0">
                  <c:v>185</c:v>
                </c:pt>
                <c:pt idx="1">
                  <c:v>39</c:v>
                </c:pt>
                <c:pt idx="2">
                  <c:v>13</c:v>
                </c:pt>
                <c:pt idx="3">
                  <c:v>117</c:v>
                </c:pt>
                <c:pt idx="4">
                  <c:v>4</c:v>
                </c:pt>
                <c:pt idx="5">
                  <c:v>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1"/>
          <c:showBubbleSize val="0"/>
        </c:dLbls>
      </c:pie3D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prstDash val="solid"/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r>
              <a:rPr lang="zh-CN" altLang="en-US"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rPr>
              <a:t>依申请公开诉讼、复议情况对比</a:t>
            </a:r>
            <a:endParaRPr lang="zh-CN" altLang="en-US">
              <a:latin typeface="Times New Roman" panose="02020603050405020304" charset="0"/>
              <a:ea typeface="Times New Roman" panose="02020603050405020304" charset="0"/>
              <a:cs typeface="Times New Roman" panose="02020603050405020304" charset="0"/>
              <a:sym typeface="Times New Roman" panose="02020603050405020304" charset="0"/>
            </a:endParaRPr>
          </a:p>
        </c:rich>
      </c:tx>
      <c:layout>
        <c:manualLayout>
          <c:xMode val="edge"/>
          <c:yMode val="edge"/>
          <c:x val="0.291116384753405"/>
          <c:y val="0.0249133811456861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0632200530248253"/>
          <c:y val="0.158124092135298"/>
          <c:w val="0.908941913714148"/>
          <c:h val="0.6479352562772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"2021"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[工作簿1]Sheet7!$A$1:$A$5</c:f>
              <c:strCache>
                <c:ptCount val="5"/>
                <c:pt idx="0">
                  <c:v>信息公开申请数量</c:v>
                </c:pt>
                <c:pt idx="1">
                  <c:v>行政复议数量</c:v>
                </c:pt>
                <c:pt idx="2">
                  <c:v>复议败诉数量</c:v>
                </c:pt>
                <c:pt idx="3">
                  <c:v>行政诉讼数量</c:v>
                </c:pt>
                <c:pt idx="4">
                  <c:v>诉讼败诉数量</c:v>
                </c:pt>
              </c:strCache>
            </c:strRef>
          </c:cat>
          <c:val>
            <c:numRef>
              <c:f>[工作簿1]Sheet7!$B$1:$B$5</c:f>
              <c:numCache>
                <c:formatCode>General</c:formatCode>
                <c:ptCount val="5"/>
                <c:pt idx="0">
                  <c:v>279</c:v>
                </c:pt>
                <c:pt idx="1">
                  <c:v>33</c:v>
                </c:pt>
                <c:pt idx="2">
                  <c:v>16</c:v>
                </c:pt>
                <c:pt idx="3">
                  <c:v>20</c:v>
                </c:pt>
                <c:pt idx="4">
                  <c:v>2</c:v>
                </c:pt>
              </c:numCache>
            </c:numRef>
          </c:val>
        </c:ser>
        <c:ser>
          <c:idx val="1"/>
          <c:order val="1"/>
          <c:tx>
            <c:strRef>
              <c:f>"2022"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[工作簿1]Sheet7!$A$1:$A$5</c:f>
              <c:strCache>
                <c:ptCount val="5"/>
                <c:pt idx="0">
                  <c:v>信息公开申请数量</c:v>
                </c:pt>
                <c:pt idx="1">
                  <c:v>行政复议数量</c:v>
                </c:pt>
                <c:pt idx="2">
                  <c:v>复议败诉数量</c:v>
                </c:pt>
                <c:pt idx="3">
                  <c:v>行政诉讼数量</c:v>
                </c:pt>
                <c:pt idx="4">
                  <c:v>诉讼败诉数量</c:v>
                </c:pt>
              </c:strCache>
            </c:strRef>
          </c:cat>
          <c:val>
            <c:numRef>
              <c:f>[工作簿1]Sheet7!$C$1:$C$5</c:f>
              <c:numCache>
                <c:formatCode>General</c:formatCode>
                <c:ptCount val="5"/>
                <c:pt idx="0">
                  <c:v>362</c:v>
                </c:pt>
                <c:pt idx="1">
                  <c:v>15</c:v>
                </c:pt>
                <c:pt idx="2">
                  <c:v>2</c:v>
                </c:pt>
                <c:pt idx="3">
                  <c:v>9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1172366"/>
        <c:axId val="491661805"/>
      </c:barChart>
      <c:catAx>
        <c:axId val="19117236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491661805"/>
        <c:crosses val="autoZero"/>
        <c:auto val="1"/>
        <c:lblAlgn val="ctr"/>
        <c:lblOffset val="100"/>
        <c:noMultiLvlLbl val="0"/>
      </c:catAx>
      <c:valAx>
        <c:axId val="49166180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19117236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</c:legendEntry>
      <c:legendEntry>
        <c:idx val="1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</c:legendEntry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charset="0"/>
              <a:ea typeface="Times New Roman" panose="02020603050405020304" charset="0"/>
              <a:cs typeface="Times New Roman" panose="02020603050405020304" charset="0"/>
              <a:sym typeface="Times New Roman" panose="02020603050405020304" charset="0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lang="zh-CN">
          <a:latin typeface="Times New Roman" panose="02020603050405020304" charset="0"/>
          <a:ea typeface="Times New Roman" panose="02020603050405020304" charset="0"/>
          <a:cs typeface="Times New Roman" panose="02020603050405020304" charset="0"/>
          <a:sym typeface="Times New Roman" panose="02020603050405020304" charset="0"/>
        </a:defRPr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4065</Words>
  <Characters>4331</Characters>
  <Lines>34</Lines>
  <Paragraphs>9</Paragraphs>
  <TotalTime>16</TotalTime>
  <ScaleCrop>false</ScaleCrop>
  <LinksUpToDate>false</LinksUpToDate>
  <CharactersWithSpaces>4343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2023-01-28T17:31:00Z</dcterms:created>
  <dc:creator>韩梦寒梦</dc:creator>
  <cp:lastModifiedBy>韩梦寒梦</cp:lastModifiedBy>
  <dcterms:modified xsi:type="dcterms:W3CDTF">2023-02-21T01:10:57Z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F9789EA930094CB3B5BA782C6474521C</vt:lpwstr>
  </property>
</Properties>
</file>