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BC76" w14:textId="77777777" w:rsidR="001F3B95" w:rsidRPr="001F3B95" w:rsidRDefault="001F3B95" w:rsidP="001F3B95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 w:val="39"/>
          <w:szCs w:val="39"/>
        </w:rPr>
      </w:pPr>
      <w:r w:rsidRPr="001F3B95">
        <w:rPr>
          <w:rFonts w:ascii="微软雅黑" w:eastAsia="微软雅黑" w:hAnsi="微软雅黑" w:cs="宋体" w:hint="eastAsia"/>
          <w:color w:val="000000"/>
          <w:kern w:val="0"/>
          <w:sz w:val="39"/>
          <w:szCs w:val="39"/>
        </w:rPr>
        <w:t>关于《济南市最低生活保障管理办法》政策解读</w:t>
      </w:r>
    </w:p>
    <w:p w14:paraId="4584BA55" w14:textId="77777777"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一、制定文件的背景</w:t>
      </w:r>
    </w:p>
    <w:p w14:paraId="0FED22F4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低保是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党和政府为保障困难群众基本生活而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的一项基础性制度，是社会救助体系中的核心制度安排。近年来，我市各级民政部门认真贯彻上级工作要求，大幅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提高低保标准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，适度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拓展低保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范围，精准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落实低保政策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，在维护社会和谐稳定、打赢脱贫攻坚战等方面都发挥了关键作用。截至2021年12月底，全市城乡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分别达到每人每月904元和676元，在全国副省级城市中居第6和第9名；全市城乡低保人数分别达到1.4万人和8.3万人，62%的建档立卡贫困户纳入了保障范围。</w:t>
      </w:r>
    </w:p>
    <w:p w14:paraId="1762967A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2021年6月，民政部印发了《最低生活保障审核确认办法》（民发〔2021〕57号），2021年年底，省民政厅印发了《山东省最低生活保障管理办法》（鲁民〔2021〕75号），适度扩大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了低保的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保障范围，并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对低保审核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确认流程进行了优化和完善。</w:t>
      </w:r>
    </w:p>
    <w:p w14:paraId="3C3383C3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二、政策依据</w:t>
      </w:r>
    </w:p>
    <w:p w14:paraId="1F52A795" w14:textId="77777777" w:rsidR="001F3B95" w:rsidRPr="001F3B95" w:rsidRDefault="001F3B95" w:rsidP="001F3B9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  </w:t>
      </w:r>
      <w:r w:rsidRPr="001F3B95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该文件根据《民政部关于印发〈最低生活保障审核确认办法〉的通知》（民发〔2021〕57号）和《山东省最低生活保障管理办法》（鲁民〔2021〕75号）等文件要求制定。</w:t>
      </w:r>
    </w:p>
    <w:p w14:paraId="40F3CD81" w14:textId="77777777" w:rsidR="001F3B95" w:rsidRPr="001F3B95" w:rsidRDefault="001F3B95" w:rsidP="001F3B9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三、主要目的</w:t>
      </w:r>
    </w:p>
    <w:p w14:paraId="641FA78D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为贯彻落实好民政部和省民政厅文件精神，进一步完善最低生活保障（以下简称低保）制度，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加强低保规范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管理，结合近年来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我市低保制度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的实施情况和工作经验，拟出台《济南市最低生活保障管理办法》。</w:t>
      </w:r>
    </w:p>
    <w:p w14:paraId="2D6BB653" w14:textId="77777777" w:rsidR="001F3B95" w:rsidRPr="001F3B95" w:rsidRDefault="001F3B95" w:rsidP="001F3B95">
      <w:pPr>
        <w:widowControl/>
        <w:shd w:val="clear" w:color="auto" w:fill="FFFFFF"/>
        <w:spacing w:line="61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四、主要内容和亮点</w:t>
      </w:r>
    </w:p>
    <w:p w14:paraId="183E496C" w14:textId="77777777" w:rsidR="001F3B95" w:rsidRPr="001F3B95" w:rsidRDefault="001F3B95" w:rsidP="001F3B95">
      <w:pPr>
        <w:widowControl/>
        <w:shd w:val="clear" w:color="auto" w:fill="FFFFFF"/>
        <w:spacing w:line="6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《低保办法》共九章，五十六条。主要内容包括总则、认定条件、申请和受理、家庭经济状况调查、审核确认、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低保资金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筹集管理发放、服务管理和监督检查等内容。与2020年出台的《济南市最低生活保障管理办法》相比，主要有以下变化和创新：</w:t>
      </w:r>
    </w:p>
    <w:p w14:paraId="289381B6" w14:textId="77777777"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（一）适度拓展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了低保范围</w:t>
      </w:r>
      <w:proofErr w:type="gramEnd"/>
      <w:r w:rsidRPr="001F3B9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一是扩大了重残单人保的保障范围。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将低保边缘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家庭重残单人保的范围由一级、二级重度残疾人扩大到三级智力残疾人、三级精神残疾人。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二是放宽了外来转移人口在居住地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申请低保的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条件。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将2020年《低保办法》中所有家庭成员均要签订劳动合同、缴纳保险放宽为至少有一名家庭成员签订劳动合同、缴纳保险即可。</w:t>
      </w:r>
    </w:p>
    <w:p w14:paraId="3DE3F5EA" w14:textId="77777777" w:rsidR="001F3B95" w:rsidRPr="001F3B95" w:rsidRDefault="001F3B95" w:rsidP="001F3B95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（二）优化简化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了低保审核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确认程序。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明确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了低保审核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确认权全部下放到镇（街道）后的办理流程，审核时限由民政部要求的30个工作日压缩至15个工作日，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一是取消了2020年《低保办法》规定的口头申请环节。二是压缩了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lastRenderedPageBreak/>
        <w:t>信息核对的时限。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由10个工作日压缩为包括信息核对在内的整个审核环节时限为10个工作日。</w:t>
      </w:r>
    </w:p>
    <w:p w14:paraId="6D5DE0D4" w14:textId="77777777" w:rsidR="001F3B95" w:rsidRPr="001F3B95" w:rsidRDefault="001F3B95" w:rsidP="001F3B95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（三）完善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了低保申请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家庭收入认定办法。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一是明确了赡养费计算公式。《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低保办法》对非共同生活的赡养人应当给付的赡养费标准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原则性规定：按赡养人收入扣除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之后的一定比例推算。每位赡养人每月应当给付的赡养费=（家庭人均月收入-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2倍）×家庭人口数×50%÷应赡养人数。没有法律文书不能精准认定的，每个子女参照当地最低工资标准的20%计算。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二是增加了不计入家庭收入的项目。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明确规定：政府给予的耕地地力保护补贴（即原来的良种补贴）不计入家庭收入；对精神、智力和重度肢体残疾人辅助性就业取得的收入不超过当地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的部分，在核算家庭收入时给予扣减。三是细化了家庭收入包含的内容。明确家庭收入包括工资性收入、经营净收入、财产净收入、转移净收入等四类收入基础上，对每一种家庭收入包括的具体内容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了明确。</w:t>
      </w:r>
    </w:p>
    <w:p w14:paraId="45872884" w14:textId="77777777" w:rsidR="001F3B95" w:rsidRPr="001F3B95" w:rsidRDefault="001F3B95" w:rsidP="001F3B95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（四）加强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了低保与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社会福利、社会保险以及其他社会救助制度的衔接。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分散供养的孤儿家庭符合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低保条件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的，家庭成员共同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纳入低保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范围，但孤儿本人不再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发放低保补助金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低保老年人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不再提交经济困难老年人补贴申请，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低保残疾人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不再提交残疾人两项补贴申请，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由各区县民政部门每月通过山东省社会救助综合管理平台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老年人、残疾人信息比对，及时调整经济困难老年人补贴和残疾人两项补贴发放情况。</w:t>
      </w:r>
    </w:p>
    <w:p w14:paraId="6D2A2166" w14:textId="77777777"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（五）完善了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低保规范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管理的有关规定。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一是对农村低保分档补助的档数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规定。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目前全市有5个区县农村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低保实行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分档补助，为规范此项工作，明确要求：农村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低保可以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采取分档方式发放低保金，各档计发标准应与申请家庭的困难程度和人员状况相符合，原则上不得少于4档，严禁实行平均发放。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二是明确了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低保对象卡折委托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代管的有关要求。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对于无法自行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支取低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的低保对象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，镇（街道）或者村（居）委会相关工作人员代为保管用于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领取低活保金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的银行存折或银行卡的，应当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与低保家庭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成员签订书面协议并报镇（街道）备案。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三是建立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了低保容错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纠错机制。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首次规定对秉持公心、履职尽责但因客观原因出现失误偏差且能够及时纠正的，依法依规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免于问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责。</w:t>
      </w:r>
    </w:p>
    <w:p w14:paraId="045030E8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五、解读机构及咨询方式</w:t>
      </w:r>
    </w:p>
    <w:p w14:paraId="1370E8A9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政策解读单位：济南市民政局社会救助处</w:t>
      </w:r>
    </w:p>
    <w:p w14:paraId="6D9A4D98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具体联系人：王辉</w:t>
      </w:r>
    </w:p>
    <w:p w14:paraId="539FB4E2" w14:textId="77777777"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咨询电话：0531-66602527</w:t>
      </w:r>
    </w:p>
    <w:p w14:paraId="2644896C" w14:textId="77777777" w:rsidR="00986A0A" w:rsidRPr="001F3B95" w:rsidRDefault="00986A0A"/>
    <w:sectPr w:rsidR="00986A0A" w:rsidRPr="001F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C9"/>
    <w:rsid w:val="001F3B95"/>
    <w:rsid w:val="00581FC9"/>
    <w:rsid w:val="00986A0A"/>
    <w:rsid w:val="00B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0443"/>
  <w15:chartTrackingRefBased/>
  <w15:docId w15:val="{B6A1F5A1-11BE-463D-A007-846CDA9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3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8" w:color="000000"/>
            <w:right w:val="none" w:sz="0" w:space="0" w:color="auto"/>
          </w:divBdr>
        </w:div>
        <w:div w:id="1120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林楠</dc:creator>
  <cp:keywords/>
  <dc:description/>
  <cp:lastModifiedBy>王 林楠</cp:lastModifiedBy>
  <cp:revision>2</cp:revision>
  <dcterms:created xsi:type="dcterms:W3CDTF">2022-12-08T03:08:00Z</dcterms:created>
  <dcterms:modified xsi:type="dcterms:W3CDTF">2022-12-08T03:13:00Z</dcterms:modified>
</cp:coreProperties>
</file>