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1" w:lineRule="auto"/>
        <w:rPr>
          <w:rFonts w:hint="eastAsia" w:ascii="宋体" w:eastAsia="宋体"/>
          <w:color w:val="auto"/>
          <w:lang w:val="en-US" w:eastAsia="zh-CN"/>
        </w:rPr>
      </w:pPr>
      <w:r>
        <w:rPr>
          <w:rFonts w:hint="eastAsia" w:ascii="宋体" w:eastAsia="宋体"/>
          <w:color w:val="auto"/>
          <w:lang w:val="en-US" w:eastAsia="zh-CN"/>
        </w:rPr>
        <w:t xml:space="preserve"> </w:t>
      </w:r>
    </w:p>
    <w:p>
      <w:pPr>
        <w:spacing w:line="242" w:lineRule="auto"/>
        <w:rPr>
          <w:rFonts w:ascii="宋体"/>
          <w:color w:val="auto"/>
        </w:rPr>
      </w:pPr>
    </w:p>
    <w:p>
      <w:pPr>
        <w:spacing w:line="242" w:lineRule="auto"/>
        <w:rPr>
          <w:rFonts w:ascii="宋体"/>
          <w:color w:val="auto"/>
        </w:rPr>
      </w:pPr>
    </w:p>
    <w:p>
      <w:pPr>
        <w:spacing w:line="242" w:lineRule="auto"/>
        <w:rPr>
          <w:rFonts w:ascii="宋体"/>
          <w:color w:val="auto"/>
        </w:rPr>
      </w:pPr>
    </w:p>
    <w:p>
      <w:pPr>
        <w:spacing w:line="242" w:lineRule="auto"/>
        <w:rPr>
          <w:rFonts w:ascii="宋体"/>
          <w:color w:val="auto"/>
        </w:rPr>
      </w:pPr>
    </w:p>
    <w:p>
      <w:pPr>
        <w:spacing w:line="242" w:lineRule="auto"/>
        <w:rPr>
          <w:rFonts w:ascii="宋体"/>
          <w:color w:val="auto"/>
        </w:rPr>
      </w:pPr>
    </w:p>
    <w:p>
      <w:pPr>
        <w:spacing w:line="242" w:lineRule="auto"/>
        <w:rPr>
          <w:rFonts w:ascii="宋体"/>
          <w:color w:val="auto"/>
        </w:rPr>
      </w:pPr>
    </w:p>
    <w:p>
      <w:pPr>
        <w:spacing w:line="242" w:lineRule="auto"/>
        <w:rPr>
          <w:rFonts w:ascii="宋体"/>
          <w:color w:val="auto"/>
        </w:rPr>
      </w:pPr>
    </w:p>
    <w:p>
      <w:pPr>
        <w:spacing w:line="242" w:lineRule="auto"/>
        <w:rPr>
          <w:rFonts w:ascii="宋体"/>
          <w:color w:val="auto"/>
        </w:rPr>
      </w:pPr>
    </w:p>
    <w:p>
      <w:pPr>
        <w:spacing w:line="242" w:lineRule="auto"/>
        <w:rPr>
          <w:rFonts w:ascii="宋体"/>
          <w:color w:val="auto"/>
        </w:rPr>
      </w:pPr>
    </w:p>
    <w:p>
      <w:pPr>
        <w:spacing w:line="242" w:lineRule="auto"/>
        <w:rPr>
          <w:rFonts w:ascii="宋体"/>
          <w:color w:val="auto"/>
        </w:rPr>
      </w:pPr>
    </w:p>
    <w:p>
      <w:pPr>
        <w:spacing w:line="242" w:lineRule="auto"/>
        <w:rPr>
          <w:rFonts w:ascii="宋体"/>
          <w:color w:val="auto"/>
        </w:rPr>
      </w:pPr>
    </w:p>
    <w:p>
      <w:pPr>
        <w:spacing w:before="156" w:line="372" w:lineRule="auto"/>
        <w:ind w:right="553"/>
        <w:jc w:val="center"/>
        <w:rPr>
          <w:rFonts w:ascii="黑体" w:hAnsi="黑体" w:eastAsia="黑体" w:cs="黑体"/>
          <w:b/>
          <w:bCs/>
          <w:color w:val="auto"/>
          <w:sz w:val="44"/>
          <w:szCs w:val="44"/>
        </w:rPr>
      </w:pPr>
      <w:r>
        <w:rPr>
          <w:rFonts w:hint="eastAsia" w:ascii="黑体" w:hAnsi="黑体" w:eastAsia="黑体" w:cs="黑体"/>
          <w:b/>
          <w:bCs/>
          <w:color w:val="auto"/>
          <w:sz w:val="44"/>
          <w:szCs w:val="44"/>
        </w:rPr>
        <w:t>2022年历城区“四好农村路”建设项目</w:t>
      </w:r>
    </w:p>
    <w:p>
      <w:pPr>
        <w:spacing w:before="156" w:line="372" w:lineRule="auto"/>
        <w:ind w:right="553"/>
        <w:jc w:val="center"/>
        <w:rPr>
          <w:rFonts w:ascii="黑体" w:hAnsi="黑体" w:eastAsia="黑体" w:cs="黑体"/>
          <w:b/>
          <w:bCs/>
          <w:color w:val="auto"/>
          <w:sz w:val="72"/>
          <w:szCs w:val="72"/>
        </w:rPr>
      </w:pPr>
      <w:r>
        <w:rPr>
          <w:rFonts w:hint="eastAsia" w:ascii="黑体" w:hAnsi="黑体" w:eastAsia="黑体" w:cs="黑体"/>
          <w:b/>
          <w:bCs/>
          <w:color w:val="auto"/>
          <w:sz w:val="72"/>
          <w:szCs w:val="72"/>
        </w:rPr>
        <w:t>社会稳定风险评估报告</w:t>
      </w: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before="117" w:line="360" w:lineRule="auto"/>
        <w:ind w:right="793"/>
        <w:jc w:val="center"/>
        <w:rPr>
          <w:rFonts w:ascii="宋体" w:hAnsi="宋体" w:eastAsia="宋体" w:cs="宋体"/>
          <w:color w:val="auto"/>
          <w:spacing w:val="24"/>
          <w:sz w:val="36"/>
          <w:szCs w:val="36"/>
        </w:rPr>
      </w:pPr>
      <w:r>
        <w:rPr>
          <w:rFonts w:hint="eastAsia" w:ascii="宋体" w:hAnsi="宋体" w:eastAsia="宋体" w:cs="宋体"/>
          <w:color w:val="auto"/>
          <w:spacing w:val="24"/>
          <w:sz w:val="36"/>
          <w:szCs w:val="36"/>
        </w:rPr>
        <w:t>山东东昌勘察测绘有限公司</w:t>
      </w:r>
    </w:p>
    <w:p>
      <w:pPr>
        <w:spacing w:before="117" w:line="360" w:lineRule="auto"/>
        <w:ind w:right="793"/>
        <w:jc w:val="center"/>
        <w:rPr>
          <w:rFonts w:ascii="宋体" w:hAnsi="宋体" w:eastAsia="宋体" w:cs="宋体"/>
          <w:color w:val="auto"/>
          <w:spacing w:val="24"/>
          <w:sz w:val="36"/>
          <w:szCs w:val="36"/>
        </w:rPr>
      </w:pPr>
      <w:r>
        <w:rPr>
          <w:rFonts w:hint="eastAsia" w:ascii="宋体" w:hAnsi="宋体" w:eastAsia="宋体" w:cs="宋体"/>
          <w:color w:val="auto"/>
          <w:spacing w:val="24"/>
          <w:sz w:val="36"/>
          <w:szCs w:val="36"/>
        </w:rPr>
        <w:t>二〇二二年</w:t>
      </w:r>
      <w:r>
        <w:rPr>
          <w:rFonts w:hint="eastAsia" w:ascii="宋体" w:hAnsi="宋体" w:eastAsia="宋体" w:cs="宋体"/>
          <w:color w:val="auto"/>
          <w:spacing w:val="24"/>
          <w:sz w:val="36"/>
          <w:szCs w:val="36"/>
          <w:lang w:eastAsia="zh-CN"/>
        </w:rPr>
        <w:t>十一</w:t>
      </w:r>
      <w:r>
        <w:rPr>
          <w:rFonts w:hint="eastAsia" w:ascii="宋体" w:hAnsi="宋体" w:eastAsia="宋体" w:cs="宋体"/>
          <w:color w:val="auto"/>
          <w:spacing w:val="24"/>
          <w:sz w:val="36"/>
          <w:szCs w:val="36"/>
        </w:rPr>
        <w:t>月</w:t>
      </w:r>
      <w:bookmarkStart w:id="99" w:name="_GoBack"/>
      <w:bookmarkEnd w:id="99"/>
    </w:p>
    <w:p>
      <w:pPr>
        <w:spacing w:before="117" w:line="360" w:lineRule="auto"/>
        <w:ind w:right="793"/>
        <w:jc w:val="center"/>
        <w:rPr>
          <w:rFonts w:ascii="宋体" w:hAnsi="宋体" w:eastAsia="宋体" w:cs="宋体"/>
          <w:color w:val="auto"/>
          <w:spacing w:val="24"/>
          <w:sz w:val="36"/>
          <w:szCs w:val="36"/>
        </w:rPr>
        <w:sectPr>
          <w:pgSz w:w="11905" w:h="16838"/>
          <w:pgMar w:top="1440" w:right="1803" w:bottom="1440" w:left="1803" w:header="595" w:footer="703" w:gutter="0"/>
          <w:cols w:space="0" w:num="1"/>
        </w:sectPr>
      </w:pPr>
    </w:p>
    <w:p>
      <w:pPr>
        <w:spacing w:line="371" w:lineRule="auto"/>
        <w:rPr>
          <w:rFonts w:ascii="宋体"/>
          <w:color w:val="auto"/>
        </w:rPr>
      </w:pPr>
    </w:p>
    <w:sdt>
      <w:sdtPr>
        <w:rPr>
          <w:rFonts w:ascii="宋体" w:hAnsi="宋体" w:eastAsia="宋体"/>
          <w:color w:val="auto"/>
        </w:rPr>
        <w:id w:val="147475586"/>
        <w15:color w:val="DBDBDB"/>
        <w:docPartObj>
          <w:docPartGallery w:val="Table of Contents"/>
          <w:docPartUnique/>
        </w:docPartObj>
      </w:sdtPr>
      <w:sdtEndPr>
        <w:rPr>
          <w:rFonts w:ascii="宋体" w:hAnsi="宋体" w:eastAsia="宋体"/>
          <w:color w:val="auto"/>
        </w:rPr>
      </w:sdtEndPr>
      <w:sdtContent>
        <w:p>
          <w:pPr>
            <w:jc w:val="center"/>
            <w:outlineLvl w:val="0"/>
            <w:rPr>
              <w:color w:val="auto"/>
            </w:rPr>
          </w:pPr>
          <w:bookmarkStart w:id="0" w:name="_Toc5701"/>
          <w:bookmarkStart w:id="1" w:name="_Toc116406290"/>
          <w:bookmarkStart w:id="2" w:name="_Toc18215"/>
          <w:bookmarkStart w:id="3" w:name="_Toc31219"/>
          <w:bookmarkStart w:id="4" w:name="_Toc23917"/>
          <w:bookmarkStart w:id="5" w:name="_Toc32454"/>
          <w:r>
            <w:rPr>
              <w:rFonts w:ascii="宋体" w:hAnsi="宋体" w:eastAsia="宋体"/>
              <w:color w:val="auto"/>
            </w:rPr>
            <w:t>目录</w:t>
          </w:r>
          <w:bookmarkEnd w:id="0"/>
          <w:bookmarkEnd w:id="1"/>
          <w:bookmarkEnd w:id="2"/>
          <w:bookmarkEnd w:id="3"/>
          <w:bookmarkEnd w:id="4"/>
          <w:bookmarkEnd w:id="5"/>
        </w:p>
        <w:p>
          <w:pPr>
            <w:pStyle w:val="12"/>
            <w:tabs>
              <w:tab w:val="right" w:leader="middleDot" w:pos="8299"/>
            </w:tabs>
            <w:rPr>
              <w:color w:val="auto"/>
            </w:rPr>
          </w:pPr>
          <w:r>
            <w:rPr>
              <w:color w:val="auto"/>
            </w:rPr>
            <w:fldChar w:fldCharType="begin"/>
          </w:r>
          <w:r>
            <w:rPr>
              <w:color w:val="auto"/>
            </w:rPr>
            <w:instrText xml:space="preserve">TOC \o "1-3" \h \u </w:instrText>
          </w:r>
          <w:r>
            <w:rPr>
              <w:color w:val="auto"/>
            </w:rPr>
            <w:fldChar w:fldCharType="separate"/>
          </w:r>
          <w:r>
            <w:rPr>
              <w:color w:val="auto"/>
            </w:rPr>
            <w:fldChar w:fldCharType="begin"/>
          </w:r>
          <w:r>
            <w:rPr>
              <w:color w:val="auto"/>
            </w:rPr>
            <w:instrText xml:space="preserve"> HYPERLINK \l _Toc32454 </w:instrText>
          </w:r>
          <w:r>
            <w:rPr>
              <w:color w:val="auto"/>
            </w:rPr>
            <w:fldChar w:fldCharType="separate"/>
          </w:r>
          <w:r>
            <w:rPr>
              <w:rFonts w:ascii="宋体" w:hAnsi="宋体" w:eastAsia="宋体"/>
              <w:color w:val="auto"/>
            </w:rPr>
            <w:t>目录</w:t>
          </w:r>
          <w:r>
            <w:rPr>
              <w:color w:val="auto"/>
            </w:rPr>
            <w:tab/>
          </w:r>
          <w:r>
            <w:rPr>
              <w:color w:val="auto"/>
            </w:rPr>
            <w:fldChar w:fldCharType="begin"/>
          </w:r>
          <w:r>
            <w:rPr>
              <w:color w:val="auto"/>
            </w:rPr>
            <w:instrText xml:space="preserve"> PAGEREF _Toc32454 \h </w:instrText>
          </w:r>
          <w:r>
            <w:rPr>
              <w:color w:val="auto"/>
            </w:rPr>
            <w:fldChar w:fldCharType="separate"/>
          </w:r>
          <w:r>
            <w:rPr>
              <w:color w:val="auto"/>
            </w:rPr>
            <w:t>2</w:t>
          </w:r>
          <w:r>
            <w:rPr>
              <w:color w:val="auto"/>
            </w:rPr>
            <w:fldChar w:fldCharType="end"/>
          </w:r>
          <w:r>
            <w:rPr>
              <w:color w:val="auto"/>
            </w:rPr>
            <w:fldChar w:fldCharType="end"/>
          </w:r>
        </w:p>
        <w:p>
          <w:pPr>
            <w:pStyle w:val="12"/>
            <w:tabs>
              <w:tab w:val="right" w:leader="middleDot" w:pos="8299"/>
            </w:tabs>
            <w:rPr>
              <w:color w:val="auto"/>
            </w:rPr>
          </w:pPr>
          <w:r>
            <w:rPr>
              <w:color w:val="auto"/>
            </w:rPr>
            <w:fldChar w:fldCharType="begin"/>
          </w:r>
          <w:r>
            <w:rPr>
              <w:color w:val="auto"/>
            </w:rPr>
            <w:instrText xml:space="preserve"> HYPERLINK \l _Toc30451 </w:instrText>
          </w:r>
          <w:r>
            <w:rPr>
              <w:color w:val="auto"/>
            </w:rPr>
            <w:fldChar w:fldCharType="separate"/>
          </w:r>
          <w:r>
            <w:rPr>
              <w:rFonts w:hint="eastAsia" w:ascii="宋体" w:hAnsi="宋体" w:eastAsia="宋体" w:cs="宋体"/>
              <w:color w:val="auto"/>
              <w:szCs w:val="36"/>
            </w:rPr>
            <w:t>前  言</w:t>
          </w:r>
          <w:r>
            <w:rPr>
              <w:color w:val="auto"/>
            </w:rPr>
            <w:tab/>
          </w:r>
          <w:r>
            <w:rPr>
              <w:color w:val="auto"/>
            </w:rPr>
            <w:fldChar w:fldCharType="begin"/>
          </w:r>
          <w:r>
            <w:rPr>
              <w:color w:val="auto"/>
            </w:rPr>
            <w:instrText xml:space="preserve"> PAGEREF _Toc30451 \h </w:instrText>
          </w:r>
          <w:r>
            <w:rPr>
              <w:color w:val="auto"/>
            </w:rPr>
            <w:fldChar w:fldCharType="separate"/>
          </w:r>
          <w:r>
            <w:rPr>
              <w:color w:val="auto"/>
            </w:rPr>
            <w:t>1</w:t>
          </w:r>
          <w:r>
            <w:rPr>
              <w:color w:val="auto"/>
            </w:rPr>
            <w:fldChar w:fldCharType="end"/>
          </w:r>
          <w:r>
            <w:rPr>
              <w:color w:val="auto"/>
            </w:rPr>
            <w:fldChar w:fldCharType="end"/>
          </w:r>
        </w:p>
        <w:p>
          <w:pPr>
            <w:pStyle w:val="12"/>
            <w:tabs>
              <w:tab w:val="right" w:leader="middleDot" w:pos="8299"/>
            </w:tabs>
            <w:rPr>
              <w:color w:val="auto"/>
            </w:rPr>
          </w:pPr>
          <w:r>
            <w:rPr>
              <w:color w:val="auto"/>
            </w:rPr>
            <w:fldChar w:fldCharType="begin"/>
          </w:r>
          <w:r>
            <w:rPr>
              <w:color w:val="auto"/>
            </w:rPr>
            <w:instrText xml:space="preserve"> HYPERLINK \l _Toc7309 </w:instrText>
          </w:r>
          <w:r>
            <w:rPr>
              <w:color w:val="auto"/>
            </w:rPr>
            <w:fldChar w:fldCharType="separate"/>
          </w:r>
          <w:r>
            <w:rPr>
              <w:rFonts w:hint="eastAsia" w:ascii="宋体" w:hAnsi="宋体" w:eastAsia="宋体" w:cs="宋体"/>
              <w:color w:val="auto"/>
              <w:szCs w:val="36"/>
            </w:rPr>
            <w:t>一、 基本情况</w:t>
          </w:r>
          <w:r>
            <w:rPr>
              <w:color w:val="auto"/>
            </w:rPr>
            <w:tab/>
          </w:r>
          <w:r>
            <w:rPr>
              <w:color w:val="auto"/>
            </w:rPr>
            <w:fldChar w:fldCharType="begin"/>
          </w:r>
          <w:r>
            <w:rPr>
              <w:color w:val="auto"/>
            </w:rPr>
            <w:instrText xml:space="preserve"> PAGEREF _Toc7309 \h </w:instrText>
          </w:r>
          <w:r>
            <w:rPr>
              <w:color w:val="auto"/>
            </w:rPr>
            <w:fldChar w:fldCharType="separate"/>
          </w:r>
          <w:r>
            <w:rPr>
              <w:color w:val="auto"/>
            </w:rPr>
            <w:t>2</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_Toc15055 </w:instrText>
          </w:r>
          <w:r>
            <w:rPr>
              <w:color w:val="auto"/>
            </w:rPr>
            <w:fldChar w:fldCharType="separate"/>
          </w:r>
          <w:r>
            <w:rPr>
              <w:rFonts w:hint="eastAsia" w:ascii="宋体" w:hAnsi="宋体" w:eastAsia="宋体" w:cs="宋体"/>
              <w:color w:val="auto"/>
              <w:szCs w:val="32"/>
            </w:rPr>
            <w:t>（一）工程概况</w:t>
          </w:r>
          <w:r>
            <w:rPr>
              <w:color w:val="auto"/>
            </w:rPr>
            <w:tab/>
          </w:r>
          <w:r>
            <w:rPr>
              <w:color w:val="auto"/>
            </w:rPr>
            <w:fldChar w:fldCharType="begin"/>
          </w:r>
          <w:r>
            <w:rPr>
              <w:color w:val="auto"/>
            </w:rPr>
            <w:instrText xml:space="preserve"> PAGEREF _Toc15055 \h </w:instrText>
          </w:r>
          <w:r>
            <w:rPr>
              <w:color w:val="auto"/>
            </w:rPr>
            <w:fldChar w:fldCharType="separate"/>
          </w:r>
          <w:r>
            <w:rPr>
              <w:color w:val="auto"/>
            </w:rPr>
            <w:t>2</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_Toc18053 </w:instrText>
          </w:r>
          <w:r>
            <w:rPr>
              <w:color w:val="auto"/>
            </w:rPr>
            <w:fldChar w:fldCharType="separate"/>
          </w:r>
          <w:r>
            <w:rPr>
              <w:rFonts w:ascii="仿宋" w:hAnsi="仿宋" w:eastAsia="仿宋" w:cs="仿宋"/>
              <w:color w:val="auto"/>
              <w:szCs w:val="30"/>
            </w:rPr>
            <w:t xml:space="preserve">1、 </w:t>
          </w:r>
          <w:r>
            <w:rPr>
              <w:rFonts w:hint="eastAsia" w:ascii="仿宋" w:hAnsi="仿宋" w:eastAsia="仿宋" w:cs="仿宋"/>
              <w:color w:val="auto"/>
              <w:szCs w:val="30"/>
            </w:rPr>
            <w:t>工程地点</w:t>
          </w:r>
          <w:r>
            <w:rPr>
              <w:color w:val="auto"/>
            </w:rPr>
            <w:tab/>
          </w:r>
          <w:r>
            <w:rPr>
              <w:color w:val="auto"/>
            </w:rPr>
            <w:fldChar w:fldCharType="begin"/>
          </w:r>
          <w:r>
            <w:rPr>
              <w:color w:val="auto"/>
            </w:rPr>
            <w:instrText xml:space="preserve"> PAGEREF _Toc18053 \h </w:instrText>
          </w:r>
          <w:r>
            <w:rPr>
              <w:color w:val="auto"/>
            </w:rPr>
            <w:fldChar w:fldCharType="separate"/>
          </w:r>
          <w:r>
            <w:rPr>
              <w:color w:val="auto"/>
            </w:rPr>
            <w:t>2</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_Toc29918 </w:instrText>
          </w:r>
          <w:r>
            <w:rPr>
              <w:color w:val="auto"/>
            </w:rPr>
            <w:fldChar w:fldCharType="separate"/>
          </w:r>
          <w:r>
            <w:rPr>
              <w:rFonts w:ascii="仿宋" w:hAnsi="仿宋" w:eastAsia="仿宋" w:cs="仿宋"/>
              <w:color w:val="auto"/>
              <w:szCs w:val="30"/>
            </w:rPr>
            <w:t xml:space="preserve">2、 </w:t>
          </w:r>
          <w:r>
            <w:rPr>
              <w:rFonts w:hint="eastAsia" w:ascii="仿宋" w:hAnsi="仿宋" w:eastAsia="仿宋" w:cs="仿宋"/>
              <w:color w:val="auto"/>
              <w:szCs w:val="30"/>
            </w:rPr>
            <w:t>工程范围</w:t>
          </w:r>
          <w:r>
            <w:rPr>
              <w:color w:val="auto"/>
            </w:rPr>
            <w:tab/>
          </w:r>
          <w:r>
            <w:rPr>
              <w:color w:val="auto"/>
            </w:rPr>
            <w:fldChar w:fldCharType="begin"/>
          </w:r>
          <w:r>
            <w:rPr>
              <w:color w:val="auto"/>
            </w:rPr>
            <w:instrText xml:space="preserve"> PAGEREF _Toc29918 \h </w:instrText>
          </w:r>
          <w:r>
            <w:rPr>
              <w:color w:val="auto"/>
            </w:rPr>
            <w:fldChar w:fldCharType="separate"/>
          </w:r>
          <w:r>
            <w:rPr>
              <w:color w:val="auto"/>
            </w:rPr>
            <w:t>2</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_Toc9878 </w:instrText>
          </w:r>
          <w:r>
            <w:rPr>
              <w:color w:val="auto"/>
            </w:rPr>
            <w:fldChar w:fldCharType="separate"/>
          </w:r>
          <w:r>
            <w:rPr>
              <w:rFonts w:ascii="仿宋" w:hAnsi="仿宋" w:eastAsia="仿宋" w:cs="仿宋"/>
              <w:color w:val="auto"/>
              <w:szCs w:val="30"/>
            </w:rPr>
            <w:t xml:space="preserve">3、 </w:t>
          </w:r>
          <w:r>
            <w:rPr>
              <w:rFonts w:hint="eastAsia" w:ascii="仿宋" w:hAnsi="仿宋" w:eastAsia="仿宋" w:cs="仿宋"/>
              <w:color w:val="auto"/>
              <w:szCs w:val="30"/>
            </w:rPr>
            <w:t>投资情况</w:t>
          </w:r>
          <w:r>
            <w:rPr>
              <w:color w:val="auto"/>
            </w:rPr>
            <w:tab/>
          </w:r>
          <w:r>
            <w:rPr>
              <w:color w:val="auto"/>
            </w:rPr>
            <w:fldChar w:fldCharType="begin"/>
          </w:r>
          <w:r>
            <w:rPr>
              <w:color w:val="auto"/>
            </w:rPr>
            <w:instrText xml:space="preserve"> PAGEREF _Toc9878 \h </w:instrText>
          </w:r>
          <w:r>
            <w:rPr>
              <w:color w:val="auto"/>
            </w:rPr>
            <w:fldChar w:fldCharType="separate"/>
          </w:r>
          <w:r>
            <w:rPr>
              <w:color w:val="auto"/>
            </w:rPr>
            <w:t>4</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_Toc1948 </w:instrText>
          </w:r>
          <w:r>
            <w:rPr>
              <w:color w:val="auto"/>
            </w:rPr>
            <w:fldChar w:fldCharType="separate"/>
          </w:r>
          <w:r>
            <w:rPr>
              <w:rFonts w:hint="eastAsia" w:ascii="宋体" w:hAnsi="宋体" w:eastAsia="宋体" w:cs="宋体"/>
              <w:color w:val="auto"/>
              <w:szCs w:val="32"/>
            </w:rPr>
            <w:t>（二）评估依据</w:t>
          </w:r>
          <w:r>
            <w:rPr>
              <w:color w:val="auto"/>
            </w:rPr>
            <w:tab/>
          </w:r>
          <w:r>
            <w:rPr>
              <w:color w:val="auto"/>
            </w:rPr>
            <w:fldChar w:fldCharType="begin"/>
          </w:r>
          <w:r>
            <w:rPr>
              <w:color w:val="auto"/>
            </w:rPr>
            <w:instrText xml:space="preserve"> PAGEREF _Toc1948 \h </w:instrText>
          </w:r>
          <w:r>
            <w:rPr>
              <w:color w:val="auto"/>
            </w:rPr>
            <w:fldChar w:fldCharType="separate"/>
          </w:r>
          <w:r>
            <w:rPr>
              <w:color w:val="auto"/>
            </w:rPr>
            <w:t>5</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_Toc15531 </w:instrText>
          </w:r>
          <w:r>
            <w:rPr>
              <w:color w:val="auto"/>
            </w:rPr>
            <w:fldChar w:fldCharType="separate"/>
          </w:r>
          <w:r>
            <w:rPr>
              <w:rFonts w:hint="eastAsia"/>
              <w:bCs w:val="0"/>
              <w:color w:val="auto"/>
              <w:szCs w:val="30"/>
            </w:rPr>
            <w:t>（一）国家法律、法规及规范性文件</w:t>
          </w:r>
          <w:r>
            <w:rPr>
              <w:color w:val="auto"/>
            </w:rPr>
            <w:tab/>
          </w:r>
          <w:r>
            <w:rPr>
              <w:color w:val="auto"/>
            </w:rPr>
            <w:fldChar w:fldCharType="begin"/>
          </w:r>
          <w:r>
            <w:rPr>
              <w:color w:val="auto"/>
            </w:rPr>
            <w:instrText xml:space="preserve"> PAGEREF _Toc15531 \h </w:instrText>
          </w:r>
          <w:r>
            <w:rPr>
              <w:color w:val="auto"/>
            </w:rPr>
            <w:fldChar w:fldCharType="separate"/>
          </w:r>
          <w:r>
            <w:rPr>
              <w:color w:val="auto"/>
            </w:rPr>
            <w:t>5</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_Toc9477 </w:instrText>
          </w:r>
          <w:r>
            <w:rPr>
              <w:color w:val="auto"/>
            </w:rPr>
            <w:fldChar w:fldCharType="separate"/>
          </w:r>
          <w:r>
            <w:rPr>
              <w:rFonts w:hint="eastAsia"/>
              <w:bCs w:val="0"/>
              <w:color w:val="auto"/>
              <w:szCs w:val="30"/>
            </w:rPr>
            <w:t>（二）地方法规及规划</w:t>
          </w:r>
          <w:r>
            <w:rPr>
              <w:color w:val="auto"/>
            </w:rPr>
            <w:tab/>
          </w:r>
          <w:r>
            <w:rPr>
              <w:color w:val="auto"/>
            </w:rPr>
            <w:fldChar w:fldCharType="begin"/>
          </w:r>
          <w:r>
            <w:rPr>
              <w:color w:val="auto"/>
            </w:rPr>
            <w:instrText xml:space="preserve"> PAGEREF _Toc9477 \h </w:instrText>
          </w:r>
          <w:r>
            <w:rPr>
              <w:color w:val="auto"/>
            </w:rPr>
            <w:fldChar w:fldCharType="separate"/>
          </w:r>
          <w:r>
            <w:rPr>
              <w:color w:val="auto"/>
            </w:rPr>
            <w:t>6</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_Toc26004 </w:instrText>
          </w:r>
          <w:r>
            <w:rPr>
              <w:color w:val="auto"/>
            </w:rPr>
            <w:fldChar w:fldCharType="separate"/>
          </w:r>
          <w:r>
            <w:rPr>
              <w:rFonts w:hint="eastAsia"/>
              <w:bCs w:val="0"/>
              <w:color w:val="auto"/>
              <w:szCs w:val="30"/>
            </w:rPr>
            <w:t>（三）相关政策性文件</w:t>
          </w:r>
          <w:r>
            <w:rPr>
              <w:color w:val="auto"/>
            </w:rPr>
            <w:tab/>
          </w:r>
          <w:r>
            <w:rPr>
              <w:color w:val="auto"/>
            </w:rPr>
            <w:fldChar w:fldCharType="begin"/>
          </w:r>
          <w:r>
            <w:rPr>
              <w:color w:val="auto"/>
            </w:rPr>
            <w:instrText xml:space="preserve"> PAGEREF _Toc26004 \h </w:instrText>
          </w:r>
          <w:r>
            <w:rPr>
              <w:color w:val="auto"/>
            </w:rPr>
            <w:fldChar w:fldCharType="separate"/>
          </w:r>
          <w:r>
            <w:rPr>
              <w:color w:val="auto"/>
            </w:rPr>
            <w:t>7</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_Toc18049 </w:instrText>
          </w:r>
          <w:r>
            <w:rPr>
              <w:color w:val="auto"/>
            </w:rPr>
            <w:fldChar w:fldCharType="separate"/>
          </w:r>
          <w:r>
            <w:rPr>
              <w:rFonts w:hint="eastAsia"/>
              <w:color w:val="auto"/>
              <w:szCs w:val="30"/>
            </w:rPr>
            <w:t>4、采用的社会稳定风险评判标准与指标体系</w:t>
          </w:r>
          <w:r>
            <w:rPr>
              <w:color w:val="auto"/>
            </w:rPr>
            <w:tab/>
          </w:r>
          <w:r>
            <w:rPr>
              <w:color w:val="auto"/>
            </w:rPr>
            <w:fldChar w:fldCharType="begin"/>
          </w:r>
          <w:r>
            <w:rPr>
              <w:color w:val="auto"/>
            </w:rPr>
            <w:instrText xml:space="preserve"> PAGEREF _Toc18049 \h </w:instrText>
          </w:r>
          <w:r>
            <w:rPr>
              <w:color w:val="auto"/>
            </w:rPr>
            <w:fldChar w:fldCharType="separate"/>
          </w:r>
          <w:r>
            <w:rPr>
              <w:color w:val="auto"/>
            </w:rPr>
            <w:t>7</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_Toc19872 </w:instrText>
          </w:r>
          <w:r>
            <w:rPr>
              <w:color w:val="auto"/>
            </w:rPr>
            <w:fldChar w:fldCharType="separate"/>
          </w:r>
          <w:r>
            <w:rPr>
              <w:rFonts w:hint="eastAsia" w:ascii="宋体" w:hAnsi="宋体" w:eastAsia="宋体" w:cs="宋体"/>
              <w:color w:val="auto"/>
              <w:szCs w:val="32"/>
            </w:rPr>
            <w:t>(三</w:t>
          </w:r>
          <w:r>
            <w:rPr>
              <w:rFonts w:ascii="宋体" w:hAnsi="宋体" w:eastAsia="宋体" w:cs="宋体"/>
              <w:color w:val="auto"/>
              <w:szCs w:val="32"/>
            </w:rPr>
            <w:t>)</w:t>
          </w:r>
          <w:r>
            <w:rPr>
              <w:rFonts w:hint="eastAsia" w:ascii="宋体" w:hAnsi="宋体" w:eastAsia="宋体" w:cs="宋体"/>
              <w:color w:val="auto"/>
              <w:szCs w:val="32"/>
            </w:rPr>
            <w:t xml:space="preserve"> 评估主体</w:t>
          </w:r>
          <w:r>
            <w:rPr>
              <w:color w:val="auto"/>
            </w:rPr>
            <w:tab/>
          </w:r>
          <w:r>
            <w:rPr>
              <w:color w:val="auto"/>
            </w:rPr>
            <w:fldChar w:fldCharType="begin"/>
          </w:r>
          <w:r>
            <w:rPr>
              <w:color w:val="auto"/>
            </w:rPr>
            <w:instrText xml:space="preserve"> PAGEREF _Toc19872 \h </w:instrText>
          </w:r>
          <w:r>
            <w:rPr>
              <w:color w:val="auto"/>
            </w:rPr>
            <w:fldChar w:fldCharType="separate"/>
          </w:r>
          <w:r>
            <w:rPr>
              <w:color w:val="auto"/>
            </w:rPr>
            <w:t>9</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_Toc17792 </w:instrText>
          </w:r>
          <w:r>
            <w:rPr>
              <w:color w:val="auto"/>
            </w:rPr>
            <w:fldChar w:fldCharType="separate"/>
          </w:r>
          <w:r>
            <w:rPr>
              <w:rFonts w:hint="eastAsia" w:ascii="宋体" w:hAnsi="宋体" w:eastAsia="宋体" w:cs="宋体"/>
              <w:color w:val="auto"/>
              <w:szCs w:val="32"/>
            </w:rPr>
            <w:t>(四)评估过程和方法</w:t>
          </w:r>
          <w:r>
            <w:rPr>
              <w:color w:val="auto"/>
            </w:rPr>
            <w:tab/>
          </w:r>
          <w:r>
            <w:rPr>
              <w:color w:val="auto"/>
            </w:rPr>
            <w:fldChar w:fldCharType="begin"/>
          </w:r>
          <w:r>
            <w:rPr>
              <w:color w:val="auto"/>
            </w:rPr>
            <w:instrText xml:space="preserve"> PAGEREF _Toc17792 \h </w:instrText>
          </w:r>
          <w:r>
            <w:rPr>
              <w:color w:val="auto"/>
            </w:rPr>
            <w:fldChar w:fldCharType="separate"/>
          </w:r>
          <w:r>
            <w:rPr>
              <w:color w:val="auto"/>
            </w:rPr>
            <w:t>10</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_Toc21845 </w:instrText>
          </w:r>
          <w:r>
            <w:rPr>
              <w:color w:val="auto"/>
            </w:rPr>
            <w:fldChar w:fldCharType="separate"/>
          </w:r>
          <w:r>
            <w:rPr>
              <w:rFonts w:hint="eastAsia"/>
              <w:bCs w:val="0"/>
              <w:color w:val="auto"/>
              <w:szCs w:val="30"/>
            </w:rPr>
            <w:t>1、制定评估工作方案</w:t>
          </w:r>
          <w:r>
            <w:rPr>
              <w:color w:val="auto"/>
            </w:rPr>
            <w:tab/>
          </w:r>
          <w:r>
            <w:rPr>
              <w:color w:val="auto"/>
            </w:rPr>
            <w:fldChar w:fldCharType="begin"/>
          </w:r>
          <w:r>
            <w:rPr>
              <w:color w:val="auto"/>
            </w:rPr>
            <w:instrText xml:space="preserve"> PAGEREF _Toc21845 \h </w:instrText>
          </w:r>
          <w:r>
            <w:rPr>
              <w:color w:val="auto"/>
            </w:rPr>
            <w:fldChar w:fldCharType="separate"/>
          </w:r>
          <w:r>
            <w:rPr>
              <w:color w:val="auto"/>
            </w:rPr>
            <w:t>10</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_Toc8677 </w:instrText>
          </w:r>
          <w:r>
            <w:rPr>
              <w:color w:val="auto"/>
            </w:rPr>
            <w:fldChar w:fldCharType="separate"/>
          </w:r>
          <w:r>
            <w:rPr>
              <w:rFonts w:hint="eastAsia"/>
              <w:bCs w:val="0"/>
              <w:color w:val="auto"/>
              <w:szCs w:val="30"/>
            </w:rPr>
            <w:t>2、收集和审阅相关资料</w:t>
          </w:r>
          <w:r>
            <w:rPr>
              <w:color w:val="auto"/>
            </w:rPr>
            <w:tab/>
          </w:r>
          <w:r>
            <w:rPr>
              <w:color w:val="auto"/>
            </w:rPr>
            <w:fldChar w:fldCharType="begin"/>
          </w:r>
          <w:r>
            <w:rPr>
              <w:color w:val="auto"/>
            </w:rPr>
            <w:instrText xml:space="preserve"> PAGEREF _Toc8677 \h </w:instrText>
          </w:r>
          <w:r>
            <w:rPr>
              <w:color w:val="auto"/>
            </w:rPr>
            <w:fldChar w:fldCharType="separate"/>
          </w:r>
          <w:r>
            <w:rPr>
              <w:color w:val="auto"/>
            </w:rPr>
            <w:t>10</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_Toc24763 </w:instrText>
          </w:r>
          <w:r>
            <w:rPr>
              <w:color w:val="auto"/>
            </w:rPr>
            <w:fldChar w:fldCharType="separate"/>
          </w:r>
          <w:r>
            <w:rPr>
              <w:rFonts w:hint="eastAsia"/>
              <w:bCs w:val="0"/>
              <w:color w:val="auto"/>
              <w:szCs w:val="30"/>
            </w:rPr>
            <w:t>3、充分听取意见</w:t>
          </w:r>
          <w:r>
            <w:rPr>
              <w:color w:val="auto"/>
            </w:rPr>
            <w:tab/>
          </w:r>
          <w:r>
            <w:rPr>
              <w:color w:val="auto"/>
            </w:rPr>
            <w:fldChar w:fldCharType="begin"/>
          </w:r>
          <w:r>
            <w:rPr>
              <w:color w:val="auto"/>
            </w:rPr>
            <w:instrText xml:space="preserve"> PAGEREF _Toc24763 \h </w:instrText>
          </w:r>
          <w:r>
            <w:rPr>
              <w:color w:val="auto"/>
            </w:rPr>
            <w:fldChar w:fldCharType="separate"/>
          </w:r>
          <w:r>
            <w:rPr>
              <w:color w:val="auto"/>
            </w:rPr>
            <w:t>10</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_Toc11418 </w:instrText>
          </w:r>
          <w:r>
            <w:rPr>
              <w:color w:val="auto"/>
            </w:rPr>
            <w:fldChar w:fldCharType="separate"/>
          </w:r>
          <w:r>
            <w:rPr>
              <w:rFonts w:hint="eastAsia"/>
              <w:bCs w:val="0"/>
              <w:color w:val="auto"/>
              <w:szCs w:val="30"/>
            </w:rPr>
            <w:t>4、全面评估论证</w:t>
          </w:r>
          <w:r>
            <w:rPr>
              <w:color w:val="auto"/>
            </w:rPr>
            <w:tab/>
          </w:r>
          <w:r>
            <w:rPr>
              <w:color w:val="auto"/>
            </w:rPr>
            <w:fldChar w:fldCharType="begin"/>
          </w:r>
          <w:r>
            <w:rPr>
              <w:color w:val="auto"/>
            </w:rPr>
            <w:instrText xml:space="preserve"> PAGEREF _Toc11418 \h </w:instrText>
          </w:r>
          <w:r>
            <w:rPr>
              <w:color w:val="auto"/>
            </w:rPr>
            <w:fldChar w:fldCharType="separate"/>
          </w:r>
          <w:r>
            <w:rPr>
              <w:color w:val="auto"/>
            </w:rPr>
            <w:t>10</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_Toc3591 </w:instrText>
          </w:r>
          <w:r>
            <w:rPr>
              <w:color w:val="auto"/>
            </w:rPr>
            <w:fldChar w:fldCharType="separate"/>
          </w:r>
          <w:r>
            <w:rPr>
              <w:rFonts w:hint="eastAsia"/>
              <w:bCs w:val="0"/>
              <w:color w:val="auto"/>
              <w:szCs w:val="30"/>
            </w:rPr>
            <w:t>5、确定风险等级</w:t>
          </w:r>
          <w:r>
            <w:rPr>
              <w:color w:val="auto"/>
            </w:rPr>
            <w:tab/>
          </w:r>
          <w:r>
            <w:rPr>
              <w:color w:val="auto"/>
            </w:rPr>
            <w:fldChar w:fldCharType="begin"/>
          </w:r>
          <w:r>
            <w:rPr>
              <w:color w:val="auto"/>
            </w:rPr>
            <w:instrText xml:space="preserve"> PAGEREF _Toc3591 \h </w:instrText>
          </w:r>
          <w:r>
            <w:rPr>
              <w:color w:val="auto"/>
            </w:rPr>
            <w:fldChar w:fldCharType="separate"/>
          </w:r>
          <w:r>
            <w:rPr>
              <w:color w:val="auto"/>
            </w:rPr>
            <w:t>11</w:t>
          </w:r>
          <w:r>
            <w:rPr>
              <w:color w:val="auto"/>
            </w:rPr>
            <w:fldChar w:fldCharType="end"/>
          </w:r>
          <w:r>
            <w:rPr>
              <w:color w:val="auto"/>
            </w:rPr>
            <w:fldChar w:fldCharType="end"/>
          </w:r>
        </w:p>
        <w:p>
          <w:pPr>
            <w:pStyle w:val="12"/>
            <w:tabs>
              <w:tab w:val="right" w:leader="middleDot" w:pos="8299"/>
            </w:tabs>
            <w:rPr>
              <w:color w:val="auto"/>
            </w:rPr>
          </w:pPr>
          <w:r>
            <w:rPr>
              <w:color w:val="auto"/>
            </w:rPr>
            <w:fldChar w:fldCharType="begin"/>
          </w:r>
          <w:r>
            <w:rPr>
              <w:color w:val="auto"/>
            </w:rPr>
            <w:instrText xml:space="preserve"> HYPERLINK \l _Toc16400 </w:instrText>
          </w:r>
          <w:r>
            <w:rPr>
              <w:color w:val="auto"/>
            </w:rPr>
            <w:fldChar w:fldCharType="separate"/>
          </w:r>
          <w:r>
            <w:rPr>
              <w:rFonts w:hint="eastAsia" w:ascii="宋体" w:hAnsi="宋体" w:eastAsia="宋体" w:cs="宋体"/>
              <w:color w:val="auto"/>
              <w:szCs w:val="36"/>
            </w:rPr>
            <w:t>二、评估内容</w:t>
          </w:r>
          <w:r>
            <w:rPr>
              <w:color w:val="auto"/>
            </w:rPr>
            <w:tab/>
          </w:r>
          <w:r>
            <w:rPr>
              <w:color w:val="auto"/>
            </w:rPr>
            <w:fldChar w:fldCharType="begin"/>
          </w:r>
          <w:r>
            <w:rPr>
              <w:color w:val="auto"/>
            </w:rPr>
            <w:instrText xml:space="preserve"> PAGEREF _Toc16400 \h </w:instrText>
          </w:r>
          <w:r>
            <w:rPr>
              <w:color w:val="auto"/>
            </w:rPr>
            <w:fldChar w:fldCharType="separate"/>
          </w:r>
          <w:r>
            <w:rPr>
              <w:color w:val="auto"/>
            </w:rPr>
            <w:t>12</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_Toc30389 </w:instrText>
          </w:r>
          <w:r>
            <w:rPr>
              <w:color w:val="auto"/>
            </w:rPr>
            <w:fldChar w:fldCharType="separate"/>
          </w:r>
          <w:r>
            <w:rPr>
              <w:rFonts w:hint="eastAsia" w:ascii="宋体" w:hAnsi="宋体" w:eastAsia="宋体" w:cs="宋体"/>
              <w:color w:val="auto"/>
              <w:szCs w:val="32"/>
            </w:rPr>
            <w:t>（一）风险调查评估及各方意见采纳情况</w:t>
          </w:r>
          <w:r>
            <w:rPr>
              <w:color w:val="auto"/>
            </w:rPr>
            <w:tab/>
          </w:r>
          <w:r>
            <w:rPr>
              <w:color w:val="auto"/>
            </w:rPr>
            <w:fldChar w:fldCharType="begin"/>
          </w:r>
          <w:r>
            <w:rPr>
              <w:color w:val="auto"/>
            </w:rPr>
            <w:instrText xml:space="preserve"> PAGEREF _Toc30389 \h </w:instrText>
          </w:r>
          <w:r>
            <w:rPr>
              <w:color w:val="auto"/>
            </w:rPr>
            <w:fldChar w:fldCharType="separate"/>
          </w:r>
          <w:r>
            <w:rPr>
              <w:color w:val="auto"/>
            </w:rPr>
            <w:t>12</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_Toc15736 </w:instrText>
          </w:r>
          <w:r>
            <w:rPr>
              <w:color w:val="auto"/>
            </w:rPr>
            <w:fldChar w:fldCharType="separate"/>
          </w:r>
          <w:r>
            <w:rPr>
              <w:rFonts w:hint="eastAsia"/>
              <w:bCs w:val="0"/>
              <w:color w:val="auto"/>
              <w:szCs w:val="30"/>
            </w:rPr>
            <w:t>1、社会稳定风险调查分析</w:t>
          </w:r>
          <w:r>
            <w:rPr>
              <w:color w:val="auto"/>
            </w:rPr>
            <w:tab/>
          </w:r>
          <w:r>
            <w:rPr>
              <w:color w:val="auto"/>
            </w:rPr>
            <w:fldChar w:fldCharType="begin"/>
          </w:r>
          <w:r>
            <w:rPr>
              <w:color w:val="auto"/>
            </w:rPr>
            <w:instrText xml:space="preserve"> PAGEREF _Toc15736 \h </w:instrText>
          </w:r>
          <w:r>
            <w:rPr>
              <w:color w:val="auto"/>
            </w:rPr>
            <w:fldChar w:fldCharType="separate"/>
          </w:r>
          <w:r>
            <w:rPr>
              <w:color w:val="auto"/>
            </w:rPr>
            <w:t>12</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_Toc30284 </w:instrText>
          </w:r>
          <w:r>
            <w:rPr>
              <w:color w:val="auto"/>
            </w:rPr>
            <w:fldChar w:fldCharType="separate"/>
          </w:r>
          <w:r>
            <w:rPr>
              <w:rFonts w:hint="eastAsia"/>
              <w:bCs w:val="0"/>
              <w:color w:val="auto"/>
              <w:szCs w:val="30"/>
            </w:rPr>
            <w:t>2、回访结果与意见采纳情况</w:t>
          </w:r>
          <w:r>
            <w:rPr>
              <w:color w:val="auto"/>
            </w:rPr>
            <w:tab/>
          </w:r>
          <w:r>
            <w:rPr>
              <w:color w:val="auto"/>
            </w:rPr>
            <w:fldChar w:fldCharType="begin"/>
          </w:r>
          <w:r>
            <w:rPr>
              <w:color w:val="auto"/>
            </w:rPr>
            <w:instrText xml:space="preserve"> PAGEREF _Toc30284 \h </w:instrText>
          </w:r>
          <w:r>
            <w:rPr>
              <w:color w:val="auto"/>
            </w:rPr>
            <w:fldChar w:fldCharType="separate"/>
          </w:r>
          <w:r>
            <w:rPr>
              <w:color w:val="auto"/>
            </w:rPr>
            <w:t>13</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_Toc31982 </w:instrText>
          </w:r>
          <w:r>
            <w:rPr>
              <w:color w:val="auto"/>
            </w:rPr>
            <w:fldChar w:fldCharType="separate"/>
          </w:r>
          <w:r>
            <w:rPr>
              <w:rFonts w:ascii="宋体" w:hAnsi="宋体" w:eastAsia="宋体" w:cs="宋体"/>
              <w:color w:val="auto"/>
              <w:szCs w:val="32"/>
            </w:rPr>
            <w:t>(</w:t>
          </w:r>
          <w:r>
            <w:rPr>
              <w:rFonts w:hint="eastAsia" w:ascii="宋体" w:hAnsi="宋体" w:eastAsia="宋体" w:cs="宋体"/>
              <w:color w:val="auto"/>
              <w:szCs w:val="32"/>
            </w:rPr>
            <w:t>二)风险识别评估</w:t>
          </w:r>
          <w:r>
            <w:rPr>
              <w:color w:val="auto"/>
            </w:rPr>
            <w:tab/>
          </w:r>
          <w:r>
            <w:rPr>
              <w:color w:val="auto"/>
            </w:rPr>
            <w:fldChar w:fldCharType="begin"/>
          </w:r>
          <w:r>
            <w:rPr>
              <w:color w:val="auto"/>
            </w:rPr>
            <w:instrText xml:space="preserve"> PAGEREF _Toc31982 \h </w:instrText>
          </w:r>
          <w:r>
            <w:rPr>
              <w:color w:val="auto"/>
            </w:rPr>
            <w:fldChar w:fldCharType="separate"/>
          </w:r>
          <w:r>
            <w:rPr>
              <w:color w:val="auto"/>
            </w:rPr>
            <w:t>17</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_Toc3166 </w:instrText>
          </w:r>
          <w:r>
            <w:rPr>
              <w:color w:val="auto"/>
            </w:rPr>
            <w:fldChar w:fldCharType="separate"/>
          </w:r>
          <w:r>
            <w:rPr>
              <w:rFonts w:hint="eastAsia" w:ascii="宋体" w:hAnsi="宋体" w:eastAsia="宋体" w:cs="宋体"/>
              <w:color w:val="auto"/>
              <w:szCs w:val="32"/>
            </w:rPr>
            <w:t>（三）风险估计评估</w:t>
          </w:r>
          <w:r>
            <w:rPr>
              <w:color w:val="auto"/>
            </w:rPr>
            <w:tab/>
          </w:r>
          <w:r>
            <w:rPr>
              <w:color w:val="auto"/>
            </w:rPr>
            <w:fldChar w:fldCharType="begin"/>
          </w:r>
          <w:r>
            <w:rPr>
              <w:color w:val="auto"/>
            </w:rPr>
            <w:instrText xml:space="preserve"> PAGEREF _Toc3166 \h </w:instrText>
          </w:r>
          <w:r>
            <w:rPr>
              <w:color w:val="auto"/>
            </w:rPr>
            <w:fldChar w:fldCharType="separate"/>
          </w:r>
          <w:r>
            <w:rPr>
              <w:color w:val="auto"/>
            </w:rPr>
            <w:t>23</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_Toc4091 </w:instrText>
          </w:r>
          <w:r>
            <w:rPr>
              <w:color w:val="auto"/>
            </w:rPr>
            <w:fldChar w:fldCharType="separate"/>
          </w:r>
          <w:r>
            <w:rPr>
              <w:rFonts w:hint="eastAsia" w:ascii="仿宋" w:hAnsi="仿宋" w:eastAsia="仿宋" w:cs="仿宋"/>
              <w:color w:val="auto"/>
              <w:szCs w:val="30"/>
            </w:rPr>
            <w:t>1、估计方法</w:t>
          </w:r>
          <w:r>
            <w:rPr>
              <w:color w:val="auto"/>
            </w:rPr>
            <w:tab/>
          </w:r>
          <w:r>
            <w:rPr>
              <w:color w:val="auto"/>
            </w:rPr>
            <w:fldChar w:fldCharType="begin"/>
          </w:r>
          <w:r>
            <w:rPr>
              <w:color w:val="auto"/>
            </w:rPr>
            <w:instrText xml:space="preserve"> PAGEREF _Toc4091 \h </w:instrText>
          </w:r>
          <w:r>
            <w:rPr>
              <w:color w:val="auto"/>
            </w:rPr>
            <w:fldChar w:fldCharType="separate"/>
          </w:r>
          <w:r>
            <w:rPr>
              <w:color w:val="auto"/>
            </w:rPr>
            <w:t>23</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_Toc23436 </w:instrText>
          </w:r>
          <w:r>
            <w:rPr>
              <w:color w:val="auto"/>
            </w:rPr>
            <w:fldChar w:fldCharType="separate"/>
          </w:r>
          <w:r>
            <w:rPr>
              <w:rFonts w:hint="eastAsia" w:ascii="仿宋" w:hAnsi="仿宋" w:eastAsia="仿宋" w:cs="仿宋"/>
              <w:color w:val="auto"/>
              <w:szCs w:val="30"/>
            </w:rPr>
            <w:t>2、单因素风险估计</w:t>
          </w:r>
          <w:r>
            <w:rPr>
              <w:color w:val="auto"/>
            </w:rPr>
            <w:tab/>
          </w:r>
          <w:r>
            <w:rPr>
              <w:color w:val="auto"/>
            </w:rPr>
            <w:fldChar w:fldCharType="begin"/>
          </w:r>
          <w:r>
            <w:rPr>
              <w:color w:val="auto"/>
            </w:rPr>
            <w:instrText xml:space="preserve"> PAGEREF _Toc23436 \h </w:instrText>
          </w:r>
          <w:r>
            <w:rPr>
              <w:color w:val="auto"/>
            </w:rPr>
            <w:fldChar w:fldCharType="separate"/>
          </w:r>
          <w:r>
            <w:rPr>
              <w:color w:val="auto"/>
            </w:rPr>
            <w:t>25</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_Toc28943 </w:instrText>
          </w:r>
          <w:r>
            <w:rPr>
              <w:color w:val="auto"/>
            </w:rPr>
            <w:fldChar w:fldCharType="separate"/>
          </w:r>
          <w:r>
            <w:rPr>
              <w:rFonts w:hint="eastAsia" w:ascii="宋体" w:hAnsi="宋体" w:eastAsia="宋体" w:cs="宋体"/>
              <w:color w:val="auto"/>
              <w:szCs w:val="32"/>
            </w:rPr>
            <w:t>（四）风险防范和化解措施的评估</w:t>
          </w:r>
          <w:r>
            <w:rPr>
              <w:color w:val="auto"/>
            </w:rPr>
            <w:tab/>
          </w:r>
          <w:r>
            <w:rPr>
              <w:color w:val="auto"/>
            </w:rPr>
            <w:fldChar w:fldCharType="begin"/>
          </w:r>
          <w:r>
            <w:rPr>
              <w:color w:val="auto"/>
            </w:rPr>
            <w:instrText xml:space="preserve"> PAGEREF _Toc28943 \h </w:instrText>
          </w:r>
          <w:r>
            <w:rPr>
              <w:color w:val="auto"/>
            </w:rPr>
            <w:fldChar w:fldCharType="separate"/>
          </w:r>
          <w:r>
            <w:rPr>
              <w:color w:val="auto"/>
            </w:rPr>
            <w:t>29</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_Toc5518 </w:instrText>
          </w:r>
          <w:r>
            <w:rPr>
              <w:color w:val="auto"/>
            </w:rPr>
            <w:fldChar w:fldCharType="separate"/>
          </w:r>
          <w:r>
            <w:rPr>
              <w:rFonts w:hint="eastAsia" w:ascii="宋体" w:hAnsi="宋体" w:eastAsia="宋体" w:cs="宋体"/>
              <w:color w:val="auto"/>
              <w:szCs w:val="32"/>
            </w:rPr>
            <w:t>一、项目规划和审批风险防范和化解措施</w:t>
          </w:r>
          <w:r>
            <w:rPr>
              <w:color w:val="auto"/>
            </w:rPr>
            <w:tab/>
          </w:r>
          <w:r>
            <w:rPr>
              <w:color w:val="auto"/>
            </w:rPr>
            <w:fldChar w:fldCharType="begin"/>
          </w:r>
          <w:r>
            <w:rPr>
              <w:color w:val="auto"/>
            </w:rPr>
            <w:instrText xml:space="preserve"> PAGEREF _Toc5518 \h </w:instrText>
          </w:r>
          <w:r>
            <w:rPr>
              <w:color w:val="auto"/>
            </w:rPr>
            <w:fldChar w:fldCharType="separate"/>
          </w:r>
          <w:r>
            <w:rPr>
              <w:color w:val="auto"/>
            </w:rPr>
            <w:t>29</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_Toc20454 </w:instrText>
          </w:r>
          <w:r>
            <w:rPr>
              <w:color w:val="auto"/>
            </w:rPr>
            <w:fldChar w:fldCharType="separate"/>
          </w:r>
          <w:r>
            <w:rPr>
              <w:rFonts w:hint="eastAsia" w:ascii="宋体" w:hAnsi="宋体" w:eastAsia="宋体" w:cs="宋体"/>
              <w:color w:val="auto"/>
              <w:szCs w:val="32"/>
            </w:rPr>
            <w:t>二、建设实施风险防范和化解措施</w:t>
          </w:r>
          <w:r>
            <w:rPr>
              <w:color w:val="auto"/>
            </w:rPr>
            <w:tab/>
          </w:r>
          <w:r>
            <w:rPr>
              <w:color w:val="auto"/>
            </w:rPr>
            <w:fldChar w:fldCharType="begin"/>
          </w:r>
          <w:r>
            <w:rPr>
              <w:color w:val="auto"/>
            </w:rPr>
            <w:instrText xml:space="preserve"> PAGEREF _Toc20454 \h </w:instrText>
          </w:r>
          <w:r>
            <w:rPr>
              <w:color w:val="auto"/>
            </w:rPr>
            <w:fldChar w:fldCharType="separate"/>
          </w:r>
          <w:r>
            <w:rPr>
              <w:color w:val="auto"/>
            </w:rPr>
            <w:t>29</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_Toc25743 </w:instrText>
          </w:r>
          <w:r>
            <w:rPr>
              <w:color w:val="auto"/>
            </w:rPr>
            <w:fldChar w:fldCharType="separate"/>
          </w:r>
          <w:r>
            <w:rPr>
              <w:rFonts w:hint="eastAsia" w:ascii="宋体" w:hAnsi="宋体" w:eastAsia="宋体" w:cs="宋体"/>
              <w:color w:val="auto"/>
              <w:szCs w:val="32"/>
            </w:rPr>
            <w:t>三、项目管理风险防范和化解措施</w:t>
          </w:r>
          <w:r>
            <w:rPr>
              <w:color w:val="auto"/>
            </w:rPr>
            <w:tab/>
          </w:r>
          <w:r>
            <w:rPr>
              <w:color w:val="auto"/>
            </w:rPr>
            <w:fldChar w:fldCharType="begin"/>
          </w:r>
          <w:r>
            <w:rPr>
              <w:color w:val="auto"/>
            </w:rPr>
            <w:instrText xml:space="preserve"> PAGEREF _Toc25743 \h </w:instrText>
          </w:r>
          <w:r>
            <w:rPr>
              <w:color w:val="auto"/>
            </w:rPr>
            <w:fldChar w:fldCharType="separate"/>
          </w:r>
          <w:r>
            <w:rPr>
              <w:color w:val="auto"/>
            </w:rPr>
            <w:t>30</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_Toc27123 </w:instrText>
          </w:r>
          <w:r>
            <w:rPr>
              <w:color w:val="auto"/>
            </w:rPr>
            <w:fldChar w:fldCharType="separate"/>
          </w:r>
          <w:r>
            <w:rPr>
              <w:rFonts w:hint="eastAsia" w:ascii="宋体" w:hAnsi="宋体" w:eastAsia="宋体" w:cs="宋体"/>
              <w:color w:val="auto"/>
              <w:szCs w:val="32"/>
            </w:rPr>
            <w:t>四、资金保障风险防范和化解措施</w:t>
          </w:r>
          <w:r>
            <w:rPr>
              <w:color w:val="auto"/>
            </w:rPr>
            <w:tab/>
          </w:r>
          <w:r>
            <w:rPr>
              <w:color w:val="auto"/>
            </w:rPr>
            <w:fldChar w:fldCharType="begin"/>
          </w:r>
          <w:r>
            <w:rPr>
              <w:color w:val="auto"/>
            </w:rPr>
            <w:instrText xml:space="preserve"> PAGEREF _Toc27123 \h </w:instrText>
          </w:r>
          <w:r>
            <w:rPr>
              <w:color w:val="auto"/>
            </w:rPr>
            <w:fldChar w:fldCharType="separate"/>
          </w:r>
          <w:r>
            <w:rPr>
              <w:color w:val="auto"/>
            </w:rPr>
            <w:t>30</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_Toc9311 </w:instrText>
          </w:r>
          <w:r>
            <w:rPr>
              <w:color w:val="auto"/>
            </w:rPr>
            <w:fldChar w:fldCharType="separate"/>
          </w:r>
          <w:r>
            <w:rPr>
              <w:rFonts w:hint="eastAsia" w:ascii="宋体" w:hAnsi="宋体" w:eastAsia="宋体" w:cs="宋体"/>
              <w:color w:val="auto"/>
              <w:szCs w:val="32"/>
              <w:highlight w:val="none"/>
            </w:rPr>
            <w:t>五、宏观经济社会环境风险</w:t>
          </w:r>
          <w:r>
            <w:rPr>
              <w:color w:val="auto"/>
            </w:rPr>
            <w:tab/>
          </w:r>
          <w:r>
            <w:rPr>
              <w:color w:val="auto"/>
            </w:rPr>
            <w:fldChar w:fldCharType="begin"/>
          </w:r>
          <w:r>
            <w:rPr>
              <w:color w:val="auto"/>
            </w:rPr>
            <w:instrText xml:space="preserve"> PAGEREF _Toc9311 \h </w:instrText>
          </w:r>
          <w:r>
            <w:rPr>
              <w:color w:val="auto"/>
            </w:rPr>
            <w:fldChar w:fldCharType="separate"/>
          </w:r>
          <w:r>
            <w:rPr>
              <w:color w:val="auto"/>
            </w:rPr>
            <w:t>30</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_Toc5956 </w:instrText>
          </w:r>
          <w:r>
            <w:rPr>
              <w:color w:val="auto"/>
            </w:rPr>
            <w:fldChar w:fldCharType="separate"/>
          </w:r>
          <w:r>
            <w:rPr>
              <w:rFonts w:hint="eastAsia" w:ascii="宋体" w:hAnsi="宋体" w:eastAsia="宋体" w:cs="宋体"/>
              <w:color w:val="auto"/>
              <w:szCs w:val="32"/>
            </w:rPr>
            <w:t>六、生态环境影响风险防范和化解措施</w:t>
          </w:r>
          <w:r>
            <w:rPr>
              <w:color w:val="auto"/>
            </w:rPr>
            <w:tab/>
          </w:r>
          <w:r>
            <w:rPr>
              <w:color w:val="auto"/>
            </w:rPr>
            <w:fldChar w:fldCharType="begin"/>
          </w:r>
          <w:r>
            <w:rPr>
              <w:color w:val="auto"/>
            </w:rPr>
            <w:instrText xml:space="preserve"> PAGEREF _Toc5956 \h </w:instrText>
          </w:r>
          <w:r>
            <w:rPr>
              <w:color w:val="auto"/>
            </w:rPr>
            <w:fldChar w:fldCharType="separate"/>
          </w:r>
          <w:r>
            <w:rPr>
              <w:color w:val="auto"/>
            </w:rPr>
            <w:t>31</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_Toc4683 </w:instrText>
          </w:r>
          <w:r>
            <w:rPr>
              <w:color w:val="auto"/>
            </w:rPr>
            <w:fldChar w:fldCharType="separate"/>
          </w:r>
          <w:r>
            <w:rPr>
              <w:rFonts w:hint="eastAsia" w:ascii="宋体" w:hAnsi="宋体" w:eastAsia="宋体" w:cs="宋体"/>
              <w:color w:val="auto"/>
              <w:szCs w:val="32"/>
            </w:rPr>
            <w:t>七、媒体舆情风险防范和化解措施</w:t>
          </w:r>
          <w:r>
            <w:rPr>
              <w:color w:val="auto"/>
            </w:rPr>
            <w:tab/>
          </w:r>
          <w:r>
            <w:rPr>
              <w:color w:val="auto"/>
            </w:rPr>
            <w:fldChar w:fldCharType="begin"/>
          </w:r>
          <w:r>
            <w:rPr>
              <w:color w:val="auto"/>
            </w:rPr>
            <w:instrText xml:space="preserve"> PAGEREF _Toc4683 \h </w:instrText>
          </w:r>
          <w:r>
            <w:rPr>
              <w:color w:val="auto"/>
            </w:rPr>
            <w:fldChar w:fldCharType="separate"/>
          </w:r>
          <w:r>
            <w:rPr>
              <w:color w:val="auto"/>
            </w:rPr>
            <w:t>34</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_Toc14213 </w:instrText>
          </w:r>
          <w:r>
            <w:rPr>
              <w:color w:val="auto"/>
            </w:rPr>
            <w:fldChar w:fldCharType="separate"/>
          </w:r>
          <w:r>
            <w:rPr>
              <w:rFonts w:hint="eastAsia" w:ascii="宋体" w:hAnsi="宋体" w:eastAsia="宋体" w:cs="宋体"/>
              <w:color w:val="auto"/>
              <w:szCs w:val="32"/>
            </w:rPr>
            <w:t>(五)后期风险防范和化解措施的工作</w:t>
          </w:r>
          <w:r>
            <w:rPr>
              <w:color w:val="auto"/>
            </w:rPr>
            <w:tab/>
          </w:r>
          <w:r>
            <w:rPr>
              <w:color w:val="auto"/>
            </w:rPr>
            <w:fldChar w:fldCharType="begin"/>
          </w:r>
          <w:r>
            <w:rPr>
              <w:color w:val="auto"/>
            </w:rPr>
            <w:instrText xml:space="preserve"> PAGEREF _Toc14213 \h </w:instrText>
          </w:r>
          <w:r>
            <w:rPr>
              <w:color w:val="auto"/>
            </w:rPr>
            <w:fldChar w:fldCharType="separate"/>
          </w:r>
          <w:r>
            <w:rPr>
              <w:color w:val="auto"/>
            </w:rPr>
            <w:t>35</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_Toc4249 </w:instrText>
          </w:r>
          <w:r>
            <w:rPr>
              <w:color w:val="auto"/>
            </w:rPr>
            <w:fldChar w:fldCharType="separate"/>
          </w:r>
          <w:r>
            <w:rPr>
              <w:rFonts w:hint="eastAsia"/>
              <w:bCs w:val="0"/>
              <w:color w:val="auto"/>
              <w:szCs w:val="30"/>
            </w:rPr>
            <w:t>1、重视社会稳定风险防范化解措施</w:t>
          </w:r>
          <w:r>
            <w:rPr>
              <w:color w:val="auto"/>
            </w:rPr>
            <w:tab/>
          </w:r>
          <w:r>
            <w:rPr>
              <w:color w:val="auto"/>
            </w:rPr>
            <w:fldChar w:fldCharType="begin"/>
          </w:r>
          <w:r>
            <w:rPr>
              <w:color w:val="auto"/>
            </w:rPr>
            <w:instrText xml:space="preserve"> PAGEREF _Toc4249 \h </w:instrText>
          </w:r>
          <w:r>
            <w:rPr>
              <w:color w:val="auto"/>
            </w:rPr>
            <w:fldChar w:fldCharType="separate"/>
          </w:r>
          <w:r>
            <w:rPr>
              <w:color w:val="auto"/>
            </w:rPr>
            <w:t>35</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_Toc18436 </w:instrText>
          </w:r>
          <w:r>
            <w:rPr>
              <w:color w:val="auto"/>
            </w:rPr>
            <w:fldChar w:fldCharType="separate"/>
          </w:r>
          <w:r>
            <w:rPr>
              <w:rFonts w:hint="eastAsia"/>
              <w:bCs w:val="0"/>
              <w:color w:val="auto"/>
              <w:szCs w:val="30"/>
            </w:rPr>
            <w:t>2、建立维稳联动机制，制定相关应急预案</w:t>
          </w:r>
          <w:r>
            <w:rPr>
              <w:color w:val="auto"/>
            </w:rPr>
            <w:tab/>
          </w:r>
          <w:r>
            <w:rPr>
              <w:color w:val="auto"/>
            </w:rPr>
            <w:fldChar w:fldCharType="begin"/>
          </w:r>
          <w:r>
            <w:rPr>
              <w:color w:val="auto"/>
            </w:rPr>
            <w:instrText xml:space="preserve"> PAGEREF _Toc18436 \h </w:instrText>
          </w:r>
          <w:r>
            <w:rPr>
              <w:color w:val="auto"/>
            </w:rPr>
            <w:fldChar w:fldCharType="separate"/>
          </w:r>
          <w:r>
            <w:rPr>
              <w:color w:val="auto"/>
            </w:rPr>
            <w:t>36</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_Toc17146 </w:instrText>
          </w:r>
          <w:r>
            <w:rPr>
              <w:color w:val="auto"/>
            </w:rPr>
            <w:fldChar w:fldCharType="separate"/>
          </w:r>
          <w:r>
            <w:rPr>
              <w:rFonts w:hint="eastAsia"/>
              <w:bCs w:val="0"/>
              <w:color w:val="auto"/>
              <w:szCs w:val="30"/>
            </w:rPr>
            <w:t>3、落实措施后的风险等级确定</w:t>
          </w:r>
          <w:r>
            <w:rPr>
              <w:color w:val="auto"/>
            </w:rPr>
            <w:tab/>
          </w:r>
          <w:r>
            <w:rPr>
              <w:color w:val="auto"/>
            </w:rPr>
            <w:fldChar w:fldCharType="begin"/>
          </w:r>
          <w:r>
            <w:rPr>
              <w:color w:val="auto"/>
            </w:rPr>
            <w:instrText xml:space="preserve"> PAGEREF _Toc17146 \h </w:instrText>
          </w:r>
          <w:r>
            <w:rPr>
              <w:color w:val="auto"/>
            </w:rPr>
            <w:fldChar w:fldCharType="separate"/>
          </w:r>
          <w:r>
            <w:rPr>
              <w:color w:val="auto"/>
            </w:rPr>
            <w:t>37</w:t>
          </w:r>
          <w:r>
            <w:rPr>
              <w:color w:val="auto"/>
            </w:rPr>
            <w:fldChar w:fldCharType="end"/>
          </w:r>
          <w:r>
            <w:rPr>
              <w:color w:val="auto"/>
            </w:rPr>
            <w:fldChar w:fldCharType="end"/>
          </w:r>
        </w:p>
        <w:p>
          <w:pPr>
            <w:pStyle w:val="12"/>
            <w:tabs>
              <w:tab w:val="right" w:leader="middleDot" w:pos="8299"/>
            </w:tabs>
            <w:rPr>
              <w:color w:val="auto"/>
            </w:rPr>
          </w:pPr>
          <w:r>
            <w:rPr>
              <w:color w:val="auto"/>
            </w:rPr>
            <w:fldChar w:fldCharType="begin"/>
          </w:r>
          <w:r>
            <w:rPr>
              <w:color w:val="auto"/>
            </w:rPr>
            <w:instrText xml:space="preserve"> HYPERLINK \l _Toc29413 </w:instrText>
          </w:r>
          <w:r>
            <w:rPr>
              <w:color w:val="auto"/>
            </w:rPr>
            <w:fldChar w:fldCharType="separate"/>
          </w:r>
          <w:r>
            <w:rPr>
              <w:rFonts w:hint="eastAsia" w:ascii="宋体" w:hAnsi="宋体" w:eastAsia="宋体" w:cs="宋体"/>
              <w:color w:val="auto"/>
              <w:szCs w:val="36"/>
            </w:rPr>
            <w:t>三、评估结论</w:t>
          </w:r>
          <w:r>
            <w:rPr>
              <w:color w:val="auto"/>
            </w:rPr>
            <w:tab/>
          </w:r>
          <w:r>
            <w:rPr>
              <w:color w:val="auto"/>
            </w:rPr>
            <w:fldChar w:fldCharType="begin"/>
          </w:r>
          <w:r>
            <w:rPr>
              <w:color w:val="auto"/>
            </w:rPr>
            <w:instrText xml:space="preserve"> PAGEREF _Toc29413 \h </w:instrText>
          </w:r>
          <w:r>
            <w:rPr>
              <w:color w:val="auto"/>
            </w:rPr>
            <w:fldChar w:fldCharType="separate"/>
          </w:r>
          <w:r>
            <w:rPr>
              <w:color w:val="auto"/>
            </w:rPr>
            <w:t>39</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_Toc13166 </w:instrText>
          </w:r>
          <w:r>
            <w:rPr>
              <w:color w:val="auto"/>
            </w:rPr>
            <w:fldChar w:fldCharType="separate"/>
          </w:r>
          <w:r>
            <w:rPr>
              <w:rFonts w:hint="eastAsia" w:ascii="宋体" w:hAnsi="宋体" w:eastAsia="宋体" w:cs="宋体"/>
              <w:color w:val="auto"/>
              <w:szCs w:val="32"/>
            </w:rPr>
            <w:t>（一）主要风险因素</w:t>
          </w:r>
          <w:r>
            <w:rPr>
              <w:color w:val="auto"/>
            </w:rPr>
            <w:tab/>
          </w:r>
          <w:r>
            <w:rPr>
              <w:color w:val="auto"/>
            </w:rPr>
            <w:fldChar w:fldCharType="begin"/>
          </w:r>
          <w:r>
            <w:rPr>
              <w:color w:val="auto"/>
            </w:rPr>
            <w:instrText xml:space="preserve"> PAGEREF _Toc13166 \h </w:instrText>
          </w:r>
          <w:r>
            <w:rPr>
              <w:color w:val="auto"/>
            </w:rPr>
            <w:fldChar w:fldCharType="separate"/>
          </w:r>
          <w:r>
            <w:rPr>
              <w:color w:val="auto"/>
            </w:rPr>
            <w:t>39</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_Toc10471 </w:instrText>
          </w:r>
          <w:r>
            <w:rPr>
              <w:color w:val="auto"/>
            </w:rPr>
            <w:fldChar w:fldCharType="separate"/>
          </w:r>
          <w:r>
            <w:rPr>
              <w:rFonts w:hint="eastAsia" w:ascii="宋体" w:hAnsi="宋体" w:eastAsia="宋体" w:cs="宋体"/>
              <w:color w:val="auto"/>
              <w:szCs w:val="32"/>
            </w:rPr>
            <w:t>（二）针对该项目的评估结论</w:t>
          </w:r>
          <w:r>
            <w:rPr>
              <w:color w:val="auto"/>
            </w:rPr>
            <w:tab/>
          </w:r>
          <w:r>
            <w:rPr>
              <w:color w:val="auto"/>
            </w:rPr>
            <w:fldChar w:fldCharType="begin"/>
          </w:r>
          <w:r>
            <w:rPr>
              <w:color w:val="auto"/>
            </w:rPr>
            <w:instrText xml:space="preserve"> PAGEREF _Toc10471 \h </w:instrText>
          </w:r>
          <w:r>
            <w:rPr>
              <w:color w:val="auto"/>
            </w:rPr>
            <w:fldChar w:fldCharType="separate"/>
          </w:r>
          <w:r>
            <w:rPr>
              <w:color w:val="auto"/>
            </w:rPr>
            <w:t>39</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_Toc27504 </w:instrText>
          </w:r>
          <w:r>
            <w:rPr>
              <w:color w:val="auto"/>
            </w:rPr>
            <w:fldChar w:fldCharType="separate"/>
          </w:r>
          <w:r>
            <w:rPr>
              <w:rFonts w:hint="eastAsia" w:ascii="仿宋" w:hAnsi="仿宋" w:eastAsia="仿宋" w:cs="仿宋"/>
              <w:bCs w:val="0"/>
              <w:color w:val="auto"/>
              <w:szCs w:val="30"/>
            </w:rPr>
            <w:t>1、</w:t>
          </w:r>
          <w:r>
            <w:rPr>
              <w:rFonts w:hint="eastAsia"/>
              <w:bCs w:val="0"/>
              <w:color w:val="auto"/>
              <w:szCs w:val="30"/>
            </w:rPr>
            <w:t>合法性评估结论</w:t>
          </w:r>
          <w:r>
            <w:rPr>
              <w:color w:val="auto"/>
            </w:rPr>
            <w:tab/>
          </w:r>
          <w:r>
            <w:rPr>
              <w:color w:val="auto"/>
            </w:rPr>
            <w:fldChar w:fldCharType="begin"/>
          </w:r>
          <w:r>
            <w:rPr>
              <w:color w:val="auto"/>
            </w:rPr>
            <w:instrText xml:space="preserve"> PAGEREF _Toc27504 \h </w:instrText>
          </w:r>
          <w:r>
            <w:rPr>
              <w:color w:val="auto"/>
            </w:rPr>
            <w:fldChar w:fldCharType="separate"/>
          </w:r>
          <w:r>
            <w:rPr>
              <w:color w:val="auto"/>
            </w:rPr>
            <w:t>39</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_Toc31404 </w:instrText>
          </w:r>
          <w:r>
            <w:rPr>
              <w:color w:val="auto"/>
            </w:rPr>
            <w:fldChar w:fldCharType="separate"/>
          </w:r>
          <w:r>
            <w:rPr>
              <w:rFonts w:hint="eastAsia" w:ascii="仿宋" w:hAnsi="仿宋" w:eastAsia="仿宋" w:cs="仿宋"/>
              <w:color w:val="auto"/>
              <w:szCs w:val="30"/>
            </w:rPr>
            <w:t>2、</w:t>
          </w:r>
          <w:r>
            <w:rPr>
              <w:rFonts w:hint="eastAsia"/>
              <w:color w:val="auto"/>
              <w:szCs w:val="30"/>
            </w:rPr>
            <w:t>可行性评估结论</w:t>
          </w:r>
          <w:r>
            <w:rPr>
              <w:color w:val="auto"/>
            </w:rPr>
            <w:tab/>
          </w:r>
          <w:r>
            <w:rPr>
              <w:color w:val="auto"/>
            </w:rPr>
            <w:fldChar w:fldCharType="begin"/>
          </w:r>
          <w:r>
            <w:rPr>
              <w:color w:val="auto"/>
            </w:rPr>
            <w:instrText xml:space="preserve"> PAGEREF _Toc31404 \h </w:instrText>
          </w:r>
          <w:r>
            <w:rPr>
              <w:color w:val="auto"/>
            </w:rPr>
            <w:fldChar w:fldCharType="separate"/>
          </w:r>
          <w:r>
            <w:rPr>
              <w:color w:val="auto"/>
            </w:rPr>
            <w:t>40</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_Toc24296 </w:instrText>
          </w:r>
          <w:r>
            <w:rPr>
              <w:color w:val="auto"/>
            </w:rPr>
            <w:fldChar w:fldCharType="separate"/>
          </w:r>
          <w:r>
            <w:rPr>
              <w:rFonts w:hint="eastAsia"/>
              <w:bCs w:val="0"/>
              <w:color w:val="auto"/>
              <w:szCs w:val="30"/>
            </w:rPr>
            <w:t>3、可控性评估结论</w:t>
          </w:r>
          <w:r>
            <w:rPr>
              <w:color w:val="auto"/>
            </w:rPr>
            <w:tab/>
          </w:r>
          <w:r>
            <w:rPr>
              <w:color w:val="auto"/>
            </w:rPr>
            <w:fldChar w:fldCharType="begin"/>
          </w:r>
          <w:r>
            <w:rPr>
              <w:color w:val="auto"/>
            </w:rPr>
            <w:instrText xml:space="preserve"> PAGEREF _Toc24296 \h </w:instrText>
          </w:r>
          <w:r>
            <w:rPr>
              <w:color w:val="auto"/>
            </w:rPr>
            <w:fldChar w:fldCharType="separate"/>
          </w:r>
          <w:r>
            <w:rPr>
              <w:color w:val="auto"/>
            </w:rPr>
            <w:t>41</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_Toc23711 </w:instrText>
          </w:r>
          <w:r>
            <w:rPr>
              <w:color w:val="auto"/>
            </w:rPr>
            <w:fldChar w:fldCharType="separate"/>
          </w:r>
          <w:r>
            <w:rPr>
              <w:rFonts w:hint="eastAsia" w:ascii="宋体" w:hAnsi="宋体" w:eastAsia="宋体" w:cs="宋体"/>
              <w:color w:val="auto"/>
              <w:szCs w:val="32"/>
            </w:rPr>
            <w:t>（三）该项目的风险等级</w:t>
          </w:r>
          <w:r>
            <w:rPr>
              <w:color w:val="auto"/>
            </w:rPr>
            <w:tab/>
          </w:r>
          <w:r>
            <w:rPr>
              <w:color w:val="auto"/>
            </w:rPr>
            <w:fldChar w:fldCharType="begin"/>
          </w:r>
          <w:r>
            <w:rPr>
              <w:color w:val="auto"/>
            </w:rPr>
            <w:instrText xml:space="preserve"> PAGEREF _Toc23711 \h </w:instrText>
          </w:r>
          <w:r>
            <w:rPr>
              <w:color w:val="auto"/>
            </w:rPr>
            <w:fldChar w:fldCharType="separate"/>
          </w:r>
          <w:r>
            <w:rPr>
              <w:color w:val="auto"/>
            </w:rPr>
            <w:t>42</w:t>
          </w:r>
          <w:r>
            <w:rPr>
              <w:color w:val="auto"/>
            </w:rPr>
            <w:fldChar w:fldCharType="end"/>
          </w:r>
          <w:r>
            <w:rPr>
              <w:color w:val="auto"/>
            </w:rPr>
            <w:fldChar w:fldCharType="end"/>
          </w:r>
        </w:p>
        <w:p>
          <w:pPr>
            <w:pStyle w:val="13"/>
            <w:tabs>
              <w:tab w:val="right" w:leader="middleDot" w:pos="8299"/>
            </w:tabs>
            <w:rPr>
              <w:color w:val="auto"/>
            </w:rPr>
          </w:pPr>
          <w:r>
            <w:rPr>
              <w:color w:val="auto"/>
            </w:rPr>
            <w:fldChar w:fldCharType="begin"/>
          </w:r>
          <w:r>
            <w:rPr>
              <w:color w:val="auto"/>
            </w:rPr>
            <w:instrText xml:space="preserve"> HYPERLINK \l _Toc29225 </w:instrText>
          </w:r>
          <w:r>
            <w:rPr>
              <w:color w:val="auto"/>
            </w:rPr>
            <w:fldChar w:fldCharType="separate"/>
          </w:r>
          <w:r>
            <w:rPr>
              <w:rFonts w:hint="eastAsia" w:ascii="宋体" w:hAnsi="宋体" w:eastAsia="宋体" w:cs="宋体"/>
              <w:color w:val="auto"/>
              <w:szCs w:val="32"/>
            </w:rPr>
            <w:t>（四）落实风险防范、化解措施的有关建议</w:t>
          </w:r>
          <w:r>
            <w:rPr>
              <w:color w:val="auto"/>
            </w:rPr>
            <w:tab/>
          </w:r>
          <w:r>
            <w:rPr>
              <w:color w:val="auto"/>
            </w:rPr>
            <w:fldChar w:fldCharType="begin"/>
          </w:r>
          <w:r>
            <w:rPr>
              <w:color w:val="auto"/>
            </w:rPr>
            <w:instrText xml:space="preserve"> PAGEREF _Toc29225 \h </w:instrText>
          </w:r>
          <w:r>
            <w:rPr>
              <w:color w:val="auto"/>
            </w:rPr>
            <w:fldChar w:fldCharType="separate"/>
          </w:r>
          <w:r>
            <w:rPr>
              <w:color w:val="auto"/>
            </w:rPr>
            <w:t>42</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_Toc7085 </w:instrText>
          </w:r>
          <w:r>
            <w:rPr>
              <w:color w:val="auto"/>
            </w:rPr>
            <w:fldChar w:fldCharType="separate"/>
          </w:r>
          <w:r>
            <w:rPr>
              <w:rFonts w:hint="eastAsia"/>
              <w:bCs w:val="0"/>
              <w:color w:val="auto"/>
              <w:szCs w:val="30"/>
            </w:rPr>
            <w:t>1</w:t>
          </w:r>
          <w:r>
            <w:rPr>
              <w:bCs w:val="0"/>
              <w:color w:val="auto"/>
              <w:szCs w:val="30"/>
            </w:rPr>
            <w:t>、</w:t>
          </w:r>
          <w:r>
            <w:rPr>
              <w:rFonts w:hint="eastAsia"/>
              <w:bCs w:val="0"/>
              <w:color w:val="auto"/>
              <w:szCs w:val="30"/>
            </w:rPr>
            <w:t>高度重视项目实施过程中可能引发的社会稳定风险</w:t>
          </w:r>
          <w:r>
            <w:rPr>
              <w:color w:val="auto"/>
            </w:rPr>
            <w:tab/>
          </w:r>
          <w:r>
            <w:rPr>
              <w:color w:val="auto"/>
            </w:rPr>
            <w:fldChar w:fldCharType="begin"/>
          </w:r>
          <w:r>
            <w:rPr>
              <w:color w:val="auto"/>
            </w:rPr>
            <w:instrText xml:space="preserve"> PAGEREF _Toc7085 \h </w:instrText>
          </w:r>
          <w:r>
            <w:rPr>
              <w:color w:val="auto"/>
            </w:rPr>
            <w:fldChar w:fldCharType="separate"/>
          </w:r>
          <w:r>
            <w:rPr>
              <w:color w:val="auto"/>
            </w:rPr>
            <w:t>42</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_Toc24110 </w:instrText>
          </w:r>
          <w:r>
            <w:rPr>
              <w:color w:val="auto"/>
            </w:rPr>
            <w:fldChar w:fldCharType="separate"/>
          </w:r>
          <w:r>
            <w:rPr>
              <w:rFonts w:hint="eastAsia"/>
              <w:bCs w:val="0"/>
              <w:color w:val="auto"/>
              <w:szCs w:val="30"/>
            </w:rPr>
            <w:t>2</w:t>
          </w:r>
          <w:r>
            <w:rPr>
              <w:bCs w:val="0"/>
              <w:color w:val="auto"/>
              <w:szCs w:val="30"/>
            </w:rPr>
            <w:t>、</w:t>
          </w:r>
          <w:r>
            <w:rPr>
              <w:rFonts w:hint="eastAsia"/>
              <w:bCs w:val="0"/>
              <w:color w:val="auto"/>
              <w:szCs w:val="30"/>
            </w:rPr>
            <w:t>加强宣传，营造良好的社会舆论氛围</w:t>
          </w:r>
          <w:r>
            <w:rPr>
              <w:color w:val="auto"/>
            </w:rPr>
            <w:tab/>
          </w:r>
          <w:r>
            <w:rPr>
              <w:color w:val="auto"/>
            </w:rPr>
            <w:fldChar w:fldCharType="begin"/>
          </w:r>
          <w:r>
            <w:rPr>
              <w:color w:val="auto"/>
            </w:rPr>
            <w:instrText xml:space="preserve"> PAGEREF _Toc24110 \h </w:instrText>
          </w:r>
          <w:r>
            <w:rPr>
              <w:color w:val="auto"/>
            </w:rPr>
            <w:fldChar w:fldCharType="separate"/>
          </w:r>
          <w:r>
            <w:rPr>
              <w:color w:val="auto"/>
            </w:rPr>
            <w:t>43</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_Toc8495 </w:instrText>
          </w:r>
          <w:r>
            <w:rPr>
              <w:color w:val="auto"/>
            </w:rPr>
            <w:fldChar w:fldCharType="separate"/>
          </w:r>
          <w:r>
            <w:rPr>
              <w:rFonts w:hint="eastAsia"/>
              <w:bCs w:val="0"/>
              <w:color w:val="auto"/>
              <w:szCs w:val="30"/>
            </w:rPr>
            <w:t>3</w:t>
          </w:r>
          <w:r>
            <w:rPr>
              <w:bCs w:val="0"/>
              <w:color w:val="auto"/>
              <w:szCs w:val="30"/>
            </w:rPr>
            <w:t>、</w:t>
          </w:r>
          <w:r>
            <w:rPr>
              <w:rFonts w:hint="eastAsia"/>
              <w:bCs w:val="0"/>
              <w:color w:val="auto"/>
              <w:szCs w:val="30"/>
            </w:rPr>
            <w:t>加强管理，切实控制风险事件的发生</w:t>
          </w:r>
          <w:r>
            <w:rPr>
              <w:color w:val="auto"/>
            </w:rPr>
            <w:tab/>
          </w:r>
          <w:r>
            <w:rPr>
              <w:color w:val="auto"/>
            </w:rPr>
            <w:fldChar w:fldCharType="begin"/>
          </w:r>
          <w:r>
            <w:rPr>
              <w:color w:val="auto"/>
            </w:rPr>
            <w:instrText xml:space="preserve"> PAGEREF _Toc8495 \h </w:instrText>
          </w:r>
          <w:r>
            <w:rPr>
              <w:color w:val="auto"/>
            </w:rPr>
            <w:fldChar w:fldCharType="separate"/>
          </w:r>
          <w:r>
            <w:rPr>
              <w:color w:val="auto"/>
            </w:rPr>
            <w:t>43</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_Toc8588 </w:instrText>
          </w:r>
          <w:r>
            <w:rPr>
              <w:color w:val="auto"/>
            </w:rPr>
            <w:fldChar w:fldCharType="separate"/>
          </w:r>
          <w:r>
            <w:rPr>
              <w:rFonts w:hint="eastAsia"/>
              <w:bCs w:val="0"/>
              <w:color w:val="auto"/>
              <w:szCs w:val="30"/>
            </w:rPr>
            <w:t>4</w:t>
          </w:r>
          <w:r>
            <w:rPr>
              <w:bCs w:val="0"/>
              <w:color w:val="auto"/>
              <w:szCs w:val="30"/>
            </w:rPr>
            <w:t>、</w:t>
          </w:r>
          <w:r>
            <w:rPr>
              <w:rFonts w:hint="eastAsia"/>
              <w:bCs w:val="0"/>
              <w:color w:val="auto"/>
              <w:szCs w:val="30"/>
            </w:rPr>
            <w:t>建立风险预警制度、编制应急预案，控制风险事件</w:t>
          </w:r>
          <w:r>
            <w:rPr>
              <w:color w:val="auto"/>
            </w:rPr>
            <w:tab/>
          </w:r>
          <w:r>
            <w:rPr>
              <w:color w:val="auto"/>
            </w:rPr>
            <w:fldChar w:fldCharType="begin"/>
          </w:r>
          <w:r>
            <w:rPr>
              <w:color w:val="auto"/>
            </w:rPr>
            <w:instrText xml:space="preserve"> PAGEREF _Toc8588 \h </w:instrText>
          </w:r>
          <w:r>
            <w:rPr>
              <w:color w:val="auto"/>
            </w:rPr>
            <w:fldChar w:fldCharType="separate"/>
          </w:r>
          <w:r>
            <w:rPr>
              <w:color w:val="auto"/>
            </w:rPr>
            <w:t>43</w:t>
          </w:r>
          <w:r>
            <w:rPr>
              <w:color w:val="auto"/>
            </w:rPr>
            <w:fldChar w:fldCharType="end"/>
          </w:r>
          <w:r>
            <w:rPr>
              <w:color w:val="auto"/>
            </w:rPr>
            <w:fldChar w:fldCharType="end"/>
          </w:r>
        </w:p>
        <w:p>
          <w:pPr>
            <w:pStyle w:val="9"/>
            <w:tabs>
              <w:tab w:val="right" w:leader="middleDot" w:pos="8299"/>
            </w:tabs>
            <w:rPr>
              <w:color w:val="auto"/>
            </w:rPr>
          </w:pPr>
          <w:r>
            <w:rPr>
              <w:color w:val="auto"/>
            </w:rPr>
            <w:fldChar w:fldCharType="begin"/>
          </w:r>
          <w:r>
            <w:rPr>
              <w:color w:val="auto"/>
            </w:rPr>
            <w:instrText xml:space="preserve"> HYPERLINK \l _Toc18823 </w:instrText>
          </w:r>
          <w:r>
            <w:rPr>
              <w:color w:val="auto"/>
            </w:rPr>
            <w:fldChar w:fldCharType="separate"/>
          </w:r>
          <w:r>
            <w:rPr>
              <w:rFonts w:hint="eastAsia"/>
              <w:bCs w:val="0"/>
              <w:color w:val="auto"/>
              <w:szCs w:val="30"/>
            </w:rPr>
            <w:t>5</w:t>
          </w:r>
          <w:r>
            <w:rPr>
              <w:bCs w:val="0"/>
              <w:color w:val="auto"/>
              <w:szCs w:val="30"/>
            </w:rPr>
            <w:t>、</w:t>
          </w:r>
          <w:r>
            <w:rPr>
              <w:rFonts w:hint="eastAsia"/>
              <w:bCs w:val="0"/>
              <w:color w:val="auto"/>
              <w:spacing w:val="-6"/>
              <w:szCs w:val="30"/>
            </w:rPr>
            <w:t>增加当地居民就业机会，促进土地征收与社会的融合</w:t>
          </w:r>
          <w:r>
            <w:rPr>
              <w:color w:val="auto"/>
            </w:rPr>
            <w:tab/>
          </w:r>
          <w:r>
            <w:rPr>
              <w:color w:val="auto"/>
            </w:rPr>
            <w:fldChar w:fldCharType="begin"/>
          </w:r>
          <w:r>
            <w:rPr>
              <w:color w:val="auto"/>
            </w:rPr>
            <w:instrText xml:space="preserve"> PAGEREF _Toc18823 \h </w:instrText>
          </w:r>
          <w:r>
            <w:rPr>
              <w:color w:val="auto"/>
            </w:rPr>
            <w:fldChar w:fldCharType="separate"/>
          </w:r>
          <w:r>
            <w:rPr>
              <w:color w:val="auto"/>
            </w:rPr>
            <w:t>43</w:t>
          </w:r>
          <w:r>
            <w:rPr>
              <w:color w:val="auto"/>
            </w:rPr>
            <w:fldChar w:fldCharType="end"/>
          </w:r>
          <w:r>
            <w:rPr>
              <w:color w:val="auto"/>
            </w:rPr>
            <w:fldChar w:fldCharType="end"/>
          </w:r>
        </w:p>
        <w:p>
          <w:pPr>
            <w:pStyle w:val="12"/>
            <w:tabs>
              <w:tab w:val="right" w:leader="middleDot" w:pos="8299"/>
            </w:tabs>
            <w:rPr>
              <w:color w:val="auto"/>
            </w:rPr>
          </w:pPr>
        </w:p>
        <w:p>
          <w:pPr>
            <w:pStyle w:val="12"/>
            <w:tabs>
              <w:tab w:val="right" w:leader="middleDot" w:pos="8299"/>
            </w:tabs>
            <w:rPr>
              <w:color w:val="auto"/>
            </w:rPr>
          </w:pPr>
          <w:r>
            <w:rPr>
              <w:color w:val="auto"/>
            </w:rPr>
            <w:fldChar w:fldCharType="begin"/>
          </w:r>
          <w:r>
            <w:rPr>
              <w:color w:val="auto"/>
            </w:rPr>
            <w:instrText xml:space="preserve"> HYPERLINK \l _Toc24482 </w:instrText>
          </w:r>
          <w:r>
            <w:rPr>
              <w:color w:val="auto"/>
            </w:rPr>
            <w:fldChar w:fldCharType="separate"/>
          </w:r>
          <w:r>
            <w:rPr>
              <w:rFonts w:hint="eastAsia" w:ascii="仿宋" w:hAnsi="仿宋" w:eastAsia="仿宋" w:cs="仿宋"/>
              <w:color w:val="auto"/>
              <w:szCs w:val="28"/>
            </w:rPr>
            <w:t>附件 3：社会稳定风险评审会专家评审意见</w:t>
          </w:r>
          <w:r>
            <w:rPr>
              <w:color w:val="auto"/>
            </w:rPr>
            <w:fldChar w:fldCharType="end"/>
          </w:r>
        </w:p>
        <w:p>
          <w:pPr>
            <w:pStyle w:val="12"/>
            <w:tabs>
              <w:tab w:val="right" w:leader="middleDot" w:pos="8299"/>
            </w:tabs>
            <w:rPr>
              <w:color w:val="auto"/>
            </w:rPr>
          </w:pPr>
          <w:r>
            <w:rPr>
              <w:color w:val="auto"/>
            </w:rPr>
            <w:fldChar w:fldCharType="begin"/>
          </w:r>
          <w:r>
            <w:rPr>
              <w:color w:val="auto"/>
            </w:rPr>
            <w:instrText xml:space="preserve"> HYPERLINK \l _Toc27061 </w:instrText>
          </w:r>
          <w:r>
            <w:rPr>
              <w:color w:val="auto"/>
            </w:rPr>
            <w:fldChar w:fldCharType="separate"/>
          </w:r>
          <w:r>
            <w:rPr>
              <w:rFonts w:hint="eastAsia" w:ascii="仿宋" w:hAnsi="仿宋" w:eastAsia="仿宋" w:cs="仿宋"/>
              <w:color w:val="auto"/>
              <w:szCs w:val="28"/>
            </w:rPr>
            <w:t>附件 4： 社会稳定风险评估单位营业执照</w:t>
          </w:r>
          <w:r>
            <w:rPr>
              <w:color w:val="auto"/>
            </w:rPr>
            <w:tab/>
          </w:r>
          <w:r>
            <w:rPr>
              <w:color w:val="auto"/>
            </w:rPr>
            <w:fldChar w:fldCharType="begin"/>
          </w:r>
          <w:r>
            <w:rPr>
              <w:color w:val="auto"/>
            </w:rPr>
            <w:instrText xml:space="preserve"> PAGEREF _Toc27061 \h </w:instrText>
          </w:r>
          <w:r>
            <w:rPr>
              <w:color w:val="auto"/>
            </w:rPr>
            <w:fldChar w:fldCharType="separate"/>
          </w:r>
          <w:r>
            <w:rPr>
              <w:color w:val="auto"/>
            </w:rPr>
            <w:t>51</w:t>
          </w:r>
          <w:r>
            <w:rPr>
              <w:color w:val="auto"/>
            </w:rPr>
            <w:fldChar w:fldCharType="end"/>
          </w:r>
          <w:r>
            <w:rPr>
              <w:color w:val="auto"/>
            </w:rPr>
            <w:fldChar w:fldCharType="end"/>
          </w:r>
        </w:p>
        <w:p>
          <w:pPr>
            <w:pStyle w:val="12"/>
            <w:tabs>
              <w:tab w:val="right" w:leader="middleDot" w:pos="8299"/>
            </w:tabs>
            <w:rPr>
              <w:color w:val="auto"/>
            </w:rPr>
          </w:pPr>
          <w:r>
            <w:rPr>
              <w:color w:val="auto"/>
            </w:rPr>
            <w:fldChar w:fldCharType="begin"/>
          </w:r>
          <w:r>
            <w:rPr>
              <w:color w:val="auto"/>
            </w:rPr>
            <w:instrText xml:space="preserve"> HYPERLINK \l _Toc28979 </w:instrText>
          </w:r>
          <w:r>
            <w:rPr>
              <w:color w:val="auto"/>
            </w:rPr>
            <w:fldChar w:fldCharType="separate"/>
          </w:r>
          <w:r>
            <w:rPr>
              <w:rFonts w:hint="eastAsia" w:ascii="仿宋" w:hAnsi="仿宋" w:eastAsia="仿宋" w:cs="仿宋"/>
              <w:color w:val="auto"/>
              <w:szCs w:val="28"/>
            </w:rPr>
            <w:t>附件 5： 社会稳定风险评估单位资质证书</w:t>
          </w:r>
          <w:r>
            <w:rPr>
              <w:color w:val="auto"/>
            </w:rPr>
            <w:tab/>
          </w:r>
          <w:r>
            <w:rPr>
              <w:color w:val="auto"/>
            </w:rPr>
            <w:fldChar w:fldCharType="begin"/>
          </w:r>
          <w:r>
            <w:rPr>
              <w:color w:val="auto"/>
            </w:rPr>
            <w:instrText xml:space="preserve"> PAGEREF _Toc28979 \h </w:instrText>
          </w:r>
          <w:r>
            <w:rPr>
              <w:color w:val="auto"/>
            </w:rPr>
            <w:fldChar w:fldCharType="separate"/>
          </w:r>
          <w:r>
            <w:rPr>
              <w:color w:val="auto"/>
            </w:rPr>
            <w:t>52</w:t>
          </w:r>
          <w:r>
            <w:rPr>
              <w:color w:val="auto"/>
            </w:rPr>
            <w:fldChar w:fldCharType="end"/>
          </w:r>
          <w:r>
            <w:rPr>
              <w:color w:val="auto"/>
            </w:rPr>
            <w:fldChar w:fldCharType="end"/>
          </w:r>
        </w:p>
        <w:p>
          <w:pPr>
            <w:spacing w:line="360" w:lineRule="auto"/>
            <w:rPr>
              <w:rFonts w:ascii="宋体" w:hAnsi="宋体" w:eastAsia="宋体" w:cs="宋体"/>
              <w:color w:val="auto"/>
              <w:sz w:val="36"/>
              <w:szCs w:val="36"/>
            </w:rPr>
            <w:sectPr>
              <w:pgSz w:w="11905" w:h="16838"/>
              <w:pgMar w:top="1440" w:right="1803" w:bottom="1440" w:left="1803" w:header="595" w:footer="703" w:gutter="0"/>
              <w:cols w:space="0" w:num="1"/>
            </w:sectPr>
          </w:pPr>
          <w:r>
            <w:rPr>
              <w:color w:val="auto"/>
            </w:rPr>
            <w:fldChar w:fldCharType="end"/>
          </w:r>
        </w:p>
      </w:sdtContent>
    </w:sdt>
    <w:p>
      <w:pPr>
        <w:pStyle w:val="3"/>
        <w:spacing w:line="560" w:lineRule="exact"/>
        <w:jc w:val="center"/>
        <w:rPr>
          <w:rFonts w:ascii="宋体" w:hAnsi="宋体" w:eastAsia="宋体" w:cs="宋体"/>
          <w:color w:val="auto"/>
          <w:sz w:val="36"/>
          <w:szCs w:val="36"/>
        </w:rPr>
      </w:pPr>
      <w:bookmarkStart w:id="6" w:name="_Toc30451"/>
      <w:r>
        <w:rPr>
          <w:rFonts w:hint="eastAsia" w:ascii="宋体" w:hAnsi="宋体" w:eastAsia="宋体" w:cs="宋体"/>
          <w:color w:val="auto"/>
          <w:sz w:val="36"/>
          <w:szCs w:val="36"/>
        </w:rPr>
        <w:t>前  言</w:t>
      </w:r>
      <w:bookmarkEnd w:id="6"/>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根据《国家发展改革委重大固定资产投资项目社会稳定风险评估暂行办法》（发改投资〔2012〕2492号）等文件要求，需对2022年历城区“四好农村路”建设项目进行社会稳定风险评估。2022年</w:t>
      </w:r>
      <w:r>
        <w:rPr>
          <w:rFonts w:hint="eastAsia" w:ascii="仿宋" w:hAnsi="仿宋" w:eastAsia="仿宋" w:cs="仿宋"/>
          <w:color w:val="auto"/>
          <w:sz w:val="30"/>
          <w:szCs w:val="30"/>
          <w:lang w:val="en-US" w:eastAsia="zh-CN"/>
        </w:rPr>
        <w:t>11</w:t>
      </w:r>
      <w:r>
        <w:rPr>
          <w:rFonts w:hint="eastAsia" w:ascii="仿宋" w:hAnsi="仿宋" w:eastAsia="仿宋" w:cs="仿宋"/>
          <w:color w:val="auto"/>
          <w:sz w:val="30"/>
          <w:szCs w:val="30"/>
        </w:rPr>
        <w:t>月</w:t>
      </w:r>
      <w:r>
        <w:rPr>
          <w:rFonts w:hint="eastAsia" w:ascii="仿宋" w:hAnsi="仿宋" w:eastAsia="仿宋" w:cs="仿宋"/>
          <w:color w:val="auto"/>
          <w:sz w:val="30"/>
          <w:szCs w:val="30"/>
          <w:lang w:val="en-US" w:eastAsia="zh-CN"/>
        </w:rPr>
        <w:t>11</w:t>
      </w:r>
      <w:r>
        <w:rPr>
          <w:rFonts w:hint="eastAsia" w:ascii="仿宋" w:hAnsi="仿宋" w:eastAsia="仿宋" w:cs="仿宋"/>
          <w:color w:val="auto"/>
          <w:sz w:val="30"/>
          <w:szCs w:val="30"/>
        </w:rPr>
        <w:t>日，山东东昌勘察测绘有限公司受济南市历城区交通运输事业发展中心委托，在中心5楼会议室对山东燕弘测绘技术有限公司对山东燕弘测绘技术有限公司编制的《2022年历城区“四好农村路”建设项目社会稳定风险分析报告》(以下简称《分析报告》)进行了评审。区委政法委、区发改局、区交通运输事业发展中心、区生态环境分局、区信访局和相关街道办及专家参加了评审会。会前评估小组踏勘了现场，会上报告编制单位汇报了《分析报告》主</w:t>
      </w:r>
      <w:r>
        <w:rPr>
          <w:rFonts w:hint="eastAsia" w:ascii="仿宋" w:hAnsi="仿宋" w:eastAsia="仿宋" w:cs="仿宋"/>
          <w:color w:val="auto"/>
          <w:spacing w:val="-6"/>
          <w:sz w:val="30"/>
          <w:szCs w:val="30"/>
        </w:rPr>
        <w:t>要内容，各专家、参会部门及利益相关者代表发表了各自意见，</w:t>
      </w:r>
      <w:r>
        <w:rPr>
          <w:rFonts w:hint="eastAsia" w:ascii="仿宋" w:hAnsi="仿宋" w:eastAsia="仿宋" w:cs="仿宋"/>
          <w:color w:val="auto"/>
          <w:sz w:val="30"/>
          <w:szCs w:val="30"/>
        </w:rPr>
        <w:t>经讨论形成了评估会意见，并向项目单位和报告编制单位提出了对报告进一步补充、完善及调整的建议和要求。</w:t>
      </w:r>
    </w:p>
    <w:p>
      <w:pPr>
        <w:spacing w:before="91" w:line="360" w:lineRule="auto"/>
        <w:ind w:firstLine="600" w:firstLineChars="200"/>
        <w:rPr>
          <w:rFonts w:ascii="仿宋" w:hAnsi="仿宋" w:eastAsia="仿宋" w:cs="仿宋"/>
          <w:color w:val="auto"/>
          <w:sz w:val="30"/>
          <w:szCs w:val="30"/>
        </w:rPr>
        <w:sectPr>
          <w:footerReference r:id="rId3" w:type="default"/>
          <w:pgSz w:w="11905" w:h="16838"/>
          <w:pgMar w:top="1440" w:right="1803" w:bottom="1440" w:left="1803" w:header="595" w:footer="703" w:gutter="0"/>
          <w:pgNumType w:start="1"/>
          <w:cols w:space="0" w:num="1"/>
        </w:sectPr>
      </w:pPr>
      <w:r>
        <w:rPr>
          <w:rFonts w:hint="eastAsia" w:ascii="仿宋" w:hAnsi="仿宋" w:eastAsia="仿宋" w:cs="仿宋"/>
          <w:color w:val="auto"/>
          <w:sz w:val="30"/>
          <w:szCs w:val="30"/>
        </w:rPr>
        <w:t>会后，报告编制单位提交了《分析报告》，评估工作组认真核对，并对与会代表提出的意见和建议进行了反馈，进一步征询了代表意见。在此基础上，山东东昌勘察测绘有限公司编制完成了《2022年历城区“四好农村路”建设项目社会社会稳定风险评估报告》，降低了项目实施过程中的社会稳定风险程度，为项目单位的前期准备和建设运营以及政府部门审批项目提供了依据。</w:t>
      </w:r>
    </w:p>
    <w:p>
      <w:pPr>
        <w:spacing w:line="273" w:lineRule="auto"/>
        <w:rPr>
          <w:rFonts w:ascii="宋体"/>
          <w:color w:val="auto"/>
        </w:rPr>
      </w:pPr>
    </w:p>
    <w:p>
      <w:pPr>
        <w:pStyle w:val="3"/>
        <w:numPr>
          <w:ilvl w:val="0"/>
          <w:numId w:val="1"/>
        </w:numPr>
        <w:spacing w:line="560" w:lineRule="exact"/>
        <w:jc w:val="center"/>
        <w:rPr>
          <w:rFonts w:ascii="宋体" w:hAnsi="宋体" w:eastAsia="宋体" w:cs="宋体"/>
          <w:color w:val="auto"/>
          <w:sz w:val="36"/>
          <w:szCs w:val="36"/>
        </w:rPr>
      </w:pPr>
      <w:bookmarkStart w:id="7" w:name="_bookmark1"/>
      <w:bookmarkEnd w:id="7"/>
      <w:bookmarkStart w:id="8" w:name="_Toc7309"/>
      <w:r>
        <w:rPr>
          <w:rFonts w:hint="eastAsia" w:ascii="宋体" w:hAnsi="宋体" w:eastAsia="宋体" w:cs="宋体"/>
          <w:color w:val="auto"/>
          <w:sz w:val="36"/>
          <w:szCs w:val="36"/>
        </w:rPr>
        <w:t>基本情况</w:t>
      </w:r>
      <w:bookmarkEnd w:id="8"/>
      <w:bookmarkStart w:id="9" w:name="_bookmark2"/>
      <w:bookmarkEnd w:id="9"/>
    </w:p>
    <w:p>
      <w:pPr>
        <w:pStyle w:val="4"/>
        <w:spacing w:line="560" w:lineRule="exact"/>
        <w:ind w:firstLine="643" w:firstLineChars="200"/>
        <w:rPr>
          <w:rFonts w:ascii="宋体" w:hAnsi="宋体" w:eastAsia="宋体" w:cs="宋体"/>
          <w:color w:val="auto"/>
          <w:szCs w:val="32"/>
        </w:rPr>
      </w:pPr>
      <w:bookmarkStart w:id="10" w:name="_Toc15055"/>
      <w:r>
        <w:rPr>
          <w:rFonts w:hint="eastAsia" w:ascii="宋体" w:hAnsi="宋体" w:eastAsia="宋体" w:cs="宋体"/>
          <w:color w:val="auto"/>
          <w:szCs w:val="32"/>
        </w:rPr>
        <w:t>（一）工程概况</w:t>
      </w:r>
      <w:bookmarkEnd w:id="10"/>
    </w:p>
    <w:p>
      <w:pPr>
        <w:pStyle w:val="8"/>
        <w:numPr>
          <w:ilvl w:val="0"/>
          <w:numId w:val="2"/>
        </w:numPr>
        <w:overflowPunct w:val="0"/>
        <w:spacing w:before="209" w:line="360" w:lineRule="auto"/>
        <w:ind w:right="357" w:firstLine="600" w:firstLineChars="200"/>
        <w:jc w:val="both"/>
        <w:outlineLvl w:val="2"/>
        <w:rPr>
          <w:rFonts w:ascii="仿宋" w:hAnsi="仿宋" w:eastAsia="仿宋" w:cs="仿宋"/>
          <w:color w:val="auto"/>
          <w:sz w:val="30"/>
          <w:szCs w:val="30"/>
        </w:rPr>
      </w:pPr>
      <w:bookmarkStart w:id="11" w:name="_Toc18053"/>
      <w:bookmarkStart w:id="12" w:name="_Toc7245"/>
      <w:r>
        <w:rPr>
          <w:rFonts w:hint="eastAsia" w:ascii="仿宋" w:hAnsi="仿宋" w:eastAsia="仿宋" w:cs="仿宋"/>
          <w:color w:val="auto"/>
          <w:sz w:val="30"/>
          <w:szCs w:val="30"/>
        </w:rPr>
        <w:t>工程地点</w:t>
      </w:r>
      <w:bookmarkEnd w:id="11"/>
    </w:p>
    <w:p>
      <w:pPr>
        <w:pStyle w:val="8"/>
        <w:overflowPunct w:val="0"/>
        <w:spacing w:before="209" w:line="360" w:lineRule="auto"/>
        <w:ind w:right="357" w:firstLine="600" w:firstLineChars="200"/>
        <w:jc w:val="both"/>
        <w:rPr>
          <w:rFonts w:ascii="仿宋" w:hAnsi="仿宋" w:eastAsia="仿宋" w:cs="仿宋"/>
          <w:color w:val="auto"/>
          <w:sz w:val="30"/>
          <w:szCs w:val="30"/>
        </w:rPr>
      </w:pPr>
      <w:r>
        <w:rPr>
          <w:rFonts w:ascii="仿宋" w:hAnsi="仿宋" w:eastAsia="仿宋" w:cs="仿宋"/>
          <w:color w:val="auto"/>
          <w:sz w:val="30"/>
          <w:szCs w:val="30"/>
        </w:rPr>
        <w:t>山东省济南</w:t>
      </w:r>
      <w:r>
        <w:rPr>
          <w:rFonts w:hint="eastAsia" w:ascii="仿宋" w:hAnsi="仿宋" w:eastAsia="仿宋" w:cs="仿宋"/>
          <w:color w:val="auto"/>
          <w:sz w:val="30"/>
          <w:szCs w:val="30"/>
          <w:lang w:eastAsia="zh-CN"/>
        </w:rPr>
        <w:t>市历城</w:t>
      </w:r>
      <w:r>
        <w:rPr>
          <w:rFonts w:ascii="仿宋" w:hAnsi="仿宋" w:eastAsia="仿宋" w:cs="仿宋"/>
          <w:color w:val="auto"/>
          <w:sz w:val="30"/>
          <w:szCs w:val="30"/>
        </w:rPr>
        <w:t>区</w:t>
      </w:r>
    </w:p>
    <w:p>
      <w:pPr>
        <w:pStyle w:val="8"/>
        <w:numPr>
          <w:ilvl w:val="0"/>
          <w:numId w:val="2"/>
        </w:numPr>
        <w:overflowPunct w:val="0"/>
        <w:spacing w:before="209" w:line="360" w:lineRule="auto"/>
        <w:ind w:right="357" w:firstLine="600" w:firstLineChars="200"/>
        <w:jc w:val="both"/>
        <w:outlineLvl w:val="2"/>
        <w:rPr>
          <w:rFonts w:ascii="仿宋" w:hAnsi="仿宋" w:eastAsia="仿宋" w:cs="仿宋"/>
          <w:color w:val="auto"/>
          <w:sz w:val="30"/>
          <w:szCs w:val="30"/>
        </w:rPr>
      </w:pPr>
      <w:bookmarkStart w:id="13" w:name="_Toc29918"/>
      <w:r>
        <w:rPr>
          <w:rFonts w:hint="eastAsia" w:ascii="仿宋" w:hAnsi="仿宋" w:eastAsia="仿宋" w:cs="仿宋"/>
          <w:color w:val="auto"/>
          <w:sz w:val="30"/>
          <w:szCs w:val="30"/>
        </w:rPr>
        <w:t>工程范围</w:t>
      </w:r>
      <w:bookmarkEnd w:id="13"/>
    </w:p>
    <w:p>
      <w:pPr>
        <w:pStyle w:val="2"/>
        <w:widowControl w:val="0"/>
        <w:kinsoku/>
        <w:overflowPunct w:val="0"/>
        <w:ind w:firstLine="600" w:firstLineChars="200"/>
        <w:rPr>
          <w:rFonts w:hint="default"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项目主要涉及唐王街道、王舍人街道、鲍山街道、董家街道、港沟街道、彩石街道、郭店街道。具体工程范围见表1-1。</w:t>
      </w:r>
    </w:p>
    <w:tbl>
      <w:tblPr>
        <w:tblStyle w:val="15"/>
        <w:tblW w:w="963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1"/>
        <w:gridCol w:w="426"/>
        <w:gridCol w:w="868"/>
        <w:gridCol w:w="615"/>
        <w:gridCol w:w="684"/>
        <w:gridCol w:w="658"/>
        <w:gridCol w:w="718"/>
        <w:gridCol w:w="734"/>
        <w:gridCol w:w="678"/>
        <w:gridCol w:w="928"/>
        <w:gridCol w:w="923"/>
        <w:gridCol w:w="820"/>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项目类别</w:t>
            </w: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序号</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路线名称</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路线编号</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所属镇街</w:t>
            </w:r>
          </w:p>
        </w:tc>
        <w:tc>
          <w:tcPr>
            <w:tcW w:w="6434"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涉及村庄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路网改造提升</w:t>
            </w: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唐临路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YT04</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东张村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唐王道口东村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唐王道口西村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王辛村</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2</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三官庙-王新村</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TD03</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三官庙</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东郭庄村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城角巷</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张而庄</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王辛村</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3</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白云湖西路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CT14</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老僧口南村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4</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荷花路（唐王路）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CT10</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小郭家</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渡口村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北殷村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西八户村</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东八户村</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老僧口南村</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5</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桃科村路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snapToGrid w:val="0"/>
                <w:color w:val="auto"/>
                <w:kern w:val="0"/>
                <w:sz w:val="22"/>
                <w:szCs w:val="22"/>
                <w:u w:val="none"/>
                <w:lang w:val="en-US" w:eastAsia="zh-CN" w:bidi="ar"/>
              </w:rPr>
              <w:t>CG01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港沟</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燕棚窝村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桃科村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6</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宅科村-康井孟</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YC03</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彩石</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南泉村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康井孟</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7</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蟠龙路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CC38</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彩石</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西彩石一村</w:t>
            </w:r>
          </w:p>
        </w:tc>
        <w:tc>
          <w:tcPr>
            <w:tcW w:w="718"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34"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1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路面改善工程</w:t>
            </w: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 xml:space="preserve"> 章丘界-甸柳集团公司</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CD67</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董家</w:t>
            </w:r>
          </w:p>
        </w:tc>
        <w:tc>
          <w:tcPr>
            <w:tcW w:w="65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前二舍</w:t>
            </w:r>
          </w:p>
        </w:tc>
        <w:tc>
          <w:tcPr>
            <w:tcW w:w="7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柿子园</w:t>
            </w:r>
          </w:p>
        </w:tc>
        <w:tc>
          <w:tcPr>
            <w:tcW w:w="7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auto"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2</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 xml:space="preserve">潘新-机场路(东段) </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YD01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董家</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董家庄村</w:t>
            </w:r>
          </w:p>
        </w:tc>
        <w:tc>
          <w:tcPr>
            <w:tcW w:w="71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袁家庄村</w:t>
            </w:r>
          </w:p>
        </w:tc>
        <w:tc>
          <w:tcPr>
            <w:tcW w:w="73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吕家村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谢家屯</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姚家村</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甄家村</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3</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 xml:space="preserve">潘新-机场路(西段) </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YD01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董家</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时家庄</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潘新桥</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4</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东八户-卢家</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CT07</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老僧口南村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卢家</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东八户</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5</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娄家庄北路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CT18</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娄家庄</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6</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亓家村路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CT30</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亓家村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7</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王家坡-周家</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CT47</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王家坡</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周家</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石徐村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8</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老柳线</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X051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康家庄</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西八户村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娄家庄</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南殷村</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韩辛村</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韩家庄西村</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韩家庄东村</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东张村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9</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102线-张而</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YE02</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郭店</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东方家村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曹家馆</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10</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102线-张而董家</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YD04</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郭店</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东方家村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徐家村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吕家村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11</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曹家馆西路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CE09</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郭店</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曹家馆</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山前村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山头村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12</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河东-鸡西</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CG02</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港沟</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河东村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鸡山村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13</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港兴路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YG01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港沟</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坞东村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坞西村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郭家村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黑龙峪</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14</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鸭西线</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X053</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港沟</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冶河村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寨而头村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里子村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15</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宅科村-康井孟</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YC03</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彩石</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南泉村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老树峪</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断岧村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石翁峪</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讲书院</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康井孟</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16</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开源路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CW01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王舍人</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冷水沟</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水坡村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17</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钢化路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CB10</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鲍山</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路家村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2"/>
                <w:szCs w:val="22"/>
                <w:u w:val="none"/>
              </w:rPr>
            </w:pPr>
          </w:p>
        </w:tc>
      </w:tr>
    </w:tbl>
    <w:p>
      <w:pPr>
        <w:pStyle w:val="2"/>
        <w:widowControl w:val="0"/>
        <w:kinsoku/>
        <w:overflowPunct w:val="0"/>
        <w:ind w:firstLine="480" w:firstLineChars="200"/>
        <w:jc w:val="center"/>
        <w:rPr>
          <w:rFonts w:hint="eastAsia"/>
          <w:color w:val="auto"/>
          <w:sz w:val="24"/>
          <w:szCs w:val="24"/>
          <w:lang w:val="en-US" w:eastAsia="zh-CN"/>
        </w:rPr>
      </w:pPr>
      <w:r>
        <w:rPr>
          <w:rFonts w:hint="eastAsia"/>
          <w:color w:val="auto"/>
          <w:sz w:val="24"/>
          <w:szCs w:val="24"/>
          <w:lang w:val="en-US" w:eastAsia="zh-CN"/>
        </w:rPr>
        <w:t>表1-1</w:t>
      </w:r>
    </w:p>
    <w:p>
      <w:pPr>
        <w:pStyle w:val="8"/>
        <w:numPr>
          <w:ilvl w:val="0"/>
          <w:numId w:val="2"/>
        </w:numPr>
        <w:overflowPunct w:val="0"/>
        <w:spacing w:before="209" w:line="360" w:lineRule="auto"/>
        <w:ind w:right="357" w:firstLine="600" w:firstLineChars="200"/>
        <w:jc w:val="both"/>
        <w:outlineLvl w:val="2"/>
        <w:rPr>
          <w:rFonts w:ascii="仿宋" w:hAnsi="仿宋" w:eastAsia="仿宋" w:cs="仿宋"/>
          <w:color w:val="auto"/>
          <w:sz w:val="30"/>
          <w:szCs w:val="30"/>
        </w:rPr>
      </w:pPr>
      <w:bookmarkStart w:id="14" w:name="_Toc9878"/>
      <w:r>
        <w:rPr>
          <w:rFonts w:hint="eastAsia" w:ascii="仿宋" w:hAnsi="仿宋" w:eastAsia="仿宋" w:cs="仿宋"/>
          <w:color w:val="auto"/>
          <w:sz w:val="30"/>
          <w:szCs w:val="30"/>
        </w:rPr>
        <w:t>投资情况</w:t>
      </w:r>
      <w:bookmarkEnd w:id="14"/>
    </w:p>
    <w:p>
      <w:pPr>
        <w:pStyle w:val="2"/>
        <w:widowControl w:val="0"/>
        <w:kinsoku/>
        <w:overflowPunct w:val="0"/>
        <w:ind w:firstLine="600" w:firstLineChars="200"/>
        <w:rPr>
          <w:rFonts w:hint="eastAsia" w:ascii="仿宋" w:hAnsi="仿宋" w:eastAsia="仿宋" w:cs="仿宋"/>
          <w:color w:val="auto"/>
          <w:sz w:val="30"/>
          <w:szCs w:val="30"/>
          <w:highlight w:val="none"/>
        </w:rPr>
      </w:pPr>
      <w:bookmarkStart w:id="15" w:name="_Toc28779"/>
      <w:r>
        <w:rPr>
          <w:rFonts w:hint="eastAsia" w:ascii="仿宋" w:hAnsi="仿宋" w:eastAsia="仿宋" w:cs="仿宋"/>
          <w:color w:val="auto"/>
          <w:sz w:val="30"/>
          <w:szCs w:val="30"/>
          <w:highlight w:val="none"/>
        </w:rPr>
        <w:t>“四好农村路”建设任务，根据省市关于进一步做好“四好农村路”工作的实施意见的要求，省市两级在路网延伸通达工程、路网改造提升工程上级补助标准按20万/公里进行补助；路面状况改善工程市级补助标准按县乡道18万/公里、村道12万/公里标准进行补助，不含农村公路预防性养护项目。“四好农村路”建设项目除上级补助的以外的其余资金由区县财政自筹，其中街道和区财政分担比例为3:7</w:t>
      </w:r>
      <w:r>
        <w:rPr>
          <w:rFonts w:hint="eastAsia" w:ascii="仿宋" w:hAnsi="仿宋" w:eastAsia="仿宋" w:cs="仿宋"/>
          <w:color w:val="auto"/>
          <w:sz w:val="30"/>
          <w:szCs w:val="30"/>
          <w:highlight w:val="none"/>
          <w:lang w:eastAsia="zh-CN"/>
        </w:rPr>
        <w:t>，2022年历城区“四好农村路”建设项目</w:t>
      </w:r>
      <w:r>
        <w:rPr>
          <w:rFonts w:hint="eastAsia" w:ascii="仿宋" w:hAnsi="仿宋" w:eastAsia="仿宋" w:cs="仿宋"/>
          <w:color w:val="auto"/>
          <w:sz w:val="30"/>
          <w:szCs w:val="30"/>
          <w:highlight w:val="none"/>
        </w:rPr>
        <w:t>总投资</w:t>
      </w:r>
      <w:r>
        <w:rPr>
          <w:rFonts w:hint="eastAsia" w:ascii="仿宋" w:hAnsi="仿宋" w:eastAsia="仿宋" w:cs="仿宋"/>
          <w:color w:val="auto"/>
          <w:sz w:val="30"/>
          <w:szCs w:val="30"/>
          <w:highlight w:val="none"/>
          <w:lang w:val="en-US" w:eastAsia="zh-CN"/>
        </w:rPr>
        <w:t>14650.43万</w:t>
      </w:r>
      <w:r>
        <w:rPr>
          <w:rFonts w:hint="eastAsia" w:ascii="仿宋" w:hAnsi="仿宋" w:eastAsia="仿宋" w:cs="仿宋"/>
          <w:color w:val="auto"/>
          <w:sz w:val="30"/>
          <w:szCs w:val="30"/>
          <w:highlight w:val="none"/>
        </w:rPr>
        <w:t>元，</w:t>
      </w:r>
      <w:r>
        <w:rPr>
          <w:rFonts w:hint="eastAsia" w:ascii="仿宋" w:hAnsi="仿宋" w:eastAsia="仿宋" w:cs="仿宋"/>
          <w:color w:val="auto"/>
          <w:sz w:val="30"/>
          <w:szCs w:val="30"/>
          <w:highlight w:val="none"/>
          <w:lang w:eastAsia="zh-CN"/>
        </w:rPr>
        <w:t>每条路详细投资情况</w:t>
      </w:r>
      <w:r>
        <w:rPr>
          <w:rFonts w:hint="eastAsia" w:ascii="仿宋" w:hAnsi="仿宋" w:eastAsia="仿宋" w:cs="仿宋"/>
          <w:color w:val="auto"/>
          <w:sz w:val="30"/>
          <w:szCs w:val="30"/>
          <w:highlight w:val="none"/>
        </w:rPr>
        <w:t>见表1-</w:t>
      </w:r>
      <w:r>
        <w:rPr>
          <w:rFonts w:hint="eastAsia" w:ascii="仿宋" w:hAnsi="仿宋" w:eastAsia="仿宋" w:cs="仿宋"/>
          <w:color w:val="auto"/>
          <w:sz w:val="30"/>
          <w:szCs w:val="30"/>
          <w:highlight w:val="none"/>
          <w:lang w:val="en-US" w:eastAsia="zh-CN"/>
        </w:rPr>
        <w:t>2</w:t>
      </w:r>
      <w:r>
        <w:rPr>
          <w:rFonts w:hint="eastAsia" w:ascii="仿宋" w:hAnsi="仿宋" w:eastAsia="仿宋" w:cs="仿宋"/>
          <w:color w:val="auto"/>
          <w:sz w:val="30"/>
          <w:szCs w:val="30"/>
          <w:highlight w:val="none"/>
        </w:rPr>
        <w:t>。</w:t>
      </w:r>
    </w:p>
    <w:tbl>
      <w:tblPr>
        <w:tblStyle w:val="15"/>
        <w:tblW w:w="83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5"/>
        <w:gridCol w:w="555"/>
        <w:gridCol w:w="1035"/>
        <w:gridCol w:w="600"/>
        <w:gridCol w:w="1140"/>
        <w:gridCol w:w="1125"/>
        <w:gridCol w:w="1080"/>
        <w:gridCol w:w="111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项目类别</w:t>
            </w:r>
          </w:p>
        </w:tc>
        <w:tc>
          <w:tcPr>
            <w:tcW w:w="55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10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路线名称</w:t>
            </w:r>
          </w:p>
        </w:tc>
        <w:tc>
          <w:tcPr>
            <w:tcW w:w="6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路线编号</w:t>
            </w:r>
          </w:p>
        </w:tc>
        <w:tc>
          <w:tcPr>
            <w:tcW w:w="22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工程规模</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建安费（万元）</w:t>
            </w:r>
          </w:p>
        </w:tc>
        <w:tc>
          <w:tcPr>
            <w:tcW w:w="111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计划投资（万元）</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8"/>
                <w:szCs w:val="18"/>
                <w:highlight w:val="none"/>
                <w:u w:val="none"/>
              </w:rPr>
            </w:pPr>
          </w:p>
        </w:tc>
        <w:tc>
          <w:tcPr>
            <w:tcW w:w="5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8"/>
                <w:szCs w:val="18"/>
                <w:highlight w:val="none"/>
                <w:u w:val="none"/>
              </w:rPr>
            </w:pPr>
          </w:p>
        </w:tc>
        <w:tc>
          <w:tcPr>
            <w:tcW w:w="10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8"/>
                <w:szCs w:val="18"/>
                <w:highlight w:val="none"/>
                <w:u w:val="none"/>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8"/>
                <w:szCs w:val="18"/>
                <w:highlight w:val="none"/>
                <w:u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道路长度（公里）</w:t>
            </w:r>
          </w:p>
        </w:tc>
        <w:tc>
          <w:tcPr>
            <w:tcW w:w="1125"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路面宽度/桥梁长度（米）</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8"/>
                <w:szCs w:val="18"/>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8"/>
                <w:szCs w:val="18"/>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路网改造提升</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唐临路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YT04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3.16</w:t>
            </w:r>
          </w:p>
        </w:tc>
        <w:tc>
          <w:tcPr>
            <w:tcW w:w="112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15，14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3446.07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3790.75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三官庙-王新村</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TD03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1.05</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256.94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292.15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白云湖西路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CT14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1.76</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429.16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486.07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荷花路（唐王路）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CT10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1.47</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318.92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361.96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桃科村路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CG01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1.00 </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171.77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195.94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宅科村-康井孟</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YC03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0.79</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217.00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247.09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蟠龙路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CC38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1.09</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2900.00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4091.00 </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615"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路面改善工程</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 xml:space="preserve"> 章丘界-甸柳集团公</w:t>
            </w:r>
          </w:p>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司</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CD67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1.23</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158.83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181.34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潘新-机场路(东段) </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YD01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1.26</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140.43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160.42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潘新-机场路(西段) </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YD01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4.37</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1137.19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1269.13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东八户-卢家</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CT07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0.68</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31.86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36.59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娄家庄北路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CT18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0.63</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44.68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亓家村路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CT30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1.19</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48.51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55.80 </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王家坡-周家</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CT47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1.96</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195.34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223.25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老柳线</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X051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11.86</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518.35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591.06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9</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102线-张而</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YE02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0.72</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69.43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79.36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102线-张而董家</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YD04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0.60 </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88.12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100.56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11</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曹家馆西路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CE09</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1.62 </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104.10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119.27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河东-鸡西</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CG02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2.05</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61.39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70.85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13</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港兴路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YG01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7.82</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7,5.5,4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198.10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229.38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鸭西线</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X053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6.82</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307.06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351.46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宅科村-康井孟</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YC03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0.82</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502.51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567.89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16</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开源路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CW01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2.54</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151.91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174.13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17</w:t>
            </w:r>
          </w:p>
        </w:tc>
        <w:tc>
          <w:tcPr>
            <w:tcW w:w="103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钢化路</w:t>
            </w:r>
          </w:p>
        </w:tc>
        <w:tc>
          <w:tcPr>
            <w:tcW w:w="60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CB10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2.79</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816.47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923.82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全长3.493km，纳入农村公路管理的里程为2.79km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合计</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auto"/>
                <w:sz w:val="16"/>
                <w:szCs w:val="16"/>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12314.14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14650.43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auto"/>
                <w:sz w:val="16"/>
                <w:szCs w:val="16"/>
                <w:highlight w:val="none"/>
                <w:u w:val="none"/>
              </w:rPr>
            </w:pPr>
          </w:p>
        </w:tc>
      </w:tr>
    </w:tbl>
    <w:p>
      <w:pPr>
        <w:pStyle w:val="2"/>
        <w:widowControl w:val="0"/>
        <w:kinsoku/>
        <w:overflowPunct w:val="0"/>
        <w:ind w:firstLine="480" w:firstLineChars="200"/>
        <w:jc w:val="center"/>
        <w:rPr>
          <w:rFonts w:hint="default" w:ascii="宋体" w:eastAsia="宋体"/>
          <w:color w:val="auto"/>
          <w:sz w:val="24"/>
          <w:szCs w:val="24"/>
          <w:highlight w:val="none"/>
          <w:lang w:val="en-US" w:eastAsia="zh-CN"/>
        </w:rPr>
      </w:pPr>
      <w:r>
        <w:rPr>
          <w:rFonts w:hint="eastAsia" w:ascii="宋体" w:eastAsia="宋体"/>
          <w:color w:val="auto"/>
          <w:sz w:val="24"/>
          <w:szCs w:val="24"/>
          <w:highlight w:val="none"/>
          <w:lang w:val="en-US" w:eastAsia="zh-CN"/>
        </w:rPr>
        <w:t>表1-2</w:t>
      </w:r>
    </w:p>
    <w:bookmarkEnd w:id="12"/>
    <w:bookmarkEnd w:id="15"/>
    <w:p>
      <w:pPr>
        <w:overflowPunct w:val="0"/>
        <w:jc w:val="center"/>
        <w:rPr>
          <w:rFonts w:eastAsia="宋体"/>
          <w:color w:val="auto"/>
        </w:rPr>
      </w:pPr>
    </w:p>
    <w:p>
      <w:pPr>
        <w:overflowPunct w:val="0"/>
        <w:jc w:val="center"/>
        <w:rPr>
          <w:color w:val="auto"/>
        </w:rPr>
      </w:pPr>
      <w:r>
        <w:rPr>
          <w:rFonts w:hint="eastAsia" w:eastAsia="宋体"/>
          <w:color w:val="auto"/>
        </w:rPr>
        <w:t>改线平面走向示意图</w:t>
      </w:r>
    </w:p>
    <w:p>
      <w:pPr>
        <w:pStyle w:val="4"/>
        <w:spacing w:line="560" w:lineRule="exact"/>
        <w:ind w:firstLine="643" w:firstLineChars="200"/>
        <w:rPr>
          <w:rFonts w:ascii="宋体" w:hAnsi="宋体" w:eastAsia="宋体" w:cs="宋体"/>
          <w:color w:val="auto"/>
          <w:szCs w:val="32"/>
        </w:rPr>
      </w:pPr>
      <w:bookmarkStart w:id="16" w:name="_Toc1948"/>
      <w:r>
        <w:rPr>
          <w:rFonts w:hint="eastAsia" w:ascii="宋体" w:hAnsi="宋体" w:eastAsia="宋体" w:cs="宋体"/>
          <w:color w:val="auto"/>
          <w:szCs w:val="32"/>
        </w:rPr>
        <w:t>（二）评估依据</w:t>
      </w:r>
      <w:bookmarkEnd w:id="16"/>
    </w:p>
    <w:p>
      <w:pPr>
        <w:pStyle w:val="5"/>
        <w:keepNext w:val="0"/>
        <w:keepLines w:val="0"/>
        <w:widowControl w:val="0"/>
        <w:kinsoku/>
        <w:overflowPunct w:val="0"/>
        <w:spacing w:line="560" w:lineRule="exact"/>
        <w:ind w:firstLine="600" w:firstLineChars="200"/>
        <w:rPr>
          <w:rFonts w:hint="eastAsia"/>
          <w:b w:val="0"/>
          <w:bCs w:val="0"/>
          <w:color w:val="auto"/>
          <w:sz w:val="30"/>
          <w:szCs w:val="30"/>
        </w:rPr>
      </w:pPr>
      <w:bookmarkStart w:id="17" w:name="_Toc5377"/>
      <w:bookmarkStart w:id="18" w:name="_Toc15531"/>
      <w:r>
        <w:rPr>
          <w:rFonts w:hint="eastAsia"/>
          <w:b w:val="0"/>
          <w:bCs w:val="0"/>
          <w:color w:val="auto"/>
          <w:sz w:val="30"/>
          <w:szCs w:val="30"/>
        </w:rPr>
        <w:t>（一）国家法律、法规及规范性文件</w:t>
      </w:r>
      <w:bookmarkEnd w:id="17"/>
      <w:bookmarkEnd w:id="18"/>
    </w:p>
    <w:p>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（1）《中华人民共和国土地管理法》 （2019年修正）</w:t>
      </w:r>
    </w:p>
    <w:p>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（2）《中华人民共和国城乡规划法》 （2019年修正）</w:t>
      </w:r>
    </w:p>
    <w:p>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t>）《中华人民共和国环境影响评价法》（2018年修正）</w:t>
      </w:r>
    </w:p>
    <w:p>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）《中华人民共和国环境保护法》（2014年修正）</w:t>
      </w:r>
    </w:p>
    <w:p>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5</w:t>
      </w:r>
      <w:r>
        <w:rPr>
          <w:rFonts w:hint="eastAsia" w:ascii="仿宋" w:hAnsi="仿宋" w:eastAsia="仿宋" w:cs="仿宋"/>
          <w:color w:val="auto"/>
          <w:sz w:val="30"/>
          <w:szCs w:val="30"/>
        </w:rPr>
        <w:t>）《中华人民共和国突发事件应对法》（2007.11.1）</w:t>
      </w:r>
    </w:p>
    <w:p>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6</w:t>
      </w:r>
      <w:r>
        <w:rPr>
          <w:rFonts w:hint="eastAsia" w:ascii="仿宋" w:hAnsi="仿宋" w:eastAsia="仿宋" w:cs="仿宋"/>
          <w:color w:val="auto"/>
          <w:sz w:val="30"/>
          <w:szCs w:val="30"/>
        </w:rPr>
        <w:t>）《中华人民共和国民法典》（2021.1.1）</w:t>
      </w:r>
    </w:p>
    <w:p>
      <w:pPr>
        <w:widowControl w:val="0"/>
        <w:kinsoku/>
        <w:overflowPunct w:val="0"/>
        <w:spacing w:before="90"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7</w:t>
      </w:r>
      <w:r>
        <w:rPr>
          <w:rFonts w:hint="eastAsia" w:ascii="仿宋" w:hAnsi="仿宋" w:eastAsia="仿宋" w:cs="仿宋"/>
          <w:color w:val="auto"/>
          <w:sz w:val="30"/>
          <w:szCs w:val="30"/>
        </w:rPr>
        <w:t>）《中华人民共和国国民经济和社会发展第十四个五年规划纲要》（2021年到2025年）</w:t>
      </w:r>
    </w:p>
    <w:p>
      <w:pPr>
        <w:pStyle w:val="8"/>
        <w:overflowPunct w:val="0"/>
        <w:spacing w:before="90"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8</w:t>
      </w:r>
      <w:r>
        <w:rPr>
          <w:rFonts w:hint="eastAsia" w:ascii="仿宋" w:hAnsi="仿宋" w:eastAsia="仿宋" w:cs="仿宋"/>
          <w:color w:val="auto"/>
          <w:sz w:val="30"/>
          <w:szCs w:val="30"/>
        </w:rPr>
        <w:t>）《国家发展改革委重大固定资产投资项目社会稳定风险评估暂行办法》发改投资〔2012〕2492号</w:t>
      </w:r>
    </w:p>
    <w:p>
      <w:pPr>
        <w:pStyle w:val="8"/>
        <w:overflowPunct w:val="0"/>
        <w:spacing w:before="90"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9</w:t>
      </w:r>
      <w:r>
        <w:rPr>
          <w:rFonts w:hint="eastAsia" w:ascii="仿宋" w:hAnsi="仿宋" w:eastAsia="仿宋" w:cs="仿宋"/>
          <w:color w:val="auto"/>
          <w:sz w:val="30"/>
          <w:szCs w:val="30"/>
        </w:rPr>
        <w:t>）《重大固定资产投资项目社会稳定风险分析篇章和评估报告编制大纲（试行）》发改办投资〔2013〕428号</w:t>
      </w:r>
    </w:p>
    <w:p>
      <w:pPr>
        <w:pStyle w:val="8"/>
        <w:overflowPunct w:val="0"/>
        <w:spacing w:before="90" w:line="360" w:lineRule="auto"/>
        <w:ind w:firstLine="600" w:firstLineChars="200"/>
        <w:rPr>
          <w:rFonts w:hint="eastAsia"/>
          <w:color w:val="auto"/>
        </w:rPr>
      </w:pPr>
      <w:r>
        <w:rPr>
          <w:rFonts w:hint="eastAsia" w:ascii="仿宋" w:hAnsi="仿宋" w:eastAsia="仿宋" w:cs="仿宋"/>
          <w:color w:val="auto"/>
          <w:sz w:val="30"/>
          <w:szCs w:val="30"/>
        </w:rPr>
        <w:t>(1</w:t>
      </w:r>
      <w:r>
        <w:rPr>
          <w:rFonts w:hint="eastAsia" w:ascii="仿宋" w:hAnsi="仿宋" w:eastAsia="仿宋" w:cs="仿宋"/>
          <w:color w:val="auto"/>
          <w:sz w:val="30"/>
          <w:szCs w:val="30"/>
          <w:lang w:val="en-US" w:eastAsia="zh-CN"/>
        </w:rPr>
        <w:t>0</w:t>
      </w:r>
      <w:r>
        <w:rPr>
          <w:rFonts w:hint="eastAsia" w:ascii="仿宋" w:hAnsi="仿宋" w:eastAsia="仿宋" w:cs="仿宋"/>
          <w:color w:val="auto"/>
          <w:sz w:val="30"/>
          <w:szCs w:val="30"/>
        </w:rPr>
        <w:t>)《关于加强新形势下重大决策社会稳定风险评估机制建设的意见》(中办发[2021]11号)</w:t>
      </w:r>
      <w:bookmarkStart w:id="19" w:name="_Toc1910"/>
    </w:p>
    <w:p>
      <w:pPr>
        <w:pStyle w:val="5"/>
        <w:keepNext w:val="0"/>
        <w:keepLines w:val="0"/>
        <w:widowControl w:val="0"/>
        <w:kinsoku/>
        <w:overflowPunct w:val="0"/>
        <w:spacing w:line="560" w:lineRule="exact"/>
        <w:ind w:firstLine="600" w:firstLineChars="200"/>
        <w:rPr>
          <w:rFonts w:hint="eastAsia"/>
          <w:b w:val="0"/>
          <w:bCs w:val="0"/>
          <w:color w:val="auto"/>
          <w:sz w:val="30"/>
          <w:szCs w:val="30"/>
        </w:rPr>
      </w:pPr>
      <w:bookmarkStart w:id="20" w:name="_Toc9477"/>
      <w:r>
        <w:rPr>
          <w:rFonts w:hint="eastAsia"/>
          <w:b w:val="0"/>
          <w:bCs w:val="0"/>
          <w:color w:val="auto"/>
          <w:sz w:val="30"/>
          <w:szCs w:val="30"/>
        </w:rPr>
        <w:t>（二）地方法规及规划</w:t>
      </w:r>
      <w:bookmarkEnd w:id="19"/>
      <w:bookmarkEnd w:id="20"/>
    </w:p>
    <w:p>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（1）《山东省城乡规划条例》 （2018年修正）</w:t>
      </w:r>
    </w:p>
    <w:p>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（2）《山东省环境保护条例》 （2018年修订版）</w:t>
      </w:r>
    </w:p>
    <w:p>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（3）《山东省突发事件应对条例》（山东省人大常委会公告第120号）</w:t>
      </w:r>
    </w:p>
    <w:p>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（4）《山东省信访条例》（山东省人民代表大会常务委员会公告第105号）</w:t>
      </w:r>
    </w:p>
    <w:p>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（5）《山东省信访事项复查复核办法》（山东省人民政府令第204号）</w:t>
      </w:r>
    </w:p>
    <w:p>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（6）《山东省国民经济和社会发展第十四个五年规划和2035年远景目标纲要》</w:t>
      </w:r>
    </w:p>
    <w:p>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（7）《山东省生态环境保护“十四五”规划》</w:t>
      </w:r>
    </w:p>
    <w:p>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 xml:space="preserve">（8）《济南市国民经济和社会发展第十四个五年规划纲要和2035年远景目标纲要》 </w:t>
      </w:r>
    </w:p>
    <w:p>
      <w:pPr>
        <w:widowControl w:val="0"/>
        <w:kinsoku/>
        <w:overflowPunct w:val="0"/>
        <w:spacing w:before="90"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（9）《山东省发展改革委重大固定资产投资项目社会稳定风险评估暂行办法》（鲁发改投资〔2014〕471 号）</w:t>
      </w:r>
    </w:p>
    <w:p>
      <w:pPr>
        <w:pStyle w:val="2"/>
        <w:spacing w:before="90"/>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（10）《山东省人民政府关于印发山东省突发事件总体应急预案的通知》(鲁政发〔</w:t>
      </w:r>
      <w:r>
        <w:rPr>
          <w:rFonts w:ascii="仿宋" w:hAnsi="仿宋" w:eastAsia="仿宋" w:cs="仿宋"/>
          <w:color w:val="auto"/>
          <w:sz w:val="30"/>
          <w:szCs w:val="30"/>
        </w:rPr>
        <w:t>2021</w:t>
      </w:r>
      <w:r>
        <w:rPr>
          <w:rFonts w:hint="eastAsia" w:ascii="仿宋" w:hAnsi="仿宋" w:eastAsia="仿宋" w:cs="仿宋"/>
          <w:color w:val="auto"/>
          <w:sz w:val="30"/>
          <w:szCs w:val="30"/>
        </w:rPr>
        <w:t>〕</w:t>
      </w:r>
      <w:r>
        <w:rPr>
          <w:rFonts w:ascii="仿宋" w:hAnsi="仿宋" w:eastAsia="仿宋" w:cs="仿宋"/>
          <w:color w:val="auto"/>
          <w:sz w:val="30"/>
          <w:szCs w:val="30"/>
        </w:rPr>
        <w:t>14</w:t>
      </w:r>
      <w:r>
        <w:rPr>
          <w:rFonts w:hint="eastAsia" w:ascii="仿宋" w:hAnsi="仿宋" w:eastAsia="仿宋" w:cs="仿宋"/>
          <w:color w:val="auto"/>
          <w:sz w:val="30"/>
          <w:szCs w:val="30"/>
        </w:rPr>
        <w:t>号</w:t>
      </w:r>
      <w:r>
        <w:rPr>
          <w:rFonts w:ascii="仿宋" w:hAnsi="仿宋" w:eastAsia="仿宋" w:cs="仿宋"/>
          <w:color w:val="auto"/>
          <w:sz w:val="30"/>
          <w:szCs w:val="30"/>
        </w:rPr>
        <w:t>)</w:t>
      </w:r>
    </w:p>
    <w:p>
      <w:pPr>
        <w:pStyle w:val="5"/>
        <w:keepNext w:val="0"/>
        <w:keepLines w:val="0"/>
        <w:widowControl w:val="0"/>
        <w:kinsoku/>
        <w:overflowPunct w:val="0"/>
        <w:spacing w:line="560" w:lineRule="exact"/>
        <w:ind w:firstLine="600" w:firstLineChars="200"/>
        <w:rPr>
          <w:rFonts w:hint="eastAsia"/>
          <w:b w:val="0"/>
          <w:bCs w:val="0"/>
          <w:color w:val="auto"/>
          <w:sz w:val="30"/>
          <w:szCs w:val="30"/>
        </w:rPr>
      </w:pPr>
      <w:bookmarkStart w:id="21" w:name="_Toc13399"/>
      <w:bookmarkStart w:id="22" w:name="_Toc26004"/>
      <w:r>
        <w:rPr>
          <w:rFonts w:hint="eastAsia"/>
          <w:b w:val="0"/>
          <w:bCs w:val="0"/>
          <w:color w:val="auto"/>
          <w:sz w:val="30"/>
          <w:szCs w:val="30"/>
        </w:rPr>
        <w:t>（三）相关政策性文件</w:t>
      </w:r>
      <w:bookmarkEnd w:id="21"/>
      <w:bookmarkEnd w:id="22"/>
    </w:p>
    <w:p>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（1）《</w:t>
      </w:r>
      <w:r>
        <w:rPr>
          <w:rFonts w:hint="eastAsia" w:ascii="仿宋" w:hAnsi="仿宋" w:eastAsia="仿宋" w:cs="仿宋"/>
          <w:color w:val="auto"/>
          <w:sz w:val="30"/>
          <w:szCs w:val="30"/>
          <w:lang w:eastAsia="zh-CN"/>
        </w:rPr>
        <w:t>济南市历城区重大行政决策程序规定</w:t>
      </w:r>
      <w:r>
        <w:rPr>
          <w:rFonts w:hint="eastAsia" w:ascii="仿宋" w:hAnsi="仿宋" w:eastAsia="仿宋" w:cs="仿宋"/>
          <w:color w:val="auto"/>
          <w:sz w:val="30"/>
          <w:szCs w:val="30"/>
        </w:rPr>
        <w:t>》（济</w:t>
      </w:r>
      <w:r>
        <w:rPr>
          <w:rFonts w:hint="eastAsia" w:ascii="仿宋" w:hAnsi="仿宋" w:eastAsia="仿宋" w:cs="仿宋"/>
          <w:color w:val="auto"/>
          <w:sz w:val="30"/>
          <w:szCs w:val="30"/>
          <w:lang w:eastAsia="zh-CN"/>
        </w:rPr>
        <w:t>历城政办</w:t>
      </w:r>
      <w:r>
        <w:rPr>
          <w:rFonts w:hint="eastAsia" w:ascii="仿宋" w:hAnsi="仿宋" w:eastAsia="仿宋" w:cs="仿宋"/>
          <w:color w:val="auto"/>
          <w:sz w:val="30"/>
          <w:szCs w:val="30"/>
        </w:rPr>
        <w:t>字[202</w:t>
      </w:r>
      <w:r>
        <w:rPr>
          <w:rFonts w:hint="eastAsia" w:ascii="仿宋" w:hAnsi="仿宋" w:eastAsia="仿宋" w:cs="仿宋"/>
          <w:color w:val="auto"/>
          <w:sz w:val="30"/>
          <w:szCs w:val="30"/>
          <w:lang w:val="en-US" w:eastAsia="zh-CN"/>
        </w:rPr>
        <w:t>0</w:t>
      </w:r>
      <w:r>
        <w:rPr>
          <w:rFonts w:hint="eastAsia" w:ascii="仿宋" w:hAnsi="仿宋" w:eastAsia="仿宋" w:cs="仿宋"/>
          <w:color w:val="auto"/>
          <w:sz w:val="30"/>
          <w:szCs w:val="30"/>
        </w:rPr>
        <w:t>] </w:t>
      </w:r>
      <w:r>
        <w:rPr>
          <w:rFonts w:hint="eastAsia" w:ascii="仿宋" w:hAnsi="仿宋" w:eastAsia="仿宋" w:cs="仿宋"/>
          <w:color w:val="auto"/>
          <w:sz w:val="30"/>
          <w:szCs w:val="30"/>
          <w:lang w:val="en-US" w:eastAsia="zh-CN"/>
        </w:rPr>
        <w:t>41</w:t>
      </w:r>
      <w:r>
        <w:rPr>
          <w:rFonts w:hint="eastAsia" w:ascii="仿宋" w:hAnsi="仿宋" w:eastAsia="仿宋" w:cs="仿宋"/>
          <w:color w:val="auto"/>
          <w:sz w:val="30"/>
          <w:szCs w:val="30"/>
        </w:rPr>
        <w:t> 号）</w:t>
      </w:r>
    </w:p>
    <w:p>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（2）《关于</w:t>
      </w:r>
      <w:r>
        <w:rPr>
          <w:rFonts w:hint="eastAsia" w:ascii="仿宋" w:hAnsi="仿宋" w:eastAsia="仿宋" w:cs="仿宋"/>
          <w:color w:val="auto"/>
          <w:sz w:val="30"/>
          <w:szCs w:val="30"/>
          <w:lang w:val="en-US" w:eastAsia="zh-CN"/>
        </w:rPr>
        <w:t>2022年全区“四好农村路”建设情况的请示</w:t>
      </w:r>
      <w:r>
        <w:rPr>
          <w:rFonts w:hint="eastAsia" w:ascii="仿宋" w:hAnsi="仿宋" w:eastAsia="仿宋" w:cs="仿宋"/>
          <w:color w:val="auto"/>
          <w:sz w:val="30"/>
          <w:szCs w:val="30"/>
        </w:rPr>
        <w:t>》（济</w:t>
      </w:r>
      <w:r>
        <w:rPr>
          <w:rFonts w:hint="eastAsia" w:ascii="仿宋" w:hAnsi="仿宋" w:eastAsia="仿宋" w:cs="仿宋"/>
          <w:color w:val="auto"/>
          <w:sz w:val="30"/>
          <w:szCs w:val="30"/>
          <w:lang w:eastAsia="zh-CN"/>
        </w:rPr>
        <w:t>历城交</w:t>
      </w:r>
      <w:r>
        <w:rPr>
          <w:rFonts w:hint="eastAsia" w:ascii="仿宋" w:hAnsi="仿宋" w:eastAsia="仿宋" w:cs="仿宋"/>
          <w:color w:val="auto"/>
          <w:sz w:val="30"/>
          <w:szCs w:val="30"/>
        </w:rPr>
        <w:t>[202</w:t>
      </w: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 1</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号）</w:t>
      </w:r>
    </w:p>
    <w:p>
      <w:pPr>
        <w:pStyle w:val="2"/>
        <w:ind w:firstLine="600" w:firstLineChars="200"/>
        <w:rPr>
          <w:rFonts w:hint="eastAsia" w:ascii="仿宋" w:hAnsi="仿宋" w:eastAsia="仿宋" w:cs="仿宋"/>
          <w:color w:val="auto"/>
          <w:sz w:val="30"/>
          <w:szCs w:val="30"/>
          <w:lang w:eastAsia="zh-CN"/>
        </w:rPr>
      </w:pPr>
      <w:r>
        <w:rPr>
          <w:rFonts w:hint="eastAsia" w:ascii="仿宋" w:hAnsi="仿宋" w:eastAsia="仿宋" w:cs="仿宋"/>
          <w:color w:val="auto"/>
          <w:sz w:val="30"/>
          <w:szCs w:val="30"/>
        </w:rPr>
        <w:t>（3）《</w:t>
      </w:r>
      <w:r>
        <w:rPr>
          <w:rFonts w:hint="eastAsia" w:ascii="仿宋" w:hAnsi="仿宋" w:eastAsia="仿宋" w:cs="仿宋"/>
          <w:color w:val="auto"/>
          <w:sz w:val="30"/>
          <w:szCs w:val="30"/>
          <w:lang w:eastAsia="zh-CN"/>
        </w:rPr>
        <w:t>关于公布济南市历城区人民政府</w:t>
      </w:r>
      <w:r>
        <w:rPr>
          <w:rFonts w:hint="eastAsia" w:ascii="仿宋" w:hAnsi="仿宋" w:eastAsia="仿宋" w:cs="仿宋"/>
          <w:color w:val="auto"/>
          <w:sz w:val="30"/>
          <w:szCs w:val="30"/>
          <w:lang w:val="en-US" w:eastAsia="zh-CN"/>
        </w:rPr>
        <w:t>2022年度重大行政决策事项目录的通知</w:t>
      </w:r>
      <w:r>
        <w:rPr>
          <w:rFonts w:hint="eastAsia" w:ascii="仿宋" w:hAnsi="仿宋" w:eastAsia="仿宋" w:cs="仿宋"/>
          <w:color w:val="auto"/>
          <w:sz w:val="30"/>
          <w:szCs w:val="30"/>
        </w:rPr>
        <w:t>》（</w:t>
      </w:r>
      <w:r>
        <w:rPr>
          <w:rFonts w:hint="eastAsia" w:ascii="仿宋" w:hAnsi="仿宋" w:eastAsia="仿宋" w:cs="仿宋"/>
          <w:color w:val="auto"/>
          <w:sz w:val="30"/>
          <w:szCs w:val="30"/>
          <w:lang w:eastAsia="zh-CN"/>
        </w:rPr>
        <w:t>济历城政办字</w:t>
      </w:r>
      <w:r>
        <w:rPr>
          <w:rFonts w:hint="eastAsia" w:ascii="仿宋" w:hAnsi="仿宋" w:eastAsia="仿宋" w:cs="仿宋"/>
          <w:color w:val="auto"/>
          <w:sz w:val="30"/>
          <w:szCs w:val="30"/>
        </w:rPr>
        <w:t>[202</w:t>
      </w: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 xml:space="preserve">] </w:t>
      </w:r>
      <w:r>
        <w:rPr>
          <w:rFonts w:hint="eastAsia" w:ascii="仿宋" w:hAnsi="仿宋" w:eastAsia="仿宋" w:cs="仿宋"/>
          <w:color w:val="auto"/>
          <w:sz w:val="30"/>
          <w:szCs w:val="30"/>
          <w:lang w:val="en-US" w:eastAsia="zh-CN"/>
        </w:rPr>
        <w:t>29</w:t>
      </w:r>
      <w:r>
        <w:rPr>
          <w:rFonts w:hint="eastAsia" w:ascii="仿宋" w:hAnsi="仿宋" w:eastAsia="仿宋" w:cs="仿宋"/>
          <w:color w:val="auto"/>
          <w:sz w:val="30"/>
          <w:szCs w:val="30"/>
        </w:rPr>
        <w:t>号）</w:t>
      </w:r>
    </w:p>
    <w:p>
      <w:pPr>
        <w:pStyle w:val="2"/>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（4）《</w:t>
      </w:r>
      <w:r>
        <w:rPr>
          <w:rFonts w:hint="eastAsia" w:ascii="仿宋" w:hAnsi="仿宋" w:eastAsia="仿宋" w:cs="仿宋"/>
          <w:color w:val="auto"/>
          <w:sz w:val="30"/>
          <w:szCs w:val="30"/>
          <w:lang w:eastAsia="zh-CN"/>
        </w:rPr>
        <w:t>关于印发</w:t>
      </w:r>
      <w:r>
        <w:rPr>
          <w:rFonts w:hint="eastAsia" w:ascii="仿宋" w:hAnsi="仿宋" w:eastAsia="仿宋" w:cs="仿宋"/>
          <w:color w:val="auto"/>
          <w:sz w:val="30"/>
          <w:szCs w:val="30"/>
        </w:rPr>
        <w:t>《</w:t>
      </w:r>
      <w:r>
        <w:rPr>
          <w:rFonts w:hint="eastAsia" w:ascii="仿宋" w:hAnsi="仿宋" w:eastAsia="仿宋" w:cs="仿宋"/>
          <w:color w:val="auto"/>
          <w:sz w:val="30"/>
          <w:szCs w:val="30"/>
          <w:lang w:eastAsia="zh-CN"/>
        </w:rPr>
        <w:t>济南市</w:t>
      </w:r>
      <w:r>
        <w:rPr>
          <w:rFonts w:hint="eastAsia" w:ascii="仿宋" w:hAnsi="仿宋" w:eastAsia="仿宋" w:cs="仿宋"/>
          <w:color w:val="auto"/>
          <w:sz w:val="30"/>
          <w:szCs w:val="30"/>
          <w:lang w:val="en-US" w:eastAsia="zh-CN"/>
        </w:rPr>
        <w:t>重大行政决策程序工作指引</w:t>
      </w:r>
      <w:r>
        <w:rPr>
          <w:rFonts w:hint="eastAsia" w:ascii="仿宋" w:hAnsi="仿宋" w:eastAsia="仿宋" w:cs="仿宋"/>
          <w:color w:val="auto"/>
          <w:sz w:val="30"/>
          <w:szCs w:val="30"/>
        </w:rPr>
        <w:t>》》（</w:t>
      </w:r>
      <w:r>
        <w:rPr>
          <w:rFonts w:hint="eastAsia" w:ascii="仿宋" w:hAnsi="仿宋" w:eastAsia="仿宋" w:cs="仿宋"/>
          <w:color w:val="auto"/>
          <w:sz w:val="30"/>
          <w:szCs w:val="30"/>
          <w:lang w:eastAsia="zh-CN"/>
        </w:rPr>
        <w:t>济司法</w:t>
      </w:r>
      <w:r>
        <w:rPr>
          <w:rFonts w:hint="eastAsia" w:ascii="仿宋" w:hAnsi="仿宋" w:eastAsia="仿宋" w:cs="仿宋"/>
          <w:color w:val="auto"/>
          <w:sz w:val="30"/>
          <w:szCs w:val="30"/>
        </w:rPr>
        <w:t>[202</w:t>
      </w: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 xml:space="preserve">] </w:t>
      </w:r>
      <w:r>
        <w:rPr>
          <w:rFonts w:hint="eastAsia" w:ascii="仿宋" w:hAnsi="仿宋" w:eastAsia="仿宋" w:cs="仿宋"/>
          <w:color w:val="auto"/>
          <w:sz w:val="30"/>
          <w:szCs w:val="30"/>
          <w:lang w:val="en-US" w:eastAsia="zh-CN"/>
        </w:rPr>
        <w:t>16</w:t>
      </w:r>
      <w:r>
        <w:rPr>
          <w:rFonts w:hint="eastAsia" w:ascii="仿宋" w:hAnsi="仿宋" w:eastAsia="仿宋" w:cs="仿宋"/>
          <w:color w:val="auto"/>
          <w:sz w:val="30"/>
          <w:szCs w:val="30"/>
        </w:rPr>
        <w:t>号）</w:t>
      </w:r>
    </w:p>
    <w:p>
      <w:pPr>
        <w:pStyle w:val="20"/>
        <w:tabs>
          <w:tab w:val="left" w:pos="1337"/>
        </w:tabs>
        <w:spacing w:before="208" w:line="360" w:lineRule="auto"/>
        <w:ind w:left="0" w:firstLine="600" w:firstLineChars="200"/>
        <w:outlineLvl w:val="2"/>
        <w:rPr>
          <w:color w:val="auto"/>
          <w:sz w:val="30"/>
          <w:szCs w:val="30"/>
        </w:rPr>
      </w:pPr>
      <w:bookmarkStart w:id="23" w:name="_Toc18049"/>
      <w:r>
        <w:rPr>
          <w:rFonts w:hint="eastAsia"/>
          <w:color w:val="auto"/>
          <w:sz w:val="30"/>
          <w:szCs w:val="30"/>
        </w:rPr>
        <w:t>4、采用的社会稳定风险评判标准与指标体系</w:t>
      </w:r>
      <w:bookmarkEnd w:id="23"/>
    </w:p>
    <w:p>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在开展社会稳定风险评估工作时，需要确定相关的指标体系和评判标准。在发改投资[2012]2492号中，重大社会风险等级分为三级，分别为高风险、中风险、低风险：</w:t>
      </w:r>
    </w:p>
    <w:p>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‒高风险： 大部分群众对土地征收有意见、反应特别强烈，可能引发大规模社会稳定风险；</w:t>
      </w:r>
    </w:p>
    <w:p>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‒中风险： 部分群众对土地征收有意见、反应强烈，可能引发矛盾冲突；</w:t>
      </w:r>
    </w:p>
    <w:p>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‒低风险： 多数群众理解支持，但少部分人对土地征收有意见，通过有效工作可防范和化解矛盾。</w:t>
      </w:r>
    </w:p>
    <w:p>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风险等级的具体划分标准由各地区有关部门予以明确。参考目前国内风险分析工作中用的较多的评判标准，根据济南市土地征收实际情况修订了此次重大决策风险分析中采用的评判标准。</w:t>
      </w:r>
    </w:p>
    <w:p>
      <w:pPr>
        <w:pStyle w:val="8"/>
        <w:spacing w:before="209" w:line="360" w:lineRule="auto"/>
        <w:ind w:right="357" w:firstLine="300" w:firstLineChars="100"/>
        <w:jc w:val="both"/>
        <w:rPr>
          <w:rFonts w:ascii="仿宋" w:hAnsi="仿宋" w:eastAsia="仿宋" w:cs="仿宋"/>
          <w:color w:val="auto"/>
          <w:sz w:val="30"/>
          <w:szCs w:val="30"/>
        </w:rPr>
      </w:pPr>
      <w:r>
        <w:rPr>
          <w:rFonts w:hint="eastAsia" w:ascii="仿宋" w:hAnsi="仿宋" w:eastAsia="仿宋" w:cs="仿宋"/>
          <w:color w:val="auto"/>
          <w:sz w:val="30"/>
          <w:szCs w:val="30"/>
        </w:rPr>
        <w:t>用于拟建设项目社会稳定风险评判的指标体系和评判标准</w:t>
      </w:r>
    </w:p>
    <w:tbl>
      <w:tblPr>
        <w:tblStyle w:val="1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5"/>
        <w:gridCol w:w="2889"/>
        <w:gridCol w:w="2310"/>
        <w:gridCol w:w="19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385" w:type="dxa"/>
          </w:tcPr>
          <w:p>
            <w:pPr>
              <w:spacing w:before="209" w:line="184" w:lineRule="auto"/>
              <w:ind w:firstLine="277"/>
              <w:rPr>
                <w:rFonts w:ascii="宋体" w:hAnsi="宋体" w:eastAsia="宋体" w:cs="宋体"/>
                <w:color w:val="auto"/>
              </w:rPr>
            </w:pPr>
            <w:r>
              <w:rPr>
                <w:rFonts w:ascii="宋体" w:hAnsi="宋体" w:eastAsia="宋体" w:cs="宋体"/>
                <w:color w:val="auto"/>
                <w:spacing w:val="-3"/>
              </w:rPr>
              <w:t>风险等级</w:t>
            </w:r>
          </w:p>
        </w:tc>
        <w:tc>
          <w:tcPr>
            <w:tcW w:w="2889" w:type="dxa"/>
          </w:tcPr>
          <w:p>
            <w:pPr>
              <w:spacing w:before="209" w:line="184" w:lineRule="auto"/>
              <w:ind w:firstLine="1138"/>
              <w:rPr>
                <w:rFonts w:ascii="宋体" w:hAnsi="宋体" w:eastAsia="宋体" w:cs="宋体"/>
                <w:color w:val="auto"/>
              </w:rPr>
            </w:pPr>
            <w:r>
              <w:rPr>
                <w:rFonts w:ascii="宋体" w:hAnsi="宋体" w:eastAsia="宋体" w:cs="宋体"/>
                <w:color w:val="auto"/>
                <w:spacing w:val="-5"/>
              </w:rPr>
              <w:t>高风险</w:t>
            </w:r>
          </w:p>
        </w:tc>
        <w:tc>
          <w:tcPr>
            <w:tcW w:w="2310" w:type="dxa"/>
          </w:tcPr>
          <w:p>
            <w:pPr>
              <w:spacing w:before="209" w:line="184" w:lineRule="auto"/>
              <w:ind w:firstLine="865"/>
              <w:rPr>
                <w:rFonts w:ascii="宋体" w:hAnsi="宋体" w:eastAsia="宋体" w:cs="宋体"/>
                <w:color w:val="auto"/>
              </w:rPr>
            </w:pPr>
            <w:r>
              <w:rPr>
                <w:rFonts w:ascii="宋体" w:hAnsi="宋体" w:eastAsia="宋体" w:cs="宋体"/>
                <w:color w:val="auto"/>
                <w:spacing w:val="-10"/>
              </w:rPr>
              <w:t>中风险</w:t>
            </w:r>
          </w:p>
        </w:tc>
        <w:tc>
          <w:tcPr>
            <w:tcW w:w="1942" w:type="dxa"/>
          </w:tcPr>
          <w:p>
            <w:pPr>
              <w:spacing w:before="209" w:line="184" w:lineRule="auto"/>
              <w:ind w:firstLine="661"/>
              <w:rPr>
                <w:rFonts w:ascii="宋体" w:hAnsi="宋体" w:eastAsia="宋体" w:cs="宋体"/>
                <w:color w:val="auto"/>
              </w:rPr>
            </w:pPr>
            <w:r>
              <w:rPr>
                <w:rFonts w:ascii="宋体" w:hAnsi="宋体" w:eastAsia="宋体" w:cs="宋体"/>
                <w:color w:val="auto"/>
                <w:spacing w:val="-3"/>
              </w:rPr>
              <w:t>低风险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1385" w:type="dxa"/>
          </w:tcPr>
          <w:p>
            <w:pPr>
              <w:spacing w:line="250" w:lineRule="auto"/>
              <w:rPr>
                <w:rFonts w:ascii="宋体"/>
                <w:color w:val="auto"/>
              </w:rPr>
            </w:pPr>
          </w:p>
          <w:p>
            <w:pPr>
              <w:spacing w:line="251" w:lineRule="auto"/>
              <w:rPr>
                <w:rFonts w:ascii="宋体"/>
                <w:color w:val="auto"/>
              </w:rPr>
            </w:pPr>
          </w:p>
          <w:p>
            <w:pPr>
              <w:spacing w:line="251" w:lineRule="auto"/>
              <w:rPr>
                <w:rFonts w:ascii="宋体"/>
                <w:color w:val="auto"/>
              </w:rPr>
            </w:pPr>
          </w:p>
          <w:p>
            <w:pPr>
              <w:spacing w:before="68" w:line="184" w:lineRule="auto"/>
              <w:ind w:firstLine="61"/>
              <w:rPr>
                <w:rFonts w:ascii="宋体" w:hAnsi="宋体" w:eastAsia="宋体" w:cs="宋体"/>
                <w:color w:val="auto"/>
              </w:rPr>
            </w:pPr>
            <w:r>
              <w:rPr>
                <w:rFonts w:ascii="宋体" w:hAnsi="宋体" w:eastAsia="宋体" w:cs="宋体"/>
                <w:color w:val="auto"/>
                <w:spacing w:val="-3"/>
              </w:rPr>
              <w:t>总体评判标准</w:t>
            </w:r>
          </w:p>
        </w:tc>
        <w:tc>
          <w:tcPr>
            <w:tcW w:w="2889" w:type="dxa"/>
          </w:tcPr>
          <w:p>
            <w:pPr>
              <w:spacing w:before="204" w:line="422" w:lineRule="auto"/>
              <w:ind w:left="115" w:right="98" w:firstLine="74"/>
              <w:rPr>
                <w:rFonts w:ascii="宋体" w:hAnsi="宋体" w:eastAsia="宋体" w:cs="宋体"/>
                <w:color w:val="auto"/>
              </w:rPr>
            </w:pPr>
            <w:r>
              <w:rPr>
                <w:rFonts w:ascii="宋体" w:hAnsi="宋体" w:eastAsia="宋体" w:cs="宋体"/>
                <w:color w:val="auto"/>
                <w:spacing w:val="-2"/>
              </w:rPr>
              <w:t>大部分群众对</w:t>
            </w:r>
            <w:r>
              <w:rPr>
                <w:rFonts w:hint="eastAsia" w:ascii="宋体" w:hAnsi="宋体" w:eastAsia="宋体" w:cs="宋体"/>
                <w:color w:val="auto"/>
                <w:spacing w:val="-2"/>
              </w:rPr>
              <w:t>土地征收</w:t>
            </w:r>
            <w:r>
              <w:rPr>
                <w:rFonts w:ascii="宋体" w:hAnsi="宋体" w:eastAsia="宋体" w:cs="宋体"/>
                <w:color w:val="auto"/>
                <w:spacing w:val="-2"/>
              </w:rPr>
              <w:t>建设</w:t>
            </w:r>
            <w:r>
              <w:rPr>
                <w:rFonts w:ascii="宋体" w:hAnsi="宋体" w:eastAsia="宋体" w:cs="宋体"/>
                <w:color w:val="auto"/>
                <w:spacing w:val="5"/>
                <w:w w:val="101"/>
              </w:rPr>
              <w:t xml:space="preserve">  </w:t>
            </w:r>
            <w:r>
              <w:rPr>
                <w:rFonts w:ascii="宋体" w:hAnsi="宋体" w:eastAsia="宋体" w:cs="宋体"/>
                <w:color w:val="auto"/>
                <w:spacing w:val="-5"/>
              </w:rPr>
              <w:t>实施有意见，反应特别强烈，</w:t>
            </w:r>
            <w:r>
              <w:rPr>
                <w:rFonts w:ascii="宋体" w:hAnsi="宋体" w:eastAsia="宋体" w:cs="宋体"/>
                <w:color w:val="auto"/>
                <w:spacing w:val="4"/>
              </w:rPr>
              <w:t xml:space="preserve"> </w:t>
            </w:r>
            <w:r>
              <w:rPr>
                <w:rFonts w:ascii="宋体" w:hAnsi="宋体" w:eastAsia="宋体" w:cs="宋体"/>
                <w:color w:val="auto"/>
                <w:spacing w:val="-1"/>
              </w:rPr>
              <w:t>可能引发大规模社会稳定风</w:t>
            </w:r>
          </w:p>
          <w:p>
            <w:pPr>
              <w:spacing w:line="204" w:lineRule="auto"/>
              <w:ind w:firstLine="1356"/>
              <w:rPr>
                <w:rFonts w:ascii="宋体" w:hAnsi="宋体" w:eastAsia="宋体" w:cs="宋体"/>
                <w:color w:val="auto"/>
              </w:rPr>
            </w:pPr>
            <w:r>
              <w:rPr>
                <w:rFonts w:ascii="宋体" w:hAnsi="宋体" w:eastAsia="宋体" w:cs="宋体"/>
                <w:color w:val="auto"/>
              </w:rPr>
              <w:t>险</w:t>
            </w:r>
          </w:p>
        </w:tc>
        <w:tc>
          <w:tcPr>
            <w:tcW w:w="2310" w:type="dxa"/>
          </w:tcPr>
          <w:p>
            <w:pPr>
              <w:spacing w:before="204" w:line="184" w:lineRule="auto"/>
              <w:ind w:firstLine="219"/>
              <w:rPr>
                <w:rFonts w:ascii="宋体" w:hAnsi="宋体" w:eastAsia="宋体" w:cs="宋体"/>
                <w:color w:val="auto"/>
              </w:rPr>
            </w:pPr>
            <w:r>
              <w:rPr>
                <w:rFonts w:ascii="宋体" w:hAnsi="宋体" w:eastAsia="宋体" w:cs="宋体"/>
                <w:color w:val="auto"/>
                <w:spacing w:val="-2"/>
              </w:rPr>
              <w:t>部分群众对</w:t>
            </w:r>
            <w:r>
              <w:rPr>
                <w:rFonts w:hint="eastAsia" w:ascii="宋体" w:hAnsi="宋体" w:eastAsia="宋体" w:cs="宋体"/>
                <w:color w:val="auto"/>
                <w:spacing w:val="-2"/>
              </w:rPr>
              <w:t>土地征收</w:t>
            </w:r>
          </w:p>
          <w:p>
            <w:pPr>
              <w:spacing w:before="270" w:line="184" w:lineRule="auto"/>
              <w:ind w:firstLine="116"/>
              <w:rPr>
                <w:rFonts w:ascii="宋体" w:hAnsi="宋体" w:eastAsia="宋体" w:cs="宋体"/>
                <w:color w:val="auto"/>
              </w:rPr>
            </w:pPr>
            <w:r>
              <w:rPr>
                <w:rFonts w:ascii="宋体" w:hAnsi="宋体" w:eastAsia="宋体" w:cs="宋体"/>
                <w:color w:val="auto"/>
                <w:spacing w:val="-2"/>
              </w:rPr>
              <w:t>建设实施有意见，反应</w:t>
            </w:r>
          </w:p>
          <w:p>
            <w:pPr>
              <w:spacing w:before="270" w:line="184" w:lineRule="auto"/>
              <w:ind w:firstLine="118"/>
              <w:rPr>
                <w:rFonts w:ascii="宋体" w:hAnsi="宋体" w:eastAsia="宋体" w:cs="宋体"/>
                <w:color w:val="auto"/>
              </w:rPr>
            </w:pPr>
            <w:r>
              <w:rPr>
                <w:rFonts w:ascii="宋体" w:hAnsi="宋体" w:eastAsia="宋体" w:cs="宋体"/>
                <w:color w:val="auto"/>
                <w:spacing w:val="-2"/>
              </w:rPr>
              <w:t>强烈，可能引发矛盾冲</w:t>
            </w:r>
          </w:p>
          <w:p>
            <w:pPr>
              <w:spacing w:before="270" w:line="184" w:lineRule="auto"/>
              <w:ind w:firstLine="1064"/>
              <w:rPr>
                <w:rFonts w:ascii="宋体" w:hAnsi="宋体" w:eastAsia="宋体" w:cs="宋体"/>
                <w:color w:val="auto"/>
              </w:rPr>
            </w:pPr>
            <w:r>
              <w:rPr>
                <w:rFonts w:ascii="宋体" w:hAnsi="宋体" w:eastAsia="宋体" w:cs="宋体"/>
                <w:color w:val="auto"/>
              </w:rPr>
              <w:t>突</w:t>
            </w:r>
          </w:p>
        </w:tc>
        <w:tc>
          <w:tcPr>
            <w:tcW w:w="1942" w:type="dxa"/>
          </w:tcPr>
          <w:p>
            <w:pPr>
              <w:spacing w:before="204" w:line="184" w:lineRule="auto"/>
              <w:ind w:firstLine="252"/>
              <w:rPr>
                <w:rFonts w:ascii="宋体" w:hAnsi="宋体" w:eastAsia="宋体" w:cs="宋体"/>
                <w:color w:val="auto"/>
              </w:rPr>
            </w:pPr>
            <w:r>
              <w:rPr>
                <w:rFonts w:ascii="宋体" w:hAnsi="宋体" w:eastAsia="宋体" w:cs="宋体"/>
                <w:color w:val="auto"/>
                <w:spacing w:val="-3"/>
              </w:rPr>
              <w:t>多数群众理解支</w:t>
            </w:r>
          </w:p>
          <w:p>
            <w:pPr>
              <w:spacing w:before="270" w:line="184" w:lineRule="auto"/>
              <w:ind w:firstLine="139"/>
              <w:rPr>
                <w:rFonts w:ascii="宋体" w:hAnsi="宋体" w:eastAsia="宋体" w:cs="宋体"/>
                <w:color w:val="auto"/>
              </w:rPr>
            </w:pPr>
            <w:r>
              <w:rPr>
                <w:rFonts w:ascii="宋体" w:hAnsi="宋体" w:eastAsia="宋体" w:cs="宋体"/>
                <w:color w:val="auto"/>
                <w:spacing w:val="-2"/>
              </w:rPr>
              <w:t>持，但少部分群众</w:t>
            </w:r>
          </w:p>
          <w:p>
            <w:pPr>
              <w:spacing w:before="270" w:line="184" w:lineRule="auto"/>
              <w:ind w:firstLine="135"/>
              <w:rPr>
                <w:rFonts w:ascii="宋体" w:hAnsi="宋体" w:eastAsia="宋体" w:cs="宋体"/>
                <w:color w:val="auto"/>
              </w:rPr>
            </w:pPr>
            <w:r>
              <w:rPr>
                <w:rFonts w:ascii="宋体" w:hAnsi="宋体" w:eastAsia="宋体" w:cs="宋体"/>
                <w:color w:val="auto"/>
                <w:spacing w:val="-1"/>
              </w:rPr>
              <w:t>对</w:t>
            </w:r>
            <w:r>
              <w:rPr>
                <w:rFonts w:hint="eastAsia" w:ascii="宋体" w:hAnsi="宋体" w:eastAsia="宋体" w:cs="宋体"/>
                <w:color w:val="auto"/>
                <w:spacing w:val="-1"/>
              </w:rPr>
              <w:t>土地征收</w:t>
            </w:r>
            <w:r>
              <w:rPr>
                <w:rFonts w:ascii="宋体" w:hAnsi="宋体" w:eastAsia="宋体" w:cs="宋体"/>
                <w:color w:val="auto"/>
                <w:spacing w:val="-1"/>
              </w:rPr>
              <w:t>建设实</w:t>
            </w:r>
          </w:p>
          <w:p>
            <w:pPr>
              <w:spacing w:before="270" w:line="184" w:lineRule="auto"/>
              <w:ind w:firstLine="555"/>
              <w:rPr>
                <w:rFonts w:ascii="宋体" w:hAnsi="宋体" w:eastAsia="宋体" w:cs="宋体"/>
                <w:color w:val="auto"/>
              </w:rPr>
            </w:pPr>
            <w:r>
              <w:rPr>
                <w:rFonts w:ascii="宋体" w:hAnsi="宋体" w:eastAsia="宋体" w:cs="宋体"/>
                <w:color w:val="auto"/>
                <w:spacing w:val="-3"/>
              </w:rPr>
              <w:t>施有意见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1" w:hRule="atLeast"/>
        </w:trPr>
        <w:tc>
          <w:tcPr>
            <w:tcW w:w="1385" w:type="dxa"/>
          </w:tcPr>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line="241" w:lineRule="auto"/>
              <w:rPr>
                <w:rFonts w:ascii="宋体"/>
                <w:color w:val="auto"/>
              </w:rPr>
            </w:pPr>
          </w:p>
          <w:p>
            <w:pPr>
              <w:spacing w:before="68" w:line="422" w:lineRule="auto"/>
              <w:ind w:left="55" w:right="74" w:firstLine="1"/>
              <w:rPr>
                <w:rFonts w:ascii="宋体" w:hAnsi="宋体" w:eastAsia="宋体" w:cs="宋体"/>
                <w:color w:val="auto"/>
              </w:rPr>
            </w:pPr>
            <w:r>
              <w:rPr>
                <w:rFonts w:ascii="宋体" w:hAnsi="宋体" w:eastAsia="宋体" w:cs="宋体"/>
                <w:color w:val="auto"/>
                <w:spacing w:val="-3"/>
              </w:rPr>
              <w:t>可能引发风险</w:t>
            </w:r>
            <w:r>
              <w:rPr>
                <w:rFonts w:ascii="宋体" w:hAnsi="宋体" w:eastAsia="宋体" w:cs="宋体"/>
                <w:color w:val="auto"/>
                <w:spacing w:val="5"/>
              </w:rPr>
              <w:t xml:space="preserve"> </w:t>
            </w:r>
            <w:r>
              <w:rPr>
                <w:rFonts w:ascii="宋体" w:hAnsi="宋体" w:eastAsia="宋体" w:cs="宋体"/>
                <w:color w:val="auto"/>
                <w:spacing w:val="-2"/>
              </w:rPr>
              <w:t>事件评判标准</w:t>
            </w:r>
          </w:p>
        </w:tc>
        <w:tc>
          <w:tcPr>
            <w:tcW w:w="2889" w:type="dxa"/>
          </w:tcPr>
          <w:p>
            <w:pPr>
              <w:spacing w:before="204" w:line="184" w:lineRule="auto"/>
              <w:ind w:firstLine="114"/>
              <w:rPr>
                <w:rFonts w:ascii="宋体" w:hAnsi="宋体" w:eastAsia="宋体" w:cs="宋体"/>
                <w:color w:val="auto"/>
              </w:rPr>
            </w:pPr>
            <w:r>
              <w:rPr>
                <w:rFonts w:ascii="宋体" w:hAnsi="宋体" w:eastAsia="宋体" w:cs="宋体"/>
                <w:color w:val="auto"/>
                <w:spacing w:val="-6"/>
              </w:rPr>
              <w:t>如冲击、围攻党政机关、要害</w:t>
            </w:r>
          </w:p>
          <w:p>
            <w:pPr>
              <w:spacing w:before="270" w:line="184" w:lineRule="auto"/>
              <w:ind w:firstLine="113"/>
              <w:rPr>
                <w:rFonts w:ascii="宋体" w:hAnsi="宋体" w:eastAsia="宋体" w:cs="宋体"/>
                <w:color w:val="auto"/>
              </w:rPr>
            </w:pPr>
            <w:r>
              <w:rPr>
                <w:rFonts w:ascii="宋体" w:hAnsi="宋体" w:eastAsia="宋体" w:cs="宋体"/>
                <w:color w:val="auto"/>
                <w:spacing w:val="-13"/>
              </w:rPr>
              <w:t>部门及重点地区、部位、场所、</w:t>
            </w:r>
          </w:p>
          <w:p>
            <w:pPr>
              <w:spacing w:before="270" w:line="184" w:lineRule="auto"/>
              <w:ind w:firstLine="114"/>
              <w:rPr>
                <w:rFonts w:ascii="宋体" w:hAnsi="宋体" w:eastAsia="宋体" w:cs="宋体"/>
                <w:color w:val="auto"/>
              </w:rPr>
            </w:pPr>
            <w:r>
              <w:rPr>
                <w:rFonts w:ascii="宋体" w:hAnsi="宋体" w:eastAsia="宋体" w:cs="宋体"/>
                <w:color w:val="auto"/>
                <w:spacing w:val="-4"/>
              </w:rPr>
              <w:t>发生打砸抢烧等集体械斗、聚</w:t>
            </w:r>
          </w:p>
          <w:p>
            <w:pPr>
              <w:spacing w:before="270" w:line="184" w:lineRule="auto"/>
              <w:ind w:firstLine="111"/>
              <w:rPr>
                <w:rFonts w:ascii="宋体" w:hAnsi="宋体" w:eastAsia="宋体" w:cs="宋体"/>
                <w:color w:val="auto"/>
              </w:rPr>
            </w:pPr>
            <w:r>
              <w:rPr>
                <w:rFonts w:ascii="宋体" w:hAnsi="宋体" w:eastAsia="宋体" w:cs="宋体"/>
                <w:color w:val="auto"/>
                <w:spacing w:val="-5"/>
              </w:rPr>
              <w:t>众闹事、人员伤亡事件，非法</w:t>
            </w:r>
          </w:p>
          <w:p>
            <w:pPr>
              <w:spacing w:before="271" w:line="184" w:lineRule="auto"/>
              <w:ind w:firstLine="110"/>
              <w:rPr>
                <w:rFonts w:ascii="宋体" w:hAnsi="宋体" w:eastAsia="宋体" w:cs="宋体"/>
                <w:color w:val="auto"/>
              </w:rPr>
            </w:pPr>
            <w:r>
              <w:rPr>
                <w:rFonts w:ascii="宋体" w:hAnsi="宋体" w:eastAsia="宋体" w:cs="宋体"/>
                <w:color w:val="auto"/>
                <w:spacing w:val="-4"/>
              </w:rPr>
              <w:t>集会、示威、游行、罢工、罢</w:t>
            </w:r>
          </w:p>
          <w:p>
            <w:pPr>
              <w:spacing w:before="271" w:line="184" w:lineRule="auto"/>
              <w:ind w:firstLine="930"/>
              <w:rPr>
                <w:rFonts w:ascii="宋体" w:hAnsi="宋体" w:eastAsia="宋体" w:cs="宋体"/>
                <w:color w:val="auto"/>
              </w:rPr>
            </w:pPr>
            <w:r>
              <w:rPr>
                <w:rFonts w:ascii="宋体" w:hAnsi="宋体" w:eastAsia="宋体" w:cs="宋体"/>
                <w:color w:val="auto"/>
                <w:spacing w:val="-3"/>
              </w:rPr>
              <w:t>市、罢课等</w:t>
            </w:r>
          </w:p>
        </w:tc>
        <w:tc>
          <w:tcPr>
            <w:tcW w:w="2310" w:type="dxa"/>
          </w:tcPr>
          <w:p>
            <w:pPr>
              <w:spacing w:before="204" w:line="184" w:lineRule="auto"/>
              <w:ind w:firstLine="220"/>
              <w:rPr>
                <w:rFonts w:ascii="宋体" w:hAnsi="宋体" w:eastAsia="宋体" w:cs="宋体"/>
                <w:color w:val="auto"/>
              </w:rPr>
            </w:pPr>
            <w:r>
              <w:rPr>
                <w:rFonts w:ascii="宋体" w:hAnsi="宋体" w:eastAsia="宋体" w:cs="宋体"/>
                <w:color w:val="auto"/>
                <w:spacing w:val="-1"/>
              </w:rPr>
              <w:t>如较多集体上访、请</w:t>
            </w:r>
          </w:p>
          <w:p>
            <w:pPr>
              <w:spacing w:before="270" w:line="184" w:lineRule="auto"/>
              <w:ind w:firstLine="218"/>
              <w:rPr>
                <w:rFonts w:ascii="宋体" w:hAnsi="宋体" w:eastAsia="宋体" w:cs="宋体"/>
                <w:color w:val="auto"/>
              </w:rPr>
            </w:pPr>
            <w:r>
              <w:rPr>
                <w:rFonts w:ascii="宋体" w:hAnsi="宋体" w:eastAsia="宋体" w:cs="宋体"/>
                <w:color w:val="auto"/>
                <w:spacing w:val="-2"/>
              </w:rPr>
              <w:t>愿、发生极端个人事</w:t>
            </w:r>
          </w:p>
          <w:p>
            <w:pPr>
              <w:spacing w:before="270" w:line="184" w:lineRule="auto"/>
              <w:ind w:firstLine="113"/>
              <w:rPr>
                <w:rFonts w:ascii="宋体" w:hAnsi="宋体" w:eastAsia="宋体" w:cs="宋体"/>
                <w:color w:val="auto"/>
              </w:rPr>
            </w:pPr>
            <w:r>
              <w:rPr>
                <w:rFonts w:ascii="宋体" w:hAnsi="宋体" w:eastAsia="宋体" w:cs="宋体"/>
                <w:color w:val="auto"/>
                <w:spacing w:val="-1"/>
              </w:rPr>
              <w:t>件、围堵施工现场、堵</w:t>
            </w:r>
          </w:p>
          <w:p>
            <w:pPr>
              <w:spacing w:before="270" w:line="184" w:lineRule="auto"/>
              <w:ind w:firstLine="114"/>
              <w:rPr>
                <w:rFonts w:ascii="宋体" w:hAnsi="宋体" w:eastAsia="宋体" w:cs="宋体"/>
                <w:color w:val="auto"/>
              </w:rPr>
            </w:pPr>
            <w:r>
              <w:rPr>
                <w:rFonts w:ascii="宋体" w:hAnsi="宋体" w:eastAsia="宋体" w:cs="宋体"/>
                <w:color w:val="auto"/>
                <w:spacing w:val="-2"/>
              </w:rPr>
              <w:t>塞阻断交通，媒体（网</w:t>
            </w:r>
          </w:p>
          <w:p>
            <w:pPr>
              <w:spacing w:before="271" w:line="184" w:lineRule="auto"/>
              <w:ind w:firstLine="114"/>
              <w:rPr>
                <w:rFonts w:ascii="宋体" w:hAnsi="宋体" w:eastAsia="宋体" w:cs="宋体"/>
                <w:color w:val="auto"/>
              </w:rPr>
            </w:pPr>
            <w:r>
              <w:rPr>
                <w:rFonts w:ascii="宋体" w:hAnsi="宋体" w:eastAsia="宋体" w:cs="宋体"/>
                <w:color w:val="auto"/>
                <w:spacing w:val="-15"/>
              </w:rPr>
              <w:t>络）</w:t>
            </w:r>
            <w:r>
              <w:rPr>
                <w:rFonts w:ascii="宋体" w:hAnsi="宋体" w:eastAsia="宋体" w:cs="宋体"/>
                <w:color w:val="auto"/>
                <w:spacing w:val="30"/>
              </w:rPr>
              <w:t xml:space="preserve"> </w:t>
            </w:r>
            <w:r>
              <w:rPr>
                <w:rFonts w:ascii="宋体" w:hAnsi="宋体" w:eastAsia="宋体" w:cs="宋体"/>
                <w:color w:val="auto"/>
                <w:spacing w:val="-15"/>
              </w:rPr>
              <w:t>出现较严重负面舆</w:t>
            </w:r>
          </w:p>
          <w:p>
            <w:pPr>
              <w:spacing w:before="271" w:line="184" w:lineRule="auto"/>
              <w:ind w:firstLine="952"/>
              <w:rPr>
                <w:rFonts w:ascii="宋体" w:hAnsi="宋体" w:eastAsia="宋体" w:cs="宋体"/>
                <w:color w:val="auto"/>
              </w:rPr>
            </w:pPr>
            <w:r>
              <w:rPr>
                <w:rFonts w:ascii="宋体" w:hAnsi="宋体" w:eastAsia="宋体" w:cs="宋体"/>
                <w:color w:val="auto"/>
                <w:spacing w:val="-5"/>
              </w:rPr>
              <w:t>情等</w:t>
            </w:r>
          </w:p>
        </w:tc>
        <w:tc>
          <w:tcPr>
            <w:tcW w:w="1942" w:type="dxa"/>
          </w:tcPr>
          <w:p>
            <w:pPr>
              <w:spacing w:line="330" w:lineRule="auto"/>
              <w:rPr>
                <w:rFonts w:ascii="宋体"/>
                <w:color w:val="auto"/>
              </w:rPr>
            </w:pPr>
          </w:p>
          <w:p>
            <w:pPr>
              <w:spacing w:before="69" w:line="184" w:lineRule="auto"/>
              <w:ind w:firstLine="140"/>
              <w:rPr>
                <w:rFonts w:ascii="宋体" w:hAnsi="宋体" w:eastAsia="宋体" w:cs="宋体"/>
                <w:color w:val="auto"/>
              </w:rPr>
            </w:pPr>
            <w:r>
              <w:rPr>
                <w:rFonts w:ascii="宋体" w:hAnsi="宋体" w:eastAsia="宋体" w:cs="宋体"/>
                <w:color w:val="auto"/>
                <w:spacing w:val="-2"/>
              </w:rPr>
              <w:t>如少数人非正常上</w:t>
            </w:r>
          </w:p>
          <w:p>
            <w:pPr>
              <w:spacing w:before="270" w:line="184" w:lineRule="auto"/>
              <w:ind w:firstLine="113"/>
              <w:rPr>
                <w:rFonts w:ascii="宋体" w:hAnsi="宋体" w:eastAsia="宋体" w:cs="宋体"/>
                <w:color w:val="auto"/>
              </w:rPr>
            </w:pPr>
            <w:r>
              <w:rPr>
                <w:rFonts w:ascii="宋体" w:hAnsi="宋体" w:eastAsia="宋体" w:cs="宋体"/>
                <w:color w:val="auto"/>
                <w:spacing w:val="-8"/>
              </w:rPr>
              <w:t>访、静坐、拉横幅、</w:t>
            </w:r>
          </w:p>
          <w:p>
            <w:pPr>
              <w:spacing w:before="270" w:line="184" w:lineRule="auto"/>
              <w:ind w:firstLine="147"/>
              <w:rPr>
                <w:rFonts w:ascii="宋体" w:hAnsi="宋体" w:eastAsia="宋体" w:cs="宋体"/>
                <w:color w:val="auto"/>
              </w:rPr>
            </w:pPr>
            <w:r>
              <w:rPr>
                <w:rFonts w:ascii="宋体" w:hAnsi="宋体" w:eastAsia="宋体" w:cs="宋体"/>
                <w:color w:val="auto"/>
                <w:spacing w:val="-3"/>
              </w:rPr>
              <w:t>喊口号、散发宣传</w:t>
            </w:r>
          </w:p>
          <w:p>
            <w:pPr>
              <w:spacing w:before="270" w:line="184" w:lineRule="auto"/>
              <w:ind w:firstLine="153"/>
              <w:rPr>
                <w:rFonts w:ascii="宋体" w:hAnsi="宋体" w:eastAsia="宋体" w:cs="宋体"/>
                <w:color w:val="auto"/>
              </w:rPr>
            </w:pPr>
            <w:r>
              <w:rPr>
                <w:rFonts w:ascii="宋体" w:hAnsi="宋体" w:eastAsia="宋体" w:cs="宋体"/>
                <w:color w:val="auto"/>
                <w:spacing w:val="-4"/>
              </w:rPr>
              <w:t>品、散布有害信息</w:t>
            </w:r>
          </w:p>
          <w:p>
            <w:pPr>
              <w:spacing w:before="271" w:line="184" w:lineRule="auto"/>
              <w:ind w:firstLine="872"/>
              <w:rPr>
                <w:rFonts w:ascii="宋体" w:hAnsi="宋体" w:eastAsia="宋体" w:cs="宋体"/>
                <w:color w:val="auto"/>
              </w:rPr>
            </w:pPr>
            <w:r>
              <w:rPr>
                <w:rFonts w:ascii="宋体" w:hAnsi="宋体" w:eastAsia="宋体" w:cs="宋体"/>
                <w:color w:val="auto"/>
              </w:rPr>
              <w:t>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1385" w:type="dxa"/>
          </w:tcPr>
          <w:p>
            <w:pPr>
              <w:spacing w:before="33" w:line="184" w:lineRule="auto"/>
              <w:ind w:firstLine="174"/>
              <w:rPr>
                <w:rFonts w:ascii="宋体" w:hAnsi="宋体" w:eastAsia="宋体" w:cs="宋体"/>
                <w:color w:val="auto"/>
              </w:rPr>
            </w:pPr>
            <w:r>
              <w:rPr>
                <w:rFonts w:ascii="宋体" w:hAnsi="宋体" w:eastAsia="宋体" w:cs="宋体"/>
                <w:color w:val="auto"/>
                <w:spacing w:val="-3"/>
              </w:rPr>
              <w:t>风险事件参</w:t>
            </w:r>
          </w:p>
          <w:p>
            <w:pPr>
              <w:spacing w:before="61" w:line="184" w:lineRule="auto"/>
              <w:ind w:firstLine="177"/>
              <w:rPr>
                <w:rFonts w:ascii="宋体" w:hAnsi="宋体" w:eastAsia="宋体" w:cs="宋体"/>
                <w:color w:val="auto"/>
              </w:rPr>
            </w:pPr>
            <w:r>
              <w:rPr>
                <w:rFonts w:ascii="宋体" w:hAnsi="宋体" w:eastAsia="宋体" w:cs="宋体"/>
                <w:color w:val="auto"/>
                <w:spacing w:val="-3"/>
              </w:rPr>
              <w:t>与人数评判</w:t>
            </w:r>
          </w:p>
          <w:p>
            <w:pPr>
              <w:spacing w:before="64" w:line="184" w:lineRule="auto"/>
              <w:ind w:firstLine="488"/>
              <w:rPr>
                <w:rFonts w:ascii="宋体" w:hAnsi="宋体" w:eastAsia="宋体" w:cs="宋体"/>
                <w:color w:val="auto"/>
              </w:rPr>
            </w:pPr>
            <w:r>
              <w:rPr>
                <w:rFonts w:ascii="宋体" w:hAnsi="宋体" w:eastAsia="宋体" w:cs="宋体"/>
                <w:color w:val="auto"/>
                <w:spacing w:val="-5"/>
              </w:rPr>
              <w:t>标准</w:t>
            </w:r>
          </w:p>
        </w:tc>
        <w:tc>
          <w:tcPr>
            <w:tcW w:w="2889" w:type="dxa"/>
          </w:tcPr>
          <w:p>
            <w:pPr>
              <w:spacing w:before="304" w:line="184" w:lineRule="auto"/>
              <w:ind w:firstLine="973"/>
              <w:rPr>
                <w:rFonts w:ascii="宋体" w:hAnsi="宋体" w:eastAsia="宋体" w:cs="宋体"/>
                <w:color w:val="auto"/>
              </w:rPr>
            </w:pPr>
            <w:r>
              <w:rPr>
                <w:rFonts w:ascii="Times New Roman" w:hAnsi="Times New Roman" w:eastAsia="Times New Roman" w:cs="Times New Roman"/>
                <w:color w:val="auto"/>
                <w:spacing w:val="-2"/>
              </w:rPr>
              <w:t>200</w:t>
            </w:r>
            <w:r>
              <w:rPr>
                <w:rFonts w:ascii="宋体" w:hAnsi="宋体" w:eastAsia="宋体" w:cs="宋体"/>
                <w:color w:val="auto"/>
                <w:spacing w:val="-2"/>
              </w:rPr>
              <w:t>人以上</w:t>
            </w:r>
          </w:p>
        </w:tc>
        <w:tc>
          <w:tcPr>
            <w:tcW w:w="2310" w:type="dxa"/>
          </w:tcPr>
          <w:p>
            <w:pPr>
              <w:spacing w:before="304" w:line="184" w:lineRule="auto"/>
              <w:ind w:firstLine="686"/>
              <w:rPr>
                <w:rFonts w:ascii="宋体" w:hAnsi="宋体" w:eastAsia="宋体" w:cs="宋体"/>
                <w:color w:val="auto"/>
              </w:rPr>
            </w:pPr>
            <w:r>
              <w:rPr>
                <w:rFonts w:ascii="Times New Roman" w:hAnsi="Times New Roman" w:eastAsia="Times New Roman" w:cs="Times New Roman"/>
                <w:color w:val="auto"/>
                <w:spacing w:val="-1"/>
              </w:rPr>
              <w:t>20</w:t>
            </w:r>
            <w:r>
              <w:rPr>
                <w:rFonts w:ascii="宋体" w:hAnsi="宋体" w:eastAsia="宋体" w:cs="宋体"/>
                <w:color w:val="auto"/>
                <w:spacing w:val="-1"/>
              </w:rPr>
              <w:t>至</w:t>
            </w:r>
            <w:r>
              <w:rPr>
                <w:rFonts w:ascii="Times New Roman" w:hAnsi="Times New Roman" w:eastAsia="Times New Roman" w:cs="Times New Roman"/>
                <w:color w:val="auto"/>
                <w:spacing w:val="-1"/>
              </w:rPr>
              <w:t>200</w:t>
            </w:r>
            <w:r>
              <w:rPr>
                <w:rFonts w:ascii="宋体" w:hAnsi="宋体" w:eastAsia="宋体" w:cs="宋体"/>
                <w:color w:val="auto"/>
                <w:spacing w:val="-1"/>
              </w:rPr>
              <w:t>人</w:t>
            </w:r>
          </w:p>
        </w:tc>
        <w:tc>
          <w:tcPr>
            <w:tcW w:w="1942" w:type="dxa"/>
          </w:tcPr>
          <w:p>
            <w:pPr>
              <w:spacing w:before="304" w:line="184" w:lineRule="auto"/>
              <w:ind w:firstLine="552"/>
              <w:rPr>
                <w:rFonts w:ascii="宋体" w:hAnsi="宋体" w:eastAsia="宋体" w:cs="宋体"/>
                <w:color w:val="auto"/>
              </w:rPr>
            </w:pPr>
            <w:r>
              <w:rPr>
                <w:rFonts w:ascii="Times New Roman" w:hAnsi="Times New Roman" w:eastAsia="Times New Roman" w:cs="Times New Roman"/>
                <w:color w:val="auto"/>
                <w:spacing w:val="-1"/>
              </w:rPr>
              <w:t>20</w:t>
            </w:r>
            <w:r>
              <w:rPr>
                <w:rFonts w:ascii="宋体" w:hAnsi="宋体" w:eastAsia="宋体" w:cs="宋体"/>
                <w:color w:val="auto"/>
                <w:spacing w:val="-1"/>
              </w:rPr>
              <w:t>人以下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385" w:type="dxa"/>
          </w:tcPr>
          <w:p>
            <w:pPr>
              <w:spacing w:before="208"/>
              <w:ind w:firstLine="57"/>
              <w:rPr>
                <w:rFonts w:ascii="宋体" w:hAnsi="宋体" w:eastAsia="宋体" w:cs="宋体"/>
                <w:color w:val="auto"/>
              </w:rPr>
            </w:pPr>
            <w:r>
              <w:rPr>
                <w:rFonts w:ascii="宋体" w:hAnsi="宋体" w:eastAsia="宋体" w:cs="宋体"/>
                <w:color w:val="auto"/>
                <w:spacing w:val="-2"/>
                <w:position w:val="20"/>
              </w:rPr>
              <w:t>单因素风险程</w:t>
            </w:r>
          </w:p>
          <w:p>
            <w:pPr>
              <w:ind w:firstLine="160"/>
              <w:rPr>
                <w:rFonts w:ascii="宋体" w:hAnsi="宋体" w:eastAsia="宋体" w:cs="宋体"/>
                <w:color w:val="auto"/>
              </w:rPr>
            </w:pPr>
            <w:r>
              <w:rPr>
                <w:rFonts w:ascii="宋体" w:hAnsi="宋体" w:eastAsia="宋体" w:cs="宋体"/>
                <w:color w:val="auto"/>
                <w:spacing w:val="-2"/>
              </w:rPr>
              <w:t>度评判标准</w:t>
            </w:r>
          </w:p>
        </w:tc>
        <w:tc>
          <w:tcPr>
            <w:tcW w:w="2889" w:type="dxa"/>
          </w:tcPr>
          <w:p>
            <w:pPr>
              <w:spacing w:before="208"/>
              <w:ind w:firstLine="183"/>
              <w:rPr>
                <w:rFonts w:ascii="宋体" w:hAnsi="宋体" w:eastAsia="宋体" w:cs="宋体"/>
                <w:color w:val="auto"/>
              </w:rPr>
            </w:pPr>
            <w:r>
              <w:rPr>
                <w:rFonts w:hint="eastAsia" w:ascii="宋体" w:hAnsi="宋体" w:eastAsia="宋体" w:cs="宋体"/>
                <w:color w:val="auto"/>
                <w:spacing w:val="-1"/>
                <w:position w:val="20"/>
              </w:rPr>
              <w:t>2个及以上重大或5个及以上</w:t>
            </w:r>
          </w:p>
          <w:p>
            <w:pPr>
              <w:ind w:firstLine="713"/>
              <w:rPr>
                <w:rFonts w:ascii="宋体" w:hAnsi="宋体" w:eastAsia="宋体" w:cs="宋体"/>
                <w:color w:val="auto"/>
              </w:rPr>
            </w:pPr>
            <w:r>
              <w:rPr>
                <w:rFonts w:hint="eastAsia" w:ascii="宋体" w:hAnsi="宋体" w:eastAsia="宋体" w:cs="宋体"/>
                <w:color w:val="auto"/>
                <w:spacing w:val="-2"/>
              </w:rPr>
              <w:t>较大单因素风险</w:t>
            </w:r>
          </w:p>
        </w:tc>
        <w:tc>
          <w:tcPr>
            <w:tcW w:w="2310" w:type="dxa"/>
          </w:tcPr>
          <w:p>
            <w:pPr>
              <w:spacing w:before="208"/>
              <w:ind w:left="648" w:leftChars="100" w:hanging="438" w:hangingChars="211"/>
              <w:rPr>
                <w:rFonts w:ascii="宋体" w:hAnsi="宋体" w:eastAsia="宋体" w:cs="宋体"/>
                <w:color w:val="auto"/>
              </w:rPr>
            </w:pPr>
            <w:r>
              <w:rPr>
                <w:rFonts w:hint="eastAsia" w:ascii="宋体" w:hAnsi="宋体" w:eastAsia="宋体" w:cs="宋体"/>
                <w:color w:val="auto"/>
                <w:spacing w:val="-1"/>
                <w:position w:val="20"/>
              </w:rPr>
              <w:t>1个重大或2到4个较大单因素风险</w:t>
            </w:r>
          </w:p>
        </w:tc>
        <w:tc>
          <w:tcPr>
            <w:tcW w:w="1942" w:type="dxa"/>
          </w:tcPr>
          <w:p>
            <w:pPr>
              <w:spacing w:before="208"/>
              <w:ind w:firstLine="183"/>
              <w:jc w:val="center"/>
              <w:rPr>
                <w:rFonts w:ascii="宋体" w:hAnsi="宋体" w:eastAsia="宋体" w:cs="宋体"/>
                <w:color w:val="auto"/>
              </w:rPr>
            </w:pPr>
            <w:r>
              <w:rPr>
                <w:rFonts w:hint="eastAsia" w:ascii="宋体" w:hAnsi="宋体" w:eastAsia="宋体" w:cs="宋体"/>
                <w:color w:val="auto"/>
                <w:spacing w:val="-1"/>
                <w:position w:val="20"/>
              </w:rPr>
              <w:t>1个较大或1到4个 一般单因素风险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385" w:type="dxa"/>
          </w:tcPr>
          <w:p>
            <w:pPr>
              <w:spacing w:before="208"/>
              <w:ind w:firstLine="57"/>
              <w:jc w:val="center"/>
              <w:rPr>
                <w:rFonts w:ascii="宋体" w:hAnsi="宋体" w:eastAsia="宋体" w:cs="宋体"/>
                <w:color w:val="auto"/>
              </w:rPr>
            </w:pPr>
            <w:r>
              <w:rPr>
                <w:rFonts w:ascii="宋体" w:hAnsi="宋体" w:eastAsia="宋体" w:cs="宋体"/>
                <w:color w:val="auto"/>
                <w:spacing w:val="-2"/>
                <w:position w:val="20"/>
              </w:rPr>
              <w:t>综合风险指数评判标准</w:t>
            </w:r>
          </w:p>
        </w:tc>
        <w:tc>
          <w:tcPr>
            <w:tcW w:w="2889" w:type="dxa"/>
          </w:tcPr>
          <w:p>
            <w:pPr>
              <w:spacing w:line="308" w:lineRule="auto"/>
              <w:rPr>
                <w:rFonts w:ascii="宋体"/>
                <w:color w:val="auto"/>
              </w:rPr>
            </w:pPr>
          </w:p>
          <w:p>
            <w:pPr>
              <w:spacing w:before="61" w:line="281" w:lineRule="exact"/>
              <w:ind w:firstLine="1203"/>
              <w:rPr>
                <w:rFonts w:ascii="Times New Roman" w:hAnsi="Times New Roman" w:eastAsia="Times New Roman" w:cs="Times New Roman"/>
                <w:color w:val="auto"/>
              </w:rPr>
            </w:pPr>
            <w:r>
              <w:rPr>
                <w:rFonts w:ascii="Times New Roman" w:hAnsi="Times New Roman" w:eastAsia="Times New Roman" w:cs="Times New Roman"/>
                <w:color w:val="auto"/>
                <w:spacing w:val="-1"/>
              </w:rPr>
              <w:t>&gt;0.64</w:t>
            </w:r>
          </w:p>
        </w:tc>
        <w:tc>
          <w:tcPr>
            <w:tcW w:w="2310" w:type="dxa"/>
          </w:tcPr>
          <w:p>
            <w:pPr>
              <w:spacing w:line="374" w:lineRule="auto"/>
              <w:rPr>
                <w:rFonts w:ascii="宋体"/>
                <w:color w:val="auto"/>
              </w:rPr>
            </w:pPr>
          </w:p>
          <w:p>
            <w:pPr>
              <w:spacing w:before="60" w:line="180" w:lineRule="auto"/>
              <w:ind w:firstLine="737"/>
              <w:rPr>
                <w:rFonts w:ascii="Times New Roman" w:hAnsi="Times New Roman" w:eastAsia="Times New Roman" w:cs="Times New Roman"/>
                <w:color w:val="auto"/>
              </w:rPr>
            </w:pPr>
            <w:r>
              <w:rPr>
                <w:rFonts w:ascii="Times New Roman" w:hAnsi="Times New Roman" w:eastAsia="Times New Roman" w:cs="Times New Roman"/>
                <w:color w:val="auto"/>
                <w:spacing w:val="-1"/>
              </w:rPr>
              <w:t>0.36~0.64</w:t>
            </w:r>
          </w:p>
        </w:tc>
        <w:tc>
          <w:tcPr>
            <w:tcW w:w="1942" w:type="dxa"/>
          </w:tcPr>
          <w:p>
            <w:pPr>
              <w:spacing w:line="308" w:lineRule="auto"/>
              <w:rPr>
                <w:rFonts w:ascii="宋体"/>
                <w:color w:val="auto"/>
              </w:rPr>
            </w:pPr>
          </w:p>
          <w:p>
            <w:pPr>
              <w:spacing w:before="61" w:line="281" w:lineRule="exact"/>
              <w:ind w:firstLine="729"/>
              <w:rPr>
                <w:rFonts w:ascii="Times New Roman" w:hAnsi="Times New Roman" w:eastAsia="Times New Roman" w:cs="Times New Roman"/>
                <w:color w:val="auto"/>
              </w:rPr>
            </w:pPr>
            <w:r>
              <w:rPr>
                <w:rFonts w:ascii="Times New Roman" w:hAnsi="Times New Roman" w:eastAsia="Times New Roman" w:cs="Times New Roman"/>
                <w:color w:val="auto"/>
                <w:spacing w:val="-1"/>
              </w:rPr>
              <w:t>&lt;0.36</w:t>
            </w:r>
          </w:p>
        </w:tc>
      </w:tr>
    </w:tbl>
    <w:p>
      <w:pPr>
        <w:pStyle w:val="2"/>
        <w:ind w:firstLine="600" w:firstLineChars="200"/>
        <w:rPr>
          <w:rFonts w:ascii="仿宋" w:hAnsi="仿宋" w:eastAsia="仿宋" w:cs="仿宋"/>
          <w:color w:val="auto"/>
          <w:sz w:val="30"/>
          <w:szCs w:val="30"/>
        </w:rPr>
        <w:sectPr>
          <w:headerReference r:id="rId4" w:type="default"/>
          <w:footerReference r:id="rId5" w:type="default"/>
          <w:pgSz w:w="11905" w:h="16838"/>
          <w:pgMar w:top="1440" w:right="1803" w:bottom="1440" w:left="1803" w:header="884" w:footer="1009" w:gutter="0"/>
          <w:cols w:space="720" w:num="1"/>
          <w:docGrid w:linePitch="1" w:charSpace="0"/>
        </w:sectPr>
      </w:pPr>
    </w:p>
    <w:p>
      <w:pPr>
        <w:spacing w:line="86" w:lineRule="exact"/>
        <w:rPr>
          <w:color w:val="auto"/>
        </w:rPr>
      </w:pPr>
    </w:p>
    <w:p>
      <w:pPr>
        <w:pStyle w:val="4"/>
        <w:spacing w:line="560" w:lineRule="exact"/>
        <w:ind w:firstLine="643" w:firstLineChars="200"/>
        <w:rPr>
          <w:rFonts w:ascii="宋体" w:hAnsi="宋体" w:eastAsia="宋体" w:cs="宋体"/>
          <w:color w:val="auto"/>
          <w:szCs w:val="32"/>
        </w:rPr>
      </w:pPr>
      <w:bookmarkStart w:id="24" w:name="_bookmark4"/>
      <w:bookmarkEnd w:id="24"/>
      <w:bookmarkStart w:id="25" w:name="_Toc19872"/>
      <w:r>
        <w:rPr>
          <w:rFonts w:hint="eastAsia" w:ascii="宋体" w:hAnsi="宋体" w:eastAsia="宋体" w:cs="宋体"/>
          <w:color w:val="auto"/>
          <w:szCs w:val="32"/>
        </w:rPr>
        <w:t>(三</w:t>
      </w:r>
      <w:r>
        <w:rPr>
          <w:rFonts w:ascii="宋体" w:hAnsi="宋体" w:eastAsia="宋体" w:cs="宋体"/>
          <w:color w:val="auto"/>
          <w:szCs w:val="32"/>
        </w:rPr>
        <w:t>)</w:t>
      </w:r>
      <w:r>
        <w:rPr>
          <w:rFonts w:hint="eastAsia" w:ascii="宋体" w:hAnsi="宋体" w:eastAsia="宋体" w:cs="宋体"/>
          <w:color w:val="auto"/>
          <w:szCs w:val="32"/>
        </w:rPr>
        <w:t xml:space="preserve"> 评估主体</w:t>
      </w:r>
      <w:bookmarkEnd w:id="25"/>
    </w:p>
    <w:p>
      <w:pPr>
        <w:pStyle w:val="8"/>
        <w:spacing w:before="209" w:line="360" w:lineRule="auto"/>
        <w:ind w:right="357" w:firstLine="600" w:firstLineChars="200"/>
        <w:jc w:val="both"/>
        <w:rPr>
          <w:rFonts w:ascii="仿宋" w:hAnsi="仿宋" w:eastAsia="仿宋" w:cs="仿宋"/>
          <w:color w:val="auto"/>
          <w:spacing w:val="-6"/>
          <w:sz w:val="30"/>
          <w:szCs w:val="30"/>
        </w:rPr>
      </w:pPr>
      <w:r>
        <w:rPr>
          <w:rFonts w:hint="eastAsia" w:ascii="仿宋" w:hAnsi="仿宋" w:eastAsia="仿宋" w:cs="仿宋"/>
          <w:color w:val="auto"/>
          <w:sz w:val="30"/>
          <w:szCs w:val="30"/>
        </w:rPr>
        <w:t>1、受济南市历城区交通运输事业发展中心委托，山东东昌勘察测绘有限公司对2022年历城区“四好农村路”建设项目社会稳定风险进行了评估。在认真制定评估工作方案、收集和审阅相关资料以及相关政策、规划、前置性文件的基础上，进行</w:t>
      </w:r>
      <w:r>
        <w:rPr>
          <w:rFonts w:hint="eastAsia" w:ascii="仿宋" w:hAnsi="仿宋" w:eastAsia="仿宋" w:cs="仿宋"/>
          <w:color w:val="auto"/>
          <w:spacing w:val="-6"/>
          <w:sz w:val="30"/>
          <w:szCs w:val="30"/>
        </w:rPr>
        <w:t>实地回访、座谈，听取相关意见。并邀请相关专家进行全面、认真的社会稳定风险评估，赴现场踏勘，召开专家评审会，根据实际情况，采取多种方式听取各方面意见，进行风险评估，判断并确定风险等级，提出该土地征收社会稳定风险评估报告。</w:t>
      </w:r>
    </w:p>
    <w:p>
      <w:pPr>
        <w:pStyle w:val="8"/>
        <w:spacing w:before="209" w:line="360" w:lineRule="auto"/>
        <w:ind w:right="357" w:firstLine="600" w:firstLineChars="200"/>
        <w:jc w:val="both"/>
        <w:rPr>
          <w:rFonts w:ascii="仿宋" w:hAnsi="仿宋" w:eastAsia="仿宋" w:cs="仿宋"/>
          <w:color w:val="auto"/>
          <w:spacing w:val="-6"/>
          <w:sz w:val="30"/>
          <w:szCs w:val="30"/>
        </w:rPr>
      </w:pPr>
      <w:r>
        <w:rPr>
          <w:rFonts w:hint="eastAsia" w:ascii="仿宋" w:hAnsi="仿宋" w:eastAsia="仿宋" w:cs="仿宋"/>
          <w:color w:val="auto"/>
          <w:sz w:val="30"/>
          <w:szCs w:val="30"/>
        </w:rPr>
        <w:t>2、</w:t>
      </w:r>
      <w:r>
        <w:rPr>
          <w:rFonts w:hint="eastAsia" w:ascii="仿宋" w:hAnsi="仿宋" w:eastAsia="仿宋" w:cs="仿宋"/>
          <w:color w:val="auto"/>
          <w:spacing w:val="-6"/>
          <w:sz w:val="30"/>
          <w:szCs w:val="30"/>
        </w:rPr>
        <w:t>专家组成：维稳分析、项目咨询专家等。专家组赴现场踏勘、座谈，听取</w:t>
      </w:r>
      <w:r>
        <w:rPr>
          <w:rFonts w:hint="eastAsia" w:ascii="仿宋" w:hAnsi="仿宋" w:eastAsia="仿宋" w:cs="仿宋"/>
          <w:color w:val="auto"/>
          <w:spacing w:val="-6"/>
          <w:sz w:val="30"/>
          <w:szCs w:val="30"/>
          <w:lang w:eastAsia="zh-CN"/>
        </w:rPr>
        <w:t>项目建设</w:t>
      </w:r>
      <w:r>
        <w:rPr>
          <w:rFonts w:hint="eastAsia" w:ascii="仿宋" w:hAnsi="仿宋" w:eastAsia="仿宋" w:cs="仿宋"/>
          <w:color w:val="auto"/>
          <w:spacing w:val="-6"/>
          <w:sz w:val="30"/>
          <w:szCs w:val="30"/>
        </w:rPr>
        <w:t>单位关于</w:t>
      </w:r>
      <w:r>
        <w:rPr>
          <w:rFonts w:hint="eastAsia" w:ascii="仿宋" w:hAnsi="仿宋" w:eastAsia="仿宋" w:cs="仿宋"/>
          <w:color w:val="auto"/>
          <w:spacing w:val="-6"/>
          <w:sz w:val="30"/>
          <w:szCs w:val="30"/>
          <w:lang w:eastAsia="zh-CN"/>
        </w:rPr>
        <w:t>项目</w:t>
      </w:r>
      <w:r>
        <w:rPr>
          <w:rFonts w:hint="eastAsia" w:ascii="仿宋" w:hAnsi="仿宋" w:eastAsia="仿宋" w:cs="仿宋"/>
          <w:color w:val="auto"/>
          <w:spacing w:val="-6"/>
          <w:sz w:val="30"/>
          <w:szCs w:val="30"/>
        </w:rPr>
        <w:t>情况的汇报，召开评审会，对《2022年历城区“四好农村路”建设项目社会稳定风险分析报告》进行评估论证， 提出修改意见和建议，确定风险等级和应对措施。</w:t>
      </w:r>
    </w:p>
    <w:p>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3、“评估报告”编制单位，从项目技术的角度，综合阐述该项目的社会稳定风险分析，使该社会稳定风险评估报告更完善、准确和可行。</w:t>
      </w:r>
    </w:p>
    <w:p>
      <w:pPr>
        <w:pStyle w:val="4"/>
        <w:spacing w:line="560" w:lineRule="exact"/>
        <w:ind w:firstLine="643" w:firstLineChars="200"/>
        <w:rPr>
          <w:rFonts w:ascii="宋体" w:hAnsi="宋体" w:eastAsia="宋体" w:cs="宋体"/>
          <w:color w:val="auto"/>
          <w:szCs w:val="32"/>
        </w:rPr>
      </w:pPr>
      <w:bookmarkStart w:id="26" w:name="_bookmark5"/>
      <w:bookmarkEnd w:id="26"/>
      <w:bookmarkStart w:id="27" w:name="_Toc17792"/>
      <w:r>
        <w:rPr>
          <w:rFonts w:hint="eastAsia" w:ascii="宋体" w:hAnsi="宋体" w:eastAsia="宋体" w:cs="宋体"/>
          <w:color w:val="auto"/>
          <w:szCs w:val="32"/>
        </w:rPr>
        <w:t>(四)评估过程和方法</w:t>
      </w:r>
      <w:bookmarkEnd w:id="27"/>
    </w:p>
    <w:p>
      <w:pPr>
        <w:pStyle w:val="5"/>
        <w:spacing w:line="560" w:lineRule="exact"/>
        <w:ind w:firstLine="600" w:firstLineChars="200"/>
        <w:rPr>
          <w:b w:val="0"/>
          <w:bCs w:val="0"/>
          <w:color w:val="auto"/>
          <w:sz w:val="30"/>
          <w:szCs w:val="30"/>
        </w:rPr>
      </w:pPr>
      <w:bookmarkStart w:id="28" w:name="_Toc21845"/>
      <w:r>
        <w:rPr>
          <w:rFonts w:hint="eastAsia"/>
          <w:b w:val="0"/>
          <w:bCs w:val="0"/>
          <w:color w:val="auto"/>
          <w:sz w:val="30"/>
          <w:szCs w:val="30"/>
        </w:rPr>
        <w:t>1、制定评估工作方案</w:t>
      </w:r>
      <w:bookmarkEnd w:id="28"/>
    </w:p>
    <w:p>
      <w:pPr>
        <w:pStyle w:val="8"/>
        <w:spacing w:before="209" w:line="360" w:lineRule="auto"/>
        <w:ind w:right="357" w:firstLine="576" w:firstLineChars="200"/>
        <w:jc w:val="both"/>
        <w:rPr>
          <w:rFonts w:ascii="仿宋" w:hAnsi="仿宋" w:eastAsia="仿宋" w:cs="仿宋"/>
          <w:color w:val="auto"/>
          <w:spacing w:val="-6"/>
          <w:sz w:val="30"/>
          <w:szCs w:val="30"/>
        </w:rPr>
      </w:pPr>
      <w:r>
        <w:rPr>
          <w:rFonts w:hint="eastAsia" w:ascii="仿宋" w:hAnsi="仿宋" w:eastAsia="仿宋" w:cs="仿宋"/>
          <w:color w:val="auto"/>
          <w:spacing w:val="-6"/>
          <w:sz w:val="30"/>
          <w:szCs w:val="30"/>
        </w:rPr>
        <w:t>山东东昌勘察测绘有限公司针对该项目，成立社会维稳评估小组，明确职责分工，确定工作进度、计划，以及工作方法与要求，拟征询的对象及采用的方法，确定风险评估大纲。</w:t>
      </w:r>
    </w:p>
    <w:p>
      <w:pPr>
        <w:pStyle w:val="5"/>
        <w:spacing w:line="560" w:lineRule="exact"/>
        <w:ind w:firstLine="600" w:firstLineChars="200"/>
        <w:rPr>
          <w:b w:val="0"/>
          <w:bCs w:val="0"/>
          <w:color w:val="auto"/>
          <w:sz w:val="30"/>
          <w:szCs w:val="30"/>
        </w:rPr>
      </w:pPr>
      <w:bookmarkStart w:id="29" w:name="_Toc8677"/>
      <w:r>
        <w:rPr>
          <w:rFonts w:hint="eastAsia"/>
          <w:b w:val="0"/>
          <w:bCs w:val="0"/>
          <w:color w:val="auto"/>
          <w:sz w:val="30"/>
          <w:szCs w:val="30"/>
        </w:rPr>
        <w:t>2、收集和审阅相关资料</w:t>
      </w:r>
      <w:bookmarkEnd w:id="29"/>
    </w:p>
    <w:p>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（1）国家和地方相关法律、法规和政策；</w:t>
      </w:r>
    </w:p>
    <w:p>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（2）</w:t>
      </w:r>
      <w:r>
        <w:rPr>
          <w:rFonts w:hint="eastAsia" w:ascii="仿宋" w:hAnsi="仿宋" w:eastAsia="仿宋" w:cs="仿宋"/>
          <w:color w:val="auto"/>
          <w:sz w:val="30"/>
          <w:szCs w:val="30"/>
          <w:lang w:eastAsia="zh-CN"/>
        </w:rPr>
        <w:t>项目立项</w:t>
      </w:r>
      <w:r>
        <w:rPr>
          <w:rFonts w:hint="eastAsia" w:ascii="仿宋" w:hAnsi="仿宋" w:eastAsia="仿宋" w:cs="仿宋"/>
          <w:color w:val="auto"/>
          <w:sz w:val="30"/>
          <w:szCs w:val="30"/>
        </w:rPr>
        <w:t>前期审批相关文件；</w:t>
      </w:r>
    </w:p>
    <w:p>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（3）相关规划与标准规范；</w:t>
      </w:r>
    </w:p>
    <w:p>
      <w:pPr>
        <w:pStyle w:val="8"/>
        <w:spacing w:before="209" w:line="360" w:lineRule="auto"/>
        <w:ind w:right="357" w:firstLine="600" w:firstLineChars="200"/>
        <w:jc w:val="both"/>
        <w:rPr>
          <w:rFonts w:ascii="仿宋" w:hAnsi="仿宋" w:eastAsia="仿宋" w:cs="仿宋"/>
          <w:color w:val="auto"/>
          <w:sz w:val="30"/>
          <w:szCs w:val="30"/>
        </w:rPr>
        <w:sectPr>
          <w:headerReference r:id="rId6" w:type="default"/>
          <w:footerReference r:id="rId7" w:type="default"/>
          <w:pgSz w:w="11905" w:h="16838"/>
          <w:pgMar w:top="1440" w:right="1803" w:bottom="1440" w:left="1803" w:header="595" w:footer="703" w:gutter="0"/>
          <w:cols w:space="0" w:num="1"/>
        </w:sectPr>
      </w:pPr>
      <w:r>
        <w:rPr>
          <w:rFonts w:hint="eastAsia" w:ascii="仿宋" w:hAnsi="仿宋" w:eastAsia="仿宋" w:cs="仿宋"/>
          <w:color w:val="auto"/>
          <w:sz w:val="30"/>
          <w:szCs w:val="30"/>
        </w:rPr>
        <w:t>（4）同类或类似</w:t>
      </w:r>
      <w:r>
        <w:rPr>
          <w:rFonts w:hint="eastAsia" w:ascii="仿宋" w:hAnsi="仿宋" w:eastAsia="仿宋" w:cs="仿宋"/>
          <w:color w:val="auto"/>
          <w:sz w:val="30"/>
          <w:szCs w:val="30"/>
          <w:lang w:eastAsia="zh-CN"/>
        </w:rPr>
        <w:t>项目</w:t>
      </w:r>
      <w:r>
        <w:rPr>
          <w:rFonts w:hint="eastAsia" w:ascii="仿宋" w:hAnsi="仿宋" w:eastAsia="仿宋" w:cs="仿宋"/>
          <w:color w:val="auto"/>
          <w:sz w:val="30"/>
          <w:szCs w:val="30"/>
        </w:rPr>
        <w:t>决策风险评估资料。</w:t>
      </w:r>
    </w:p>
    <w:p>
      <w:pPr>
        <w:pStyle w:val="5"/>
        <w:spacing w:line="560" w:lineRule="exact"/>
        <w:ind w:firstLine="600" w:firstLineChars="200"/>
        <w:rPr>
          <w:b w:val="0"/>
          <w:bCs w:val="0"/>
          <w:color w:val="auto"/>
          <w:sz w:val="30"/>
          <w:szCs w:val="30"/>
        </w:rPr>
      </w:pPr>
      <w:bookmarkStart w:id="30" w:name="_Toc24763"/>
      <w:r>
        <w:rPr>
          <w:rFonts w:hint="eastAsia"/>
          <w:b w:val="0"/>
          <w:bCs w:val="0"/>
          <w:color w:val="auto"/>
          <w:sz w:val="30"/>
          <w:szCs w:val="30"/>
        </w:rPr>
        <w:t>3、充分听取意见</w:t>
      </w:r>
      <w:bookmarkEnd w:id="30"/>
    </w:p>
    <w:p>
      <w:pPr>
        <w:spacing w:before="235" w:line="360" w:lineRule="auto"/>
        <w:ind w:left="11" w:firstLine="576" w:firstLineChars="200"/>
        <w:rPr>
          <w:rFonts w:ascii="仿宋" w:hAnsi="仿宋" w:eastAsia="仿宋" w:cs="仿宋"/>
          <w:color w:val="auto"/>
          <w:spacing w:val="-6"/>
          <w:sz w:val="30"/>
          <w:szCs w:val="30"/>
        </w:rPr>
      </w:pPr>
      <w:r>
        <w:rPr>
          <w:rFonts w:hint="eastAsia" w:ascii="仿宋" w:hAnsi="仿宋" w:eastAsia="仿宋" w:cs="仿宋"/>
          <w:color w:val="auto"/>
          <w:spacing w:val="-6"/>
          <w:sz w:val="30"/>
          <w:szCs w:val="30"/>
        </w:rPr>
        <w:t>根据社会稳定风险分析结果，结合项目所在地的实际情况，向被项目影响的相关居民了解情况，进行回访，当面听取意见，确保了收集意见的真实性和全面性。</w:t>
      </w:r>
    </w:p>
    <w:p>
      <w:pPr>
        <w:pStyle w:val="5"/>
        <w:spacing w:line="560" w:lineRule="exact"/>
        <w:ind w:firstLine="600" w:firstLineChars="200"/>
        <w:rPr>
          <w:b w:val="0"/>
          <w:bCs w:val="0"/>
          <w:color w:val="auto"/>
          <w:sz w:val="30"/>
          <w:szCs w:val="30"/>
        </w:rPr>
      </w:pPr>
      <w:bookmarkStart w:id="31" w:name="_Toc11418"/>
      <w:r>
        <w:rPr>
          <w:rFonts w:hint="eastAsia"/>
          <w:b w:val="0"/>
          <w:bCs w:val="0"/>
          <w:color w:val="auto"/>
          <w:sz w:val="30"/>
          <w:szCs w:val="30"/>
        </w:rPr>
        <w:t>4、全面评估论证</w:t>
      </w:r>
      <w:bookmarkEnd w:id="31"/>
    </w:p>
    <w:p>
      <w:pPr>
        <w:spacing w:before="239"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梳理、整理各方意见，参考类似项目引发社会稳定风险的情况，。对项目所涉及的风险调查、风险识别、风险估计、风险防范和化解措施、风险等级评判等内容逐项进行评估论证；特别是对风险因素、风险发生概率、可能引发矛盾纠纷的激烈程度和持续时间、涉及人员数量、可能产生的各种负面影响以及相关风险的可控。</w:t>
      </w:r>
    </w:p>
    <w:p>
      <w:pPr>
        <w:pStyle w:val="5"/>
        <w:spacing w:line="560" w:lineRule="exact"/>
        <w:ind w:firstLine="600" w:firstLineChars="200"/>
        <w:rPr>
          <w:b w:val="0"/>
          <w:bCs w:val="0"/>
          <w:color w:val="auto"/>
          <w:sz w:val="30"/>
          <w:szCs w:val="30"/>
        </w:rPr>
      </w:pPr>
      <w:bookmarkStart w:id="32" w:name="_Toc3591"/>
      <w:r>
        <w:rPr>
          <w:rFonts w:hint="eastAsia"/>
          <w:b w:val="0"/>
          <w:bCs w:val="0"/>
          <w:color w:val="auto"/>
          <w:sz w:val="30"/>
          <w:szCs w:val="30"/>
        </w:rPr>
        <w:t>5、确定风险等级</w:t>
      </w:r>
      <w:bookmarkEnd w:id="32"/>
    </w:p>
    <w:p>
      <w:pPr>
        <w:spacing w:before="212" w:line="360" w:lineRule="auto"/>
        <w:ind w:left="13" w:right="98" w:firstLine="600" w:firstLineChars="200"/>
        <w:rPr>
          <w:rFonts w:ascii="仿宋" w:hAnsi="仿宋" w:eastAsia="仿宋" w:cs="仿宋"/>
          <w:color w:val="auto"/>
          <w:sz w:val="30"/>
          <w:szCs w:val="30"/>
        </w:rPr>
      </w:pPr>
      <w:r>
        <w:rPr>
          <w:rFonts w:hint="eastAsia" w:ascii="仿宋" w:hAnsi="仿宋" w:eastAsia="仿宋" w:cs="仿宋"/>
          <w:color w:val="auto"/>
          <w:sz w:val="30"/>
          <w:szCs w:val="30"/>
        </w:rPr>
        <w:t>根据该项目确定的社会稳定风险评判标准，在综合考虑各方意见和全面分析论证的基础上，参照《国家发展改革委重大固定资产投资社会稳定风险评估暂行办法》（发改投资〔2012〕2492号）的风险等级划分标准，对该项目社会稳定风险等级作出客观、公正的判断，确定该项目社会稳定风险等级。</w:t>
      </w:r>
    </w:p>
    <w:p>
      <w:pPr>
        <w:pStyle w:val="2"/>
        <w:ind w:firstLine="600" w:firstLineChars="200"/>
        <w:rPr>
          <w:rFonts w:ascii="仿宋" w:hAnsi="仿宋" w:eastAsia="仿宋" w:cs="仿宋"/>
          <w:color w:val="auto"/>
          <w:sz w:val="30"/>
          <w:szCs w:val="30"/>
        </w:rPr>
        <w:sectPr>
          <w:headerReference r:id="rId8" w:type="default"/>
          <w:footerReference r:id="rId9" w:type="default"/>
          <w:type w:val="continuous"/>
          <w:pgSz w:w="11905" w:h="16838"/>
          <w:pgMar w:top="1440" w:right="1803" w:bottom="1440" w:left="1803" w:header="595" w:footer="703" w:gutter="0"/>
          <w:cols w:space="0" w:num="1"/>
        </w:sectPr>
      </w:pPr>
    </w:p>
    <w:p>
      <w:pPr>
        <w:pStyle w:val="2"/>
        <w:ind w:firstLine="548" w:firstLineChars="200"/>
        <w:rPr>
          <w:rFonts w:hAnsi="宋体" w:cs="宋体"/>
          <w:color w:val="auto"/>
          <w:spacing w:val="-3"/>
          <w:szCs w:val="28"/>
          <w:highlight w:val="yellow"/>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pPr>
    </w:p>
    <w:p>
      <w:pPr>
        <w:pStyle w:val="2"/>
        <w:ind w:firstLine="548" w:firstLineChars="200"/>
        <w:rPr>
          <w:rFonts w:hAnsi="宋体" w:cs="宋体"/>
          <w:color w:val="auto"/>
          <w:spacing w:val="-3"/>
          <w:szCs w:val="28"/>
        </w:rPr>
        <w:sectPr>
          <w:type w:val="continuous"/>
          <w:pgSz w:w="11905" w:h="16838"/>
          <w:pgMar w:top="1440" w:right="1803" w:bottom="1440" w:left="1803" w:header="595" w:footer="703" w:gutter="0"/>
          <w:cols w:space="0" w:num="1"/>
        </w:sectPr>
      </w:pPr>
    </w:p>
    <w:p>
      <w:pPr>
        <w:pStyle w:val="3"/>
        <w:spacing w:line="560" w:lineRule="exact"/>
        <w:jc w:val="center"/>
        <w:rPr>
          <w:rFonts w:ascii="宋体" w:hAnsi="宋体" w:eastAsia="宋体" w:cs="宋体"/>
          <w:color w:val="auto"/>
          <w:sz w:val="36"/>
          <w:szCs w:val="36"/>
        </w:rPr>
      </w:pPr>
      <w:bookmarkStart w:id="33" w:name="_bookmark6"/>
      <w:bookmarkEnd w:id="33"/>
      <w:bookmarkStart w:id="34" w:name="_Toc16400"/>
      <w:r>
        <w:rPr>
          <w:rFonts w:hint="eastAsia" w:ascii="宋体" w:hAnsi="宋体" w:eastAsia="宋体" w:cs="宋体"/>
          <w:color w:val="auto"/>
          <w:sz w:val="36"/>
          <w:szCs w:val="36"/>
        </w:rPr>
        <w:t>二、评估内容</w:t>
      </w:r>
      <w:bookmarkEnd w:id="34"/>
    </w:p>
    <w:p>
      <w:pPr>
        <w:pStyle w:val="4"/>
        <w:spacing w:line="560" w:lineRule="exact"/>
        <w:ind w:firstLine="643" w:firstLineChars="200"/>
        <w:rPr>
          <w:rFonts w:ascii="宋体" w:hAnsi="宋体" w:eastAsia="宋体" w:cs="宋体"/>
          <w:color w:val="auto"/>
          <w:szCs w:val="32"/>
        </w:rPr>
      </w:pPr>
      <w:bookmarkStart w:id="35" w:name="_bookmark7"/>
      <w:bookmarkEnd w:id="35"/>
      <w:bookmarkStart w:id="36" w:name="_Toc30389"/>
      <w:r>
        <w:rPr>
          <w:rFonts w:hint="eastAsia" w:ascii="宋体" w:hAnsi="宋体" w:eastAsia="宋体" w:cs="宋体"/>
          <w:color w:val="auto"/>
          <w:szCs w:val="32"/>
        </w:rPr>
        <w:t>（一）风险调查评估及各方意见采纳情况</w:t>
      </w:r>
      <w:bookmarkEnd w:id="36"/>
    </w:p>
    <w:p>
      <w:pPr>
        <w:pStyle w:val="5"/>
        <w:spacing w:line="560" w:lineRule="exact"/>
        <w:ind w:firstLine="600" w:firstLineChars="200"/>
        <w:rPr>
          <w:b w:val="0"/>
          <w:bCs w:val="0"/>
          <w:color w:val="auto"/>
          <w:sz w:val="30"/>
          <w:szCs w:val="30"/>
        </w:rPr>
      </w:pPr>
      <w:bookmarkStart w:id="37" w:name="_Toc15736"/>
      <w:r>
        <w:rPr>
          <w:rFonts w:hint="eastAsia"/>
          <w:b w:val="0"/>
          <w:bCs w:val="0"/>
          <w:color w:val="auto"/>
          <w:sz w:val="30"/>
          <w:szCs w:val="30"/>
        </w:rPr>
        <w:t>1、社会稳定风险调查分析</w:t>
      </w:r>
      <w:bookmarkEnd w:id="37"/>
    </w:p>
    <w:p>
      <w:pPr>
        <w:pStyle w:val="6"/>
        <w:spacing w:line="560" w:lineRule="exact"/>
        <w:ind w:firstLine="560" w:firstLineChars="200"/>
        <w:rPr>
          <w:rFonts w:ascii="宋体" w:hAnsi="宋体" w:eastAsia="宋体" w:cs="宋体"/>
          <w:b w:val="0"/>
          <w:bCs/>
          <w:color w:val="auto"/>
        </w:rPr>
      </w:pPr>
      <w:r>
        <w:rPr>
          <w:rFonts w:ascii="宋体" w:hAnsi="宋体" w:eastAsia="宋体" w:cs="宋体"/>
          <w:b w:val="0"/>
          <w:bCs/>
          <w:color w:val="auto"/>
        </w:rPr>
        <w:t>a</w:t>
      </w:r>
      <w:r>
        <w:rPr>
          <w:rFonts w:hint="eastAsia" w:ascii="宋体" w:hAnsi="宋体" w:eastAsia="宋体" w:cs="宋体"/>
          <w:b w:val="0"/>
          <w:bCs/>
          <w:color w:val="auto"/>
        </w:rPr>
        <w:t>、调查目的和调查的主要内容</w:t>
      </w:r>
    </w:p>
    <w:p>
      <w:pPr>
        <w:spacing w:before="212" w:line="360" w:lineRule="auto"/>
        <w:ind w:left="11" w:right="96" w:firstLine="600" w:firstLineChars="200"/>
        <w:rPr>
          <w:rFonts w:ascii="仿宋" w:hAnsi="仿宋" w:eastAsia="仿宋" w:cs="仿宋"/>
          <w:color w:val="auto"/>
          <w:sz w:val="30"/>
          <w:szCs w:val="30"/>
        </w:rPr>
      </w:pPr>
      <w:r>
        <w:rPr>
          <w:rFonts w:hint="eastAsia" w:ascii="仿宋" w:hAnsi="仿宋" w:eastAsia="仿宋" w:cs="仿宋"/>
          <w:color w:val="auto"/>
          <w:sz w:val="30"/>
          <w:szCs w:val="30"/>
        </w:rPr>
        <w:t>风险调查成果是风险识别、风险估计、风险等级判断和制定风险防范化解措施的基础。根据要求，本次社会风险调查评估重点从以下四点进行评估： ①对风险调查的全面性； ②对公众参与的完备性；③对风险调查结果的真实性和可信性；④在对土地征收社会稳定风险评估的基础上，根据实际情况，采取实地走访和召开座谈会等方式进行补充调查，完善风险调查相关内容。</w:t>
      </w:r>
    </w:p>
    <w:p>
      <w:pPr>
        <w:pStyle w:val="6"/>
        <w:spacing w:line="560" w:lineRule="exact"/>
        <w:ind w:firstLine="560" w:firstLineChars="200"/>
        <w:rPr>
          <w:rFonts w:ascii="宋体" w:hAnsi="宋体" w:eastAsia="宋体" w:cs="宋体"/>
          <w:b w:val="0"/>
          <w:bCs/>
          <w:color w:val="auto"/>
        </w:rPr>
      </w:pPr>
      <w:r>
        <w:rPr>
          <w:rFonts w:ascii="宋体" w:hAnsi="宋体" w:eastAsia="宋体" w:cs="宋体"/>
          <w:b w:val="0"/>
          <w:bCs/>
          <w:color w:val="auto"/>
        </w:rPr>
        <w:t>b</w:t>
      </w:r>
      <w:r>
        <w:rPr>
          <w:rFonts w:hint="eastAsia" w:ascii="宋体" w:hAnsi="宋体" w:eastAsia="宋体" w:cs="宋体"/>
          <w:b w:val="0"/>
          <w:bCs/>
          <w:color w:val="auto"/>
        </w:rPr>
        <w:t>、调查范围</w:t>
      </w:r>
    </w:p>
    <w:p>
      <w:pPr>
        <w:spacing w:before="212" w:line="360" w:lineRule="auto"/>
        <w:ind w:left="11" w:right="96" w:firstLine="600" w:firstLineChars="200"/>
        <w:rPr>
          <w:rFonts w:ascii="仿宋" w:hAnsi="仿宋" w:eastAsia="仿宋" w:cs="仿宋"/>
          <w:color w:val="auto"/>
          <w:sz w:val="30"/>
          <w:szCs w:val="30"/>
        </w:rPr>
      </w:pPr>
      <w:r>
        <w:rPr>
          <w:rFonts w:hint="eastAsia" w:ascii="仿宋" w:hAnsi="仿宋" w:eastAsia="仿宋" w:cs="仿宋"/>
          <w:color w:val="auto"/>
          <w:sz w:val="30"/>
          <w:szCs w:val="30"/>
        </w:rPr>
        <w:t>凡涉及到利益相关者切身利益、容易引发社会稳定风险的因素，都纳入调查范围。</w:t>
      </w:r>
    </w:p>
    <w:p>
      <w:pPr>
        <w:pStyle w:val="6"/>
        <w:spacing w:line="560" w:lineRule="exact"/>
        <w:ind w:firstLine="560" w:firstLineChars="200"/>
        <w:rPr>
          <w:rFonts w:ascii="宋体" w:hAnsi="宋体" w:eastAsia="宋体" w:cs="宋体"/>
          <w:b w:val="0"/>
          <w:bCs/>
          <w:color w:val="auto"/>
        </w:rPr>
      </w:pPr>
      <w:r>
        <w:rPr>
          <w:rFonts w:ascii="宋体" w:hAnsi="宋体" w:eastAsia="宋体" w:cs="宋体"/>
          <w:b w:val="0"/>
          <w:bCs/>
          <w:color w:val="auto"/>
        </w:rPr>
        <w:t>c</w:t>
      </w:r>
      <w:r>
        <w:rPr>
          <w:rFonts w:hint="eastAsia" w:ascii="宋体" w:hAnsi="宋体" w:eastAsia="宋体" w:cs="宋体"/>
          <w:b w:val="0"/>
          <w:bCs/>
          <w:color w:val="auto"/>
        </w:rPr>
        <w:t>、调查方法评估</w:t>
      </w:r>
    </w:p>
    <w:p>
      <w:pPr>
        <w:spacing w:before="212" w:line="360" w:lineRule="auto"/>
        <w:ind w:left="11" w:right="96" w:firstLine="624" w:firstLineChars="200"/>
        <w:rPr>
          <w:rFonts w:ascii="仿宋" w:hAnsi="仿宋" w:eastAsia="仿宋" w:cs="仿宋"/>
          <w:color w:val="auto"/>
          <w:spacing w:val="6"/>
          <w:sz w:val="30"/>
          <w:szCs w:val="30"/>
        </w:rPr>
      </w:pPr>
      <w:r>
        <w:rPr>
          <w:rFonts w:hint="eastAsia" w:ascii="仿宋" w:hAnsi="仿宋" w:eastAsia="仿宋" w:cs="仿宋"/>
          <w:color w:val="auto"/>
          <w:spacing w:val="6"/>
          <w:sz w:val="30"/>
          <w:szCs w:val="30"/>
        </w:rPr>
        <w:t>该</w:t>
      </w:r>
      <w:r>
        <w:rPr>
          <w:rFonts w:hint="eastAsia" w:ascii="仿宋" w:hAnsi="仿宋" w:eastAsia="仿宋" w:cs="仿宋"/>
          <w:color w:val="auto"/>
          <w:spacing w:val="6"/>
          <w:sz w:val="30"/>
          <w:szCs w:val="30"/>
          <w:lang w:eastAsia="zh-CN"/>
        </w:rPr>
        <w:t>项目</w:t>
      </w:r>
      <w:r>
        <w:rPr>
          <w:rFonts w:hint="eastAsia" w:ascii="仿宋" w:hAnsi="仿宋" w:eastAsia="仿宋" w:cs="仿宋"/>
          <w:color w:val="auto"/>
          <w:spacing w:val="6"/>
          <w:sz w:val="30"/>
          <w:szCs w:val="30"/>
        </w:rPr>
        <w:t>社会稳定风险评估调查采用了资料搜集、访谈、问卷调查、实地勘察等相结合的调查方法。</w:t>
      </w:r>
    </w:p>
    <w:p>
      <w:pPr>
        <w:spacing w:before="212" w:line="360" w:lineRule="auto"/>
        <w:ind w:left="11" w:right="96" w:firstLine="600" w:firstLineChars="200"/>
        <w:rPr>
          <w:rFonts w:ascii="仿宋" w:hAnsi="仿宋" w:eastAsia="仿宋" w:cs="仿宋"/>
          <w:color w:val="auto"/>
          <w:sz w:val="30"/>
          <w:szCs w:val="30"/>
        </w:rPr>
      </w:pPr>
      <w:r>
        <w:rPr>
          <w:rFonts w:hint="eastAsia" w:ascii="仿宋" w:hAnsi="仿宋" w:eastAsia="仿宋" w:cs="仿宋"/>
          <w:color w:val="auto"/>
          <w:sz w:val="30"/>
          <w:szCs w:val="30"/>
        </w:rPr>
        <w:t>Ⅰ、收集和查阅的文件主要包括：相关的法律法规以及其他有关的资料等。了解了以下内容：该项目所在地自然、社会和人文环境现状；项目建设背景、周边情况；项目实施的各项审批手续、批文获取情况。</w:t>
      </w:r>
    </w:p>
    <w:p>
      <w:pPr>
        <w:spacing w:before="212" w:line="360" w:lineRule="auto"/>
        <w:ind w:right="96" w:firstLine="624" w:firstLineChars="200"/>
        <w:rPr>
          <w:rFonts w:ascii="仿宋" w:hAnsi="仿宋" w:eastAsia="仿宋" w:cs="仿宋"/>
          <w:color w:val="auto"/>
          <w:sz w:val="30"/>
          <w:szCs w:val="30"/>
        </w:rPr>
      </w:pPr>
      <w:r>
        <w:rPr>
          <w:rFonts w:hint="eastAsia" w:ascii="仿宋" w:hAnsi="仿宋" w:eastAsia="仿宋" w:cs="仿宋"/>
          <w:color w:val="auto"/>
          <w:spacing w:val="6"/>
          <w:sz w:val="30"/>
          <w:szCs w:val="30"/>
        </w:rPr>
        <w:t>Ⅱ、针对该项目在评估过程中已经开展了多种形式的公众参与活动，主要有：公众参与信息公告、调</w:t>
      </w:r>
      <w:r>
        <w:rPr>
          <w:rFonts w:hint="eastAsia" w:ascii="仿宋" w:hAnsi="仿宋" w:eastAsia="仿宋" w:cs="仿宋"/>
          <w:color w:val="auto"/>
          <w:spacing w:val="-6"/>
          <w:sz w:val="30"/>
          <w:szCs w:val="30"/>
        </w:rPr>
        <w:t>查问卷和座</w:t>
      </w:r>
      <w:r>
        <w:rPr>
          <w:rFonts w:hint="eastAsia" w:ascii="仿宋" w:hAnsi="仿宋" w:eastAsia="仿宋" w:cs="仿宋"/>
          <w:color w:val="auto"/>
          <w:sz w:val="30"/>
          <w:szCs w:val="30"/>
        </w:rPr>
        <w:t>谈会，为调查和分析该项目主要的利益相关者的意见和诉求，提供了相当丰富的资料。</w:t>
      </w:r>
    </w:p>
    <w:p>
      <w:pPr>
        <w:pStyle w:val="5"/>
        <w:spacing w:line="560" w:lineRule="exact"/>
        <w:ind w:firstLine="600" w:firstLineChars="200"/>
        <w:rPr>
          <w:b w:val="0"/>
          <w:bCs w:val="0"/>
          <w:color w:val="auto"/>
          <w:sz w:val="30"/>
          <w:szCs w:val="30"/>
        </w:rPr>
      </w:pPr>
      <w:bookmarkStart w:id="38" w:name="_Toc30284"/>
      <w:r>
        <w:rPr>
          <w:rFonts w:hint="eastAsia"/>
          <w:b w:val="0"/>
          <w:bCs w:val="0"/>
          <w:color w:val="auto"/>
          <w:sz w:val="30"/>
          <w:szCs w:val="30"/>
        </w:rPr>
        <w:t>2、回访结果与意见采纳情况</w:t>
      </w:r>
      <w:bookmarkEnd w:id="38"/>
    </w:p>
    <w:p>
      <w:pPr>
        <w:pStyle w:val="6"/>
        <w:spacing w:line="560" w:lineRule="exact"/>
        <w:ind w:firstLine="560" w:firstLineChars="200"/>
        <w:rPr>
          <w:rFonts w:ascii="宋体" w:hAnsi="宋体" w:eastAsia="宋体" w:cs="宋体"/>
          <w:b w:val="0"/>
          <w:bCs/>
          <w:color w:val="auto"/>
        </w:rPr>
      </w:pPr>
      <w:r>
        <w:rPr>
          <w:rFonts w:hint="eastAsia" w:ascii="宋体" w:hAnsi="宋体" w:eastAsia="宋体" w:cs="宋体"/>
          <w:b w:val="0"/>
          <w:bCs/>
          <w:color w:val="auto"/>
        </w:rPr>
        <w:t>a、实地回访，采纳《分析报告》中相关资料。</w:t>
      </w:r>
    </w:p>
    <w:p>
      <w:pPr>
        <w:spacing w:before="212" w:line="360" w:lineRule="auto"/>
        <w:ind w:right="96" w:firstLine="576" w:firstLineChars="200"/>
        <w:rPr>
          <w:rFonts w:ascii="仿宋" w:hAnsi="仿宋" w:eastAsia="仿宋" w:cs="仿宋"/>
          <w:color w:val="auto"/>
          <w:spacing w:val="-6"/>
          <w:sz w:val="30"/>
          <w:szCs w:val="30"/>
        </w:rPr>
      </w:pPr>
      <w:r>
        <w:rPr>
          <w:rFonts w:hint="eastAsia" w:ascii="仿宋" w:hAnsi="仿宋" w:eastAsia="仿宋" w:cs="仿宋"/>
          <w:color w:val="auto"/>
          <w:spacing w:val="-6"/>
          <w:sz w:val="30"/>
          <w:szCs w:val="30"/>
        </w:rPr>
        <w:t>在《分析报告》编制过程中，社会稳定风险调查小组于2022年</w:t>
      </w:r>
      <w:r>
        <w:rPr>
          <w:rFonts w:hint="eastAsia" w:ascii="仿宋" w:hAnsi="仿宋" w:eastAsia="仿宋" w:cs="仿宋"/>
          <w:color w:val="auto"/>
          <w:spacing w:val="-6"/>
          <w:sz w:val="30"/>
          <w:szCs w:val="30"/>
          <w:lang w:val="en-US" w:eastAsia="zh-CN"/>
        </w:rPr>
        <w:t>10</w:t>
      </w:r>
      <w:r>
        <w:rPr>
          <w:rFonts w:hint="eastAsia" w:ascii="仿宋" w:hAnsi="仿宋" w:eastAsia="仿宋" w:cs="仿宋"/>
          <w:color w:val="auto"/>
          <w:spacing w:val="-6"/>
          <w:sz w:val="30"/>
          <w:szCs w:val="30"/>
        </w:rPr>
        <w:t>月</w:t>
      </w:r>
      <w:r>
        <w:rPr>
          <w:rFonts w:hint="eastAsia" w:ascii="仿宋" w:hAnsi="仿宋" w:eastAsia="仿宋" w:cs="仿宋"/>
          <w:color w:val="auto"/>
          <w:spacing w:val="-6"/>
          <w:sz w:val="30"/>
          <w:szCs w:val="30"/>
          <w:lang w:val="en-US" w:eastAsia="zh-CN"/>
        </w:rPr>
        <w:t>2</w:t>
      </w:r>
      <w:r>
        <w:rPr>
          <w:rFonts w:hint="eastAsia" w:ascii="仿宋" w:hAnsi="仿宋" w:eastAsia="仿宋" w:cs="仿宋"/>
          <w:color w:val="auto"/>
          <w:spacing w:val="-6"/>
          <w:sz w:val="30"/>
          <w:szCs w:val="30"/>
        </w:rPr>
        <w:t>0日对现场及周边区域进行了实地踏勘，进一步了解了项目周边自然环境状况、社会经济状况、涉及的相关企事业单位意见。</w:t>
      </w:r>
    </w:p>
    <w:p>
      <w:pPr>
        <w:spacing w:before="212" w:line="360" w:lineRule="auto"/>
        <w:ind w:right="96" w:firstLine="600" w:firstLineChars="200"/>
        <w:rPr>
          <w:rFonts w:ascii="仿宋" w:hAnsi="仿宋" w:eastAsia="仿宋" w:cs="仿宋"/>
          <w:color w:val="auto"/>
          <w:sz w:val="30"/>
          <w:szCs w:val="30"/>
        </w:rPr>
      </w:pPr>
      <w:r>
        <w:rPr>
          <w:rFonts w:hint="eastAsia" w:ascii="仿宋" w:hAnsi="仿宋" w:eastAsia="仿宋" w:cs="仿宋"/>
          <w:color w:val="auto"/>
          <w:sz w:val="30"/>
          <w:szCs w:val="30"/>
        </w:rPr>
        <w:t>针对《分析报告》风险调查过程存在的问题，我公司于2022年</w:t>
      </w:r>
      <w:r>
        <w:rPr>
          <w:rFonts w:hint="eastAsia" w:ascii="仿宋" w:hAnsi="仿宋" w:eastAsia="仿宋" w:cs="仿宋"/>
          <w:color w:val="auto"/>
          <w:sz w:val="30"/>
          <w:szCs w:val="30"/>
          <w:lang w:val="en-US" w:eastAsia="zh-CN"/>
        </w:rPr>
        <w:t>10</w:t>
      </w:r>
      <w:r>
        <w:rPr>
          <w:rFonts w:hint="eastAsia" w:ascii="仿宋" w:hAnsi="仿宋" w:eastAsia="仿宋" w:cs="仿宋"/>
          <w:color w:val="auto"/>
          <w:sz w:val="30"/>
          <w:szCs w:val="30"/>
        </w:rPr>
        <w:t>月</w:t>
      </w:r>
      <w:r>
        <w:rPr>
          <w:rFonts w:hint="eastAsia" w:ascii="仿宋" w:hAnsi="仿宋" w:eastAsia="仿宋" w:cs="仿宋"/>
          <w:color w:val="auto"/>
          <w:sz w:val="30"/>
          <w:szCs w:val="30"/>
          <w:lang w:val="en-US" w:eastAsia="zh-CN"/>
        </w:rPr>
        <w:t>25</w:t>
      </w:r>
      <w:r>
        <w:rPr>
          <w:rFonts w:hint="eastAsia" w:ascii="仿宋" w:hAnsi="仿宋" w:eastAsia="仿宋" w:cs="仿宋"/>
          <w:color w:val="auto"/>
          <w:sz w:val="30"/>
          <w:szCs w:val="30"/>
        </w:rPr>
        <w:t>日又进行了回访，经过回访，评估主体认为社会调查是真实的，予以采纳。</w:t>
      </w:r>
    </w:p>
    <w:p>
      <w:pPr>
        <w:pStyle w:val="6"/>
        <w:spacing w:line="560" w:lineRule="exact"/>
        <w:ind w:firstLine="560" w:firstLineChars="200"/>
        <w:rPr>
          <w:rFonts w:ascii="宋体" w:hAnsi="宋体" w:eastAsia="宋体" w:cs="宋体"/>
          <w:b w:val="0"/>
          <w:bCs/>
          <w:color w:val="auto"/>
        </w:rPr>
      </w:pPr>
      <w:r>
        <w:rPr>
          <w:rFonts w:ascii="宋体" w:hAnsi="宋体" w:eastAsia="宋体" w:cs="宋体"/>
          <w:b w:val="0"/>
          <w:bCs/>
          <w:color w:val="auto"/>
        </w:rPr>
        <w:t>b</w:t>
      </w:r>
      <w:r>
        <w:rPr>
          <w:rFonts w:hint="eastAsia" w:ascii="宋体" w:hAnsi="宋体" w:eastAsia="宋体" w:cs="宋体"/>
          <w:b w:val="0"/>
          <w:bCs/>
          <w:color w:val="auto"/>
        </w:rPr>
        <w:t>、采纳调查问卷资料</w:t>
      </w:r>
    </w:p>
    <w:p>
      <w:pPr>
        <w:pStyle w:val="2"/>
        <w:widowControl w:val="0"/>
        <w:kinsoku/>
        <w:overflowPunct w:val="0"/>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在调查过程中，对项目所在地基层政府及周边村民进行了调查。</w:t>
      </w:r>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结合社会稳定风险调查中公众参与调查问卷内容设计和社会稳定风险调查的特点，以及调查对象的不同，有针对性的设计了社会稳定风险公众参与调查问卷。</w:t>
      </w:r>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调查问卷统计结果详见下表。本次风险评估报告采纳这部分资料。</w:t>
      </w:r>
    </w:p>
    <w:p>
      <w:pPr>
        <w:widowControl w:val="0"/>
        <w:kinsoku/>
        <w:overflowPunct w:val="0"/>
        <w:spacing w:after="100" w:line="360" w:lineRule="auto"/>
        <w:jc w:val="both"/>
        <w:textAlignment w:val="center"/>
        <w:rPr>
          <w:rFonts w:hint="eastAsia" w:ascii="宋体" w:hAnsi="宋体" w:eastAsia="宋体" w:cs="宋体"/>
          <w:bCs/>
          <w:color w:val="auto"/>
          <w:sz w:val="28"/>
          <w:szCs w:val="28"/>
          <w:highlight w:val="none"/>
          <w:lang w:eastAsia="zh-CN"/>
        </w:rPr>
      </w:pPr>
      <w:r>
        <w:rPr>
          <w:rFonts w:hint="eastAsia" w:ascii="宋体" w:hAnsi="宋体" w:eastAsia="宋体" w:cs="宋体"/>
          <w:bCs/>
          <w:color w:val="auto"/>
          <w:sz w:val="28"/>
          <w:szCs w:val="28"/>
          <w:highlight w:val="none"/>
          <w:lang w:val="en-US" w:eastAsia="zh-CN"/>
        </w:rPr>
        <w:t>1</w:t>
      </w:r>
      <w:r>
        <w:rPr>
          <w:rFonts w:hint="eastAsia" w:ascii="宋体" w:hAnsi="宋体" w:eastAsia="宋体" w:cs="宋体"/>
          <w:bCs/>
          <w:color w:val="auto"/>
          <w:sz w:val="28"/>
          <w:szCs w:val="28"/>
          <w:highlight w:val="none"/>
        </w:rPr>
        <w:t>、调查问题基本情况</w:t>
      </w:r>
      <w:r>
        <w:rPr>
          <w:rFonts w:hint="eastAsia" w:ascii="宋体" w:hAnsi="宋体" w:eastAsia="宋体" w:cs="宋体"/>
          <w:bCs/>
          <w:color w:val="auto"/>
          <w:sz w:val="28"/>
          <w:szCs w:val="28"/>
          <w:highlight w:val="none"/>
          <w:lang w:eastAsia="zh-CN"/>
        </w:rPr>
        <w:t>（团体）</w:t>
      </w:r>
    </w:p>
    <w:tbl>
      <w:tblPr>
        <w:tblStyle w:val="15"/>
        <w:tblW w:w="8313" w:type="dxa"/>
        <w:tblInd w:w="93" w:type="dxa"/>
        <w:tblLayout w:type="fixed"/>
        <w:tblCellMar>
          <w:top w:w="0" w:type="dxa"/>
          <w:left w:w="108" w:type="dxa"/>
          <w:bottom w:w="0" w:type="dxa"/>
          <w:right w:w="108" w:type="dxa"/>
        </w:tblCellMar>
      </w:tblPr>
      <w:tblGrid>
        <w:gridCol w:w="2302"/>
        <w:gridCol w:w="2351"/>
        <w:gridCol w:w="1836"/>
        <w:gridCol w:w="1824"/>
      </w:tblGrid>
      <w:tr>
        <w:tblPrEx>
          <w:tblCellMar>
            <w:top w:w="0" w:type="dxa"/>
            <w:left w:w="108" w:type="dxa"/>
            <w:bottom w:w="0" w:type="dxa"/>
            <w:right w:w="108" w:type="dxa"/>
          </w:tblCellMar>
        </w:tblPrEx>
        <w:trPr>
          <w:trHeight w:val="556" w:hRule="atLeast"/>
        </w:trPr>
        <w:tc>
          <w:tcPr>
            <w:tcW w:w="465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项目</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人数</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百分比</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1、当地经济发展如何？</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很好</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66</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97%</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较好</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2</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3%</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一般</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较差</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2、当地社会治安情况如何？</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很好</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56</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82%</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较好</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12</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18%</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一般</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较差</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3、本次调查之前，了解本项目的消息来源是：</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会议</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15</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22%</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电视、网络、报刊</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公告</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45</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66%</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公众议论</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8</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12%</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4、对本项目的了解程度如何？</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很了解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43</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63%</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比较了解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25</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37%</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一般</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5、对当地的环境质量现状是否满意？</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满意</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37</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54%</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基本满意</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31</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46%</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不满意</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不确定</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6、认为本项目是否符合国家和地方政策及产业发展方针？</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符合</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66</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97%</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不符合</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不关心</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2</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3%</w:t>
            </w:r>
          </w:p>
        </w:tc>
      </w:tr>
      <w:tr>
        <w:tblPrEx>
          <w:tblCellMar>
            <w:top w:w="0" w:type="dxa"/>
            <w:left w:w="108" w:type="dxa"/>
            <w:bottom w:w="0" w:type="dxa"/>
            <w:right w:w="108" w:type="dxa"/>
          </w:tblCellMar>
        </w:tblPrEx>
        <w:trPr>
          <w:trHeight w:val="579"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7、认为本项目对当地居民收入的影响？</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增加</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67</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99%</w:t>
            </w:r>
          </w:p>
        </w:tc>
      </w:tr>
      <w:tr>
        <w:tblPrEx>
          <w:tblCellMar>
            <w:top w:w="0" w:type="dxa"/>
            <w:left w:w="108" w:type="dxa"/>
            <w:bottom w:w="0" w:type="dxa"/>
            <w:right w:w="108" w:type="dxa"/>
          </w:tblCellMar>
        </w:tblPrEx>
        <w:trPr>
          <w:trHeight w:val="558"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减少</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523"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无法预计</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8、本项目将对贵方生产、经营的影响</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有利</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59</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87%</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不利</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无影响</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8</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12%</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不清楚</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1</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9、对本项目最关心的问题：</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生产协调</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31</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45%</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安全</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25</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37%</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环境</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12</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18%</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其它</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10、认为本项目是否有利于促进本区域的社会经济发展？</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有利</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64</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94%</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不利</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无影响</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4</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6%</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不清楚</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11、认为本项目是否</w:t>
            </w:r>
            <w:r>
              <w:rPr>
                <w:rFonts w:hint="eastAsia" w:ascii="宋体" w:hAnsi="宋体" w:eastAsia="宋体" w:cs="宋体"/>
                <w:color w:val="auto"/>
                <w:sz w:val="24"/>
                <w:szCs w:val="24"/>
                <w:highlight w:val="none"/>
                <w:lang w:eastAsia="zh-CN" w:bidi="ar"/>
              </w:rPr>
              <w:t>会引发影响的社会不稳定的因素</w:t>
            </w:r>
            <w:r>
              <w:rPr>
                <w:rFonts w:hint="eastAsia" w:ascii="宋体" w:hAnsi="宋体" w:eastAsia="宋体" w:cs="宋体"/>
                <w:color w:val="auto"/>
                <w:sz w:val="24"/>
                <w:szCs w:val="24"/>
                <w:highlight w:val="none"/>
                <w:lang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不会</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color w:val="auto"/>
                <w:sz w:val="22"/>
                <w:szCs w:val="22"/>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68</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100%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会</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不太清楚</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12、是否支持本项目工作</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支持</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68</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100%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基本支持</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不支持</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无所谓</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bl>
    <w:p>
      <w:pPr>
        <w:widowControl w:val="0"/>
        <w:kinsoku/>
        <w:overflowPunct w:val="0"/>
        <w:spacing w:after="100" w:line="360" w:lineRule="auto"/>
        <w:ind w:firstLine="560" w:firstLineChars="200"/>
        <w:jc w:val="both"/>
        <w:textAlignment w:val="center"/>
        <w:rPr>
          <w:rFonts w:hint="eastAsia" w:ascii="宋体" w:hAnsi="宋体" w:eastAsia="宋体" w:cs="宋体"/>
          <w:bCs/>
          <w:color w:val="auto"/>
          <w:sz w:val="28"/>
          <w:szCs w:val="28"/>
          <w:highlight w:val="none"/>
          <w:lang w:eastAsia="zh-CN"/>
        </w:rPr>
      </w:pPr>
      <w:r>
        <w:rPr>
          <w:rFonts w:hint="eastAsia" w:ascii="宋体" w:hAnsi="宋体" w:eastAsia="宋体" w:cs="宋体"/>
          <w:bCs/>
          <w:color w:val="auto"/>
          <w:sz w:val="28"/>
          <w:szCs w:val="28"/>
          <w:highlight w:val="none"/>
          <w:lang w:val="en-US" w:eastAsia="zh-CN"/>
        </w:rPr>
        <w:t>2、</w:t>
      </w:r>
      <w:r>
        <w:rPr>
          <w:rFonts w:hint="eastAsia" w:ascii="宋体" w:hAnsi="宋体" w:eastAsia="宋体" w:cs="宋体"/>
          <w:bCs/>
          <w:color w:val="auto"/>
          <w:sz w:val="28"/>
          <w:szCs w:val="28"/>
          <w:highlight w:val="none"/>
        </w:rPr>
        <w:t>调查问题基本情况</w:t>
      </w:r>
      <w:r>
        <w:rPr>
          <w:rFonts w:hint="eastAsia" w:ascii="宋体" w:hAnsi="宋体" w:eastAsia="宋体" w:cs="宋体"/>
          <w:bCs/>
          <w:color w:val="auto"/>
          <w:sz w:val="28"/>
          <w:szCs w:val="28"/>
          <w:highlight w:val="none"/>
          <w:lang w:eastAsia="zh-CN"/>
        </w:rPr>
        <w:t>（个人）</w:t>
      </w:r>
    </w:p>
    <w:tbl>
      <w:tblPr>
        <w:tblStyle w:val="15"/>
        <w:tblW w:w="8313" w:type="dxa"/>
        <w:tblInd w:w="93" w:type="dxa"/>
        <w:tblLayout w:type="fixed"/>
        <w:tblCellMar>
          <w:top w:w="0" w:type="dxa"/>
          <w:left w:w="108" w:type="dxa"/>
          <w:bottom w:w="0" w:type="dxa"/>
          <w:right w:w="108" w:type="dxa"/>
        </w:tblCellMar>
      </w:tblPr>
      <w:tblGrid>
        <w:gridCol w:w="2302"/>
        <w:gridCol w:w="2351"/>
        <w:gridCol w:w="1836"/>
        <w:gridCol w:w="1824"/>
      </w:tblGrid>
      <w:tr>
        <w:tblPrEx>
          <w:tblCellMar>
            <w:top w:w="0" w:type="dxa"/>
            <w:left w:w="108" w:type="dxa"/>
            <w:bottom w:w="0" w:type="dxa"/>
            <w:right w:w="108" w:type="dxa"/>
          </w:tblCellMar>
        </w:tblPrEx>
        <w:trPr>
          <w:trHeight w:val="556" w:hRule="atLeast"/>
        </w:trPr>
        <w:tc>
          <w:tcPr>
            <w:tcW w:w="465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项目</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人数</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百分比</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eastAsia="zh-CN" w:bidi="ar"/>
              </w:rPr>
              <w:t>、就业状态：</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snapToGrid w:val="0"/>
                <w:color w:val="auto"/>
                <w:kern w:val="0"/>
                <w:sz w:val="24"/>
                <w:szCs w:val="24"/>
                <w:highlight w:val="none"/>
                <w:u w:val="none"/>
                <w:lang w:val="en-US" w:eastAsia="zh-CN" w:bidi="ar"/>
              </w:rPr>
              <w:t>农业</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rPr>
            </w:pPr>
            <w:r>
              <w:rPr>
                <w:rFonts w:hint="eastAsia" w:eastAsia="宋体" w:cs="Arial"/>
                <w:b w:val="0"/>
                <w:bCs w:val="0"/>
                <w:i w:val="0"/>
                <w:iCs w:val="0"/>
                <w:snapToGrid w:val="0"/>
                <w:color w:val="auto"/>
                <w:kern w:val="0"/>
                <w:sz w:val="24"/>
                <w:szCs w:val="24"/>
                <w:highlight w:val="none"/>
                <w:u w:val="none"/>
                <w:lang w:val="en-US" w:eastAsia="zh-CN" w:bidi="ar"/>
              </w:rPr>
              <w:t>3560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91</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left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lang w:bidi="ar"/>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bidi="ar"/>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打零工</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324</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8</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left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lang w:bidi="ar"/>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bidi="ar"/>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工人</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25</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1</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left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lang w:bidi="ar"/>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bidi="ar"/>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个体经营</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left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lang w:bidi="ar"/>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bidi="ar"/>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学生</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left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lang w:bidi="ar"/>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bidi="ar"/>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机关、事业单位工作人员</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left w:val="single" w:color="000000" w:sz="4" w:space="0"/>
              <w:right w:val="single" w:color="000000" w:sz="4" w:space="0"/>
            </w:tcBorders>
            <w:noWrap w:val="0"/>
            <w:vAlign w:val="center"/>
          </w:tcPr>
          <w:p>
            <w:pPr>
              <w:jc w:val="center"/>
              <w:textAlignment w:val="center"/>
              <w:rPr>
                <w:rFonts w:hint="eastAsia" w:ascii="宋体" w:hAnsi="宋体" w:eastAsia="宋体" w:cs="宋体"/>
                <w:color w:val="auto"/>
                <w:sz w:val="24"/>
                <w:szCs w:val="24"/>
                <w:highlight w:val="none"/>
                <w:lang w:bidi="ar"/>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lang w:bidi="ar"/>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自由职业者</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教师或科技工作者</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无业、失业或丧失劳动能力</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离退休</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2、</w:t>
            </w:r>
            <w:r>
              <w:rPr>
                <w:rFonts w:hint="default" w:ascii="Arial" w:hAnsi="Arial" w:eastAsia="宋体" w:cs="Arial"/>
                <w:i w:val="0"/>
                <w:iCs w:val="0"/>
                <w:snapToGrid w:val="0"/>
                <w:color w:val="auto"/>
                <w:kern w:val="0"/>
                <w:sz w:val="24"/>
                <w:szCs w:val="24"/>
                <w:highlight w:val="none"/>
                <w:u w:val="none"/>
                <w:lang w:val="en-US" w:eastAsia="zh-CN" w:bidi="ar"/>
              </w:rPr>
              <w:t>文化程度</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初中及以下</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3595</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92</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高中</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rPr>
            </w:pPr>
            <w:r>
              <w:rPr>
                <w:rFonts w:hint="eastAsia" w:eastAsia="宋体" w:cs="Arial"/>
                <w:b w:val="0"/>
                <w:bCs w:val="0"/>
                <w:i w:val="0"/>
                <w:iCs w:val="0"/>
                <w:snapToGrid w:val="0"/>
                <w:color w:val="auto"/>
                <w:kern w:val="0"/>
                <w:sz w:val="24"/>
                <w:szCs w:val="24"/>
                <w:highlight w:val="none"/>
                <w:u w:val="none"/>
                <w:lang w:val="en-US" w:eastAsia="zh-CN" w:bidi="ar"/>
              </w:rPr>
              <w:t>298</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7</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大专</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16</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1</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本科</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硕士及以上</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ascii="Arial" w:hAnsi="Arial" w:eastAsia="宋体" w:cs="Arial"/>
                <w:i w:val="0"/>
                <w:iCs w:val="0"/>
                <w:snapToGrid w:val="0"/>
                <w:color w:val="auto"/>
                <w:kern w:val="0"/>
                <w:sz w:val="24"/>
                <w:szCs w:val="24"/>
                <w:highlight w:val="none"/>
                <w:u w:val="none"/>
                <w:lang w:val="en-US" w:eastAsia="zh-CN" w:bidi="ar"/>
              </w:rPr>
              <w:t>3、</w:t>
            </w:r>
            <w:r>
              <w:rPr>
                <w:rFonts w:hint="default" w:ascii="Arial" w:hAnsi="Arial" w:eastAsia="宋体" w:cs="Arial"/>
                <w:i w:val="0"/>
                <w:iCs w:val="0"/>
                <w:snapToGrid w:val="0"/>
                <w:color w:val="auto"/>
                <w:kern w:val="0"/>
                <w:sz w:val="24"/>
                <w:szCs w:val="24"/>
                <w:highlight w:val="none"/>
                <w:u w:val="none"/>
                <w:lang w:val="en-US" w:eastAsia="zh-CN" w:bidi="ar"/>
              </w:rPr>
              <w:t>年均收入：</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2</w:t>
            </w:r>
            <w:r>
              <w:rPr>
                <w:rFonts w:hint="default" w:ascii="Arial" w:hAnsi="Arial" w:eastAsia="仿宋_GB2312" w:cs="Arial"/>
                <w:i w:val="0"/>
                <w:iCs w:val="0"/>
                <w:snapToGrid w:val="0"/>
                <w:color w:val="auto"/>
                <w:kern w:val="0"/>
                <w:sz w:val="24"/>
                <w:szCs w:val="24"/>
                <w:highlight w:val="none"/>
                <w:u w:val="none"/>
                <w:lang w:val="en-US" w:eastAsia="zh-CN" w:bidi="ar"/>
              </w:rPr>
              <w:t>万元到</w:t>
            </w:r>
            <w:r>
              <w:rPr>
                <w:rFonts w:hint="default" w:ascii="Arial" w:hAnsi="Arial" w:eastAsia="宋体" w:cs="Arial"/>
                <w:i w:val="0"/>
                <w:iCs w:val="0"/>
                <w:snapToGrid w:val="0"/>
                <w:color w:val="auto"/>
                <w:kern w:val="0"/>
                <w:sz w:val="24"/>
                <w:szCs w:val="24"/>
                <w:highlight w:val="none"/>
                <w:u w:val="none"/>
                <w:lang w:val="en-US" w:eastAsia="zh-CN" w:bidi="ar"/>
              </w:rPr>
              <w:t>6</w:t>
            </w:r>
            <w:r>
              <w:rPr>
                <w:rFonts w:hint="default" w:ascii="Arial" w:hAnsi="Arial" w:eastAsia="仿宋_GB2312" w:cs="Arial"/>
                <w:i w:val="0"/>
                <w:iCs w:val="0"/>
                <w:snapToGrid w:val="0"/>
                <w:color w:val="auto"/>
                <w:kern w:val="0"/>
                <w:sz w:val="24"/>
                <w:szCs w:val="24"/>
                <w:highlight w:val="none"/>
                <w:u w:val="none"/>
                <w:lang w:val="en-US" w:eastAsia="zh-CN" w:bidi="ar"/>
              </w:rPr>
              <w:t>万元</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3658</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94%</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仿宋_GB2312" w:cs="Arial"/>
                <w:i w:val="0"/>
                <w:iCs w:val="0"/>
                <w:snapToGrid w:val="0"/>
                <w:color w:val="auto"/>
                <w:kern w:val="0"/>
                <w:sz w:val="24"/>
                <w:szCs w:val="24"/>
                <w:highlight w:val="none"/>
                <w:u w:val="none"/>
                <w:lang w:val="en-US" w:eastAsia="zh-CN" w:bidi="ar"/>
              </w:rPr>
              <w:t>6万元到10万元</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251</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6%</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仿宋_GB2312" w:cs="Arial"/>
                <w:i w:val="0"/>
                <w:iCs w:val="0"/>
                <w:snapToGrid w:val="0"/>
                <w:color w:val="auto"/>
                <w:kern w:val="0"/>
                <w:sz w:val="24"/>
                <w:szCs w:val="24"/>
                <w:highlight w:val="none"/>
                <w:u w:val="none"/>
                <w:lang w:val="en-US" w:eastAsia="zh-CN" w:bidi="ar"/>
              </w:rPr>
              <w:t>10万元到15万元</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仿宋_GB2312" w:cs="Arial"/>
                <w:i w:val="0"/>
                <w:iCs w:val="0"/>
                <w:snapToGrid w:val="0"/>
                <w:color w:val="auto"/>
                <w:kern w:val="0"/>
                <w:sz w:val="24"/>
                <w:szCs w:val="24"/>
                <w:highlight w:val="none"/>
                <w:u w:val="none"/>
                <w:lang w:val="en-US" w:eastAsia="zh-CN" w:bidi="ar"/>
              </w:rPr>
              <w:t>15万元到20万元</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仿宋_GB2312" w:cs="Arial"/>
                <w:i w:val="0"/>
                <w:iCs w:val="0"/>
                <w:snapToGrid w:val="0"/>
                <w:color w:val="auto"/>
                <w:kern w:val="0"/>
                <w:sz w:val="24"/>
                <w:szCs w:val="24"/>
                <w:highlight w:val="none"/>
                <w:u w:val="none"/>
                <w:lang w:val="en-US" w:eastAsia="zh-CN" w:bidi="ar"/>
              </w:rPr>
              <w:t>20万元以上</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4、</w:t>
            </w:r>
            <w:r>
              <w:rPr>
                <w:rFonts w:hint="default" w:ascii="Arial" w:hAnsi="Arial" w:eastAsia="宋体" w:cs="Arial"/>
                <w:i w:val="0"/>
                <w:iCs w:val="0"/>
                <w:snapToGrid w:val="0"/>
                <w:color w:val="auto"/>
                <w:kern w:val="0"/>
                <w:sz w:val="24"/>
                <w:szCs w:val="24"/>
                <w:highlight w:val="none"/>
                <w:u w:val="none"/>
                <w:lang w:val="en-US" w:eastAsia="zh-CN" w:bidi="ar"/>
              </w:rPr>
              <w:t>对本项目的了解程度</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十分了解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2190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56%</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1587</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41%</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不太了解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43</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没听说过</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89</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2%</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5、</w:t>
            </w:r>
            <w:r>
              <w:rPr>
                <w:rFonts w:hint="default" w:ascii="Arial" w:hAnsi="Arial" w:eastAsia="宋体" w:cs="Arial"/>
                <w:i w:val="0"/>
                <w:iCs w:val="0"/>
                <w:snapToGrid w:val="0"/>
                <w:color w:val="auto"/>
                <w:kern w:val="0"/>
                <w:sz w:val="24"/>
                <w:szCs w:val="24"/>
                <w:highlight w:val="none"/>
                <w:u w:val="none"/>
                <w:lang w:val="en-US" w:eastAsia="zh-CN" w:bidi="ar"/>
              </w:rPr>
              <w:t>消息来源</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建设单位公告</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2114</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54%</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社区公告</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351</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9%</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相关会议</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101</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3%</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口头相传</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867</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22%</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报纸或杂志</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394</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10%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网络</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82</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其他</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 xml:space="preserve">  6、</w:t>
            </w:r>
            <w:r>
              <w:rPr>
                <w:rFonts w:hint="default" w:ascii="Arial" w:hAnsi="Arial" w:eastAsia="宋体" w:cs="Arial"/>
                <w:i w:val="0"/>
                <w:iCs w:val="0"/>
                <w:snapToGrid w:val="0"/>
                <w:color w:val="auto"/>
                <w:kern w:val="0"/>
                <w:sz w:val="24"/>
                <w:szCs w:val="24"/>
                <w:highlight w:val="none"/>
                <w:u w:val="none"/>
                <w:lang w:val="en-US" w:eastAsia="zh-CN" w:bidi="ar"/>
              </w:rPr>
              <w:t>对本项目最关心的问题</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拟建项目范围</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2812</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72%</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拟建项目用途</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681</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17%</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拟建项目目的</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416</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11%</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其他</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579"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7、</w:t>
            </w:r>
            <w:r>
              <w:rPr>
                <w:rFonts w:hint="default" w:ascii="Arial" w:hAnsi="Arial" w:eastAsia="宋体" w:cs="Arial"/>
                <w:i w:val="0"/>
                <w:iCs w:val="0"/>
                <w:snapToGrid w:val="0"/>
                <w:color w:val="auto"/>
                <w:kern w:val="0"/>
                <w:sz w:val="24"/>
                <w:szCs w:val="24"/>
                <w:highlight w:val="none"/>
                <w:u w:val="none"/>
                <w:lang w:val="en-US" w:eastAsia="zh-CN" w:bidi="ar"/>
              </w:rPr>
              <w:t>本项目对日常生活或活动的影响程度</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基本无影响</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3058</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78%</w:t>
            </w:r>
          </w:p>
        </w:tc>
      </w:tr>
      <w:tr>
        <w:tblPrEx>
          <w:tblCellMar>
            <w:top w:w="0" w:type="dxa"/>
            <w:left w:w="108" w:type="dxa"/>
            <w:bottom w:w="0" w:type="dxa"/>
            <w:right w:w="108" w:type="dxa"/>
          </w:tblCellMar>
        </w:tblPrEx>
        <w:trPr>
          <w:trHeight w:val="558"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影响较小</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851</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22%</w:t>
            </w:r>
          </w:p>
        </w:tc>
      </w:tr>
      <w:tr>
        <w:tblPrEx>
          <w:tblCellMar>
            <w:top w:w="0" w:type="dxa"/>
            <w:left w:w="108" w:type="dxa"/>
            <w:bottom w:w="0" w:type="dxa"/>
            <w:right w:w="108" w:type="dxa"/>
          </w:tblCellMar>
        </w:tblPrEx>
        <w:trPr>
          <w:trHeight w:val="558"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影响一般</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558"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影响较大</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523"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影响很大</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8、</w:t>
            </w:r>
            <w:r>
              <w:rPr>
                <w:rFonts w:hint="default" w:ascii="Arial" w:hAnsi="Arial" w:eastAsia="宋体" w:cs="Arial"/>
                <w:i w:val="0"/>
                <w:iCs w:val="0"/>
                <w:snapToGrid w:val="0"/>
                <w:color w:val="auto"/>
                <w:kern w:val="0"/>
                <w:sz w:val="24"/>
                <w:szCs w:val="24"/>
                <w:highlight w:val="none"/>
                <w:u w:val="none"/>
                <w:lang w:val="en-US" w:eastAsia="zh-CN" w:bidi="ar"/>
              </w:rPr>
              <w:t>本项目是否符合国家、地方政策及产业发展方针</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符合</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2346</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60%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基本符合</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1421</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36%</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不符合</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不关心</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142</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4%</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9、</w:t>
            </w:r>
            <w:r>
              <w:rPr>
                <w:rFonts w:hint="default" w:ascii="Arial" w:hAnsi="Arial" w:eastAsia="宋体" w:cs="Arial"/>
                <w:i w:val="0"/>
                <w:iCs w:val="0"/>
                <w:snapToGrid w:val="0"/>
                <w:color w:val="auto"/>
                <w:kern w:val="0"/>
                <w:sz w:val="24"/>
                <w:szCs w:val="24"/>
                <w:highlight w:val="none"/>
                <w:u w:val="none"/>
                <w:lang w:val="en-US" w:eastAsia="zh-CN" w:bidi="ar"/>
              </w:rPr>
              <w:t>相关部门在本次项目实施运行中最应注意什么</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对项目安全性进行全面分析论证</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1320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34%</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加强对项目的监督管理，防止安全隐患</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865</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22%</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及时向居民公开相关信息，防止传播虚假信息</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1724</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44%</w:t>
            </w:r>
          </w:p>
        </w:tc>
      </w:tr>
      <w:tr>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10、</w:t>
            </w:r>
            <w:r>
              <w:rPr>
                <w:rFonts w:hint="default" w:ascii="Arial" w:hAnsi="Arial" w:eastAsia="宋体" w:cs="Arial"/>
                <w:i w:val="0"/>
                <w:iCs w:val="0"/>
                <w:snapToGrid w:val="0"/>
                <w:color w:val="auto"/>
                <w:kern w:val="0"/>
                <w:sz w:val="24"/>
                <w:szCs w:val="24"/>
                <w:highlight w:val="none"/>
                <w:u w:val="none"/>
                <w:lang w:val="en-US" w:eastAsia="zh-CN" w:bidi="ar"/>
              </w:rPr>
              <w:t>本项目所产生的社会稳定风险程度</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完全无风险</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eastAsia="zh-CN"/>
              </w:rPr>
            </w:pPr>
            <w:r>
              <w:rPr>
                <w:rFonts w:hint="eastAsia" w:ascii="Arial" w:hAnsi="Arial" w:eastAsia="宋体" w:cs="Arial"/>
                <w:b w:val="0"/>
                <w:bCs w:val="0"/>
                <w:color w:val="auto"/>
                <w:sz w:val="24"/>
                <w:szCs w:val="24"/>
                <w:highlight w:val="none"/>
                <w:lang w:val="en-US" w:eastAsia="zh-CN"/>
              </w:rPr>
              <w:t>3529</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ascii="Arial" w:hAnsi="Arial" w:eastAsia="宋体" w:cs="Arial"/>
                <w:b w:val="0"/>
                <w:bCs w:val="0"/>
                <w:i w:val="0"/>
                <w:iCs w:val="0"/>
                <w:snapToGrid w:val="0"/>
                <w:color w:val="auto"/>
                <w:kern w:val="0"/>
                <w:sz w:val="24"/>
                <w:szCs w:val="24"/>
                <w:highlight w:val="none"/>
                <w:u w:val="none"/>
                <w:lang w:val="en-US" w:eastAsia="zh-CN" w:bidi="ar"/>
              </w:rPr>
              <w:t>91</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较小风险</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eastAsia="zh-CN"/>
              </w:rPr>
            </w:pPr>
            <w:r>
              <w:rPr>
                <w:rFonts w:hint="eastAsia" w:ascii="Arial" w:hAnsi="Arial" w:eastAsia="宋体" w:cs="Arial"/>
                <w:b w:val="0"/>
                <w:bCs w:val="0"/>
                <w:color w:val="auto"/>
                <w:sz w:val="24"/>
                <w:szCs w:val="24"/>
                <w:highlight w:val="none"/>
                <w:lang w:val="en-US" w:eastAsia="zh-CN"/>
              </w:rPr>
              <w:t>380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ascii="Arial" w:hAnsi="Arial" w:eastAsia="宋体" w:cs="Arial"/>
                <w:b w:val="0"/>
                <w:bCs w:val="0"/>
                <w:i w:val="0"/>
                <w:iCs w:val="0"/>
                <w:snapToGrid w:val="0"/>
                <w:color w:val="auto"/>
                <w:kern w:val="0"/>
                <w:sz w:val="24"/>
                <w:szCs w:val="24"/>
                <w:highlight w:val="none"/>
                <w:u w:val="none"/>
                <w:lang w:val="en-US" w:eastAsia="zh-CN" w:bidi="ar"/>
              </w:rPr>
              <w:t>9</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一般风险</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较大风险</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很大风险</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bl>
    <w:p>
      <w:pPr>
        <w:pStyle w:val="2"/>
        <w:ind w:firstLine="0" w:firstLineChars="0"/>
        <w:rPr>
          <w:rFonts w:hAnsi="宋体" w:cs="宋体"/>
          <w:bCs/>
          <w:color w:val="auto"/>
        </w:rPr>
      </w:pPr>
    </w:p>
    <w:p>
      <w:pPr>
        <w:pStyle w:val="4"/>
        <w:spacing w:line="560" w:lineRule="exact"/>
        <w:rPr>
          <w:color w:val="auto"/>
        </w:rPr>
      </w:pPr>
      <w:bookmarkStart w:id="39" w:name="_bookmark8"/>
      <w:bookmarkEnd w:id="39"/>
      <w:bookmarkStart w:id="40" w:name="_Toc31982"/>
      <w:r>
        <w:rPr>
          <w:rFonts w:ascii="宋体" w:hAnsi="宋体" w:eastAsia="宋体" w:cs="宋体"/>
          <w:color w:val="auto"/>
          <w:szCs w:val="32"/>
        </w:rPr>
        <w:t>(</w:t>
      </w:r>
      <w:r>
        <w:rPr>
          <w:rFonts w:hint="eastAsia" w:ascii="宋体" w:hAnsi="宋体" w:eastAsia="宋体" w:cs="宋体"/>
          <w:color w:val="auto"/>
          <w:szCs w:val="32"/>
        </w:rPr>
        <w:t>二)风险识别评估</w:t>
      </w:r>
      <w:bookmarkEnd w:id="40"/>
    </w:p>
    <w:p>
      <w:pPr>
        <w:pStyle w:val="6"/>
        <w:keepNext w:val="0"/>
        <w:keepLines w:val="0"/>
        <w:widowControl w:val="0"/>
        <w:kinsoku/>
        <w:overflowPunct w:val="0"/>
        <w:spacing w:line="560" w:lineRule="exact"/>
        <w:ind w:firstLine="560" w:firstLineChars="200"/>
        <w:rPr>
          <w:rFonts w:hint="eastAsia" w:ascii="宋体" w:hAnsi="宋体" w:eastAsia="宋体" w:cs="宋体"/>
          <w:b w:val="0"/>
          <w:bCs/>
          <w:color w:val="auto"/>
          <w:szCs w:val="28"/>
        </w:rPr>
      </w:pPr>
      <w:r>
        <w:rPr>
          <w:rFonts w:hint="eastAsia" w:ascii="宋体" w:hAnsi="宋体" w:eastAsia="宋体" w:cs="宋体"/>
          <w:b w:val="0"/>
          <w:bCs/>
          <w:color w:val="auto"/>
          <w:szCs w:val="28"/>
        </w:rPr>
        <w:t>1、项目规划和审批风险</w:t>
      </w:r>
    </w:p>
    <w:p>
      <w:pPr>
        <w:widowControl w:val="0"/>
        <w:kinsoku/>
        <w:overflowPunct w:val="0"/>
        <w:spacing w:before="91"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风险分析：即本项目政策规划和程序合法性、合理性遭质疑的风险。本项目的建设是否与现行政策、法律、法规相抵触，是否有充分的政策、法律依据，是否符合该区域总体规划，是否坚持严格的审查审批和报批程序；是否经过严谨科学的可行性研究论证，是否充分考虑到时间、空间、人力、物力、财力等制约因素。</w:t>
      </w:r>
    </w:p>
    <w:p>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目前，《</w:t>
      </w:r>
      <w:r>
        <w:rPr>
          <w:rFonts w:hint="eastAsia" w:ascii="仿宋" w:hAnsi="仿宋" w:eastAsia="仿宋" w:cs="仿宋"/>
          <w:color w:val="auto"/>
          <w:sz w:val="30"/>
          <w:szCs w:val="30"/>
          <w:lang w:eastAsia="zh-CN"/>
        </w:rPr>
        <w:t>2022年历城区“四好农村路”建设项目</w:t>
      </w:r>
      <w:r>
        <w:rPr>
          <w:rFonts w:hint="eastAsia" w:ascii="仿宋" w:hAnsi="仿宋" w:eastAsia="仿宋" w:cs="仿宋"/>
          <w:color w:val="auto"/>
          <w:sz w:val="30"/>
          <w:szCs w:val="30"/>
        </w:rPr>
        <w:t>可行性研究报告》报批工作正在进行中</w:t>
      </w:r>
      <w:r>
        <w:rPr>
          <w:rFonts w:hint="eastAsia" w:ascii="仿宋" w:hAnsi="仿宋" w:eastAsia="仿宋" w:cs="仿宋"/>
          <w:color w:val="auto"/>
          <w:sz w:val="30"/>
          <w:szCs w:val="30"/>
          <w:highlight w:val="none"/>
        </w:rPr>
        <w:t>。由于农村公路是农村地区覆盖范围最广、服务人口最多、公益性最强的交通基础设施，因此本项目的实施不仅补齐了农村交通基础设施短板，完善了农村交通运输体系，更好地服务巩固拓展脱贫攻坚成果，助力全面推进乡村振兴，还有利于从整体提高社会效益和经济效益。</w:t>
      </w:r>
      <w:r>
        <w:rPr>
          <w:rFonts w:hint="eastAsia" w:ascii="仿宋" w:hAnsi="仿宋" w:eastAsia="仿宋" w:cs="仿宋"/>
          <w:color w:val="auto"/>
          <w:sz w:val="30"/>
          <w:szCs w:val="30"/>
        </w:rPr>
        <w:t>该项目符合城市总体规划及成片开发方案情况。社会稳定风险调查期间经过各部门共同努力，在基层政府的协助下，通过张贴公告等宣传方式，对拟建项目实施的必要性以及对周围环境产生的影响进行宣传，同时采用发放公众意见调查表的方式调查当地村民对本项目所持的态度。公众意见调查结果表明大多数受访者支持本项目。分析认为该因素风险较小。</w:t>
      </w:r>
    </w:p>
    <w:p>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风险评价：分析认为该因素风险较小。</w:t>
      </w:r>
    </w:p>
    <w:p>
      <w:pPr>
        <w:pStyle w:val="6"/>
        <w:keepNext w:val="0"/>
        <w:keepLines w:val="0"/>
        <w:widowControl w:val="0"/>
        <w:kinsoku/>
        <w:overflowPunct w:val="0"/>
        <w:spacing w:line="560" w:lineRule="exact"/>
        <w:ind w:firstLine="560" w:firstLineChars="200"/>
        <w:rPr>
          <w:rFonts w:ascii="宋体" w:hAnsi="宋体" w:eastAsia="宋体" w:cs="宋体"/>
          <w:b w:val="0"/>
          <w:bCs/>
          <w:color w:val="auto"/>
          <w:szCs w:val="28"/>
        </w:rPr>
      </w:pPr>
      <w:r>
        <w:rPr>
          <w:rFonts w:hint="eastAsia" w:ascii="宋体" w:hAnsi="宋体" w:eastAsia="宋体" w:cs="宋体"/>
          <w:b w:val="0"/>
          <w:bCs/>
          <w:color w:val="auto"/>
          <w:szCs w:val="28"/>
        </w:rPr>
        <w:t>2、建设实施风险</w:t>
      </w:r>
    </w:p>
    <w:p>
      <w:pPr>
        <w:pStyle w:val="8"/>
        <w:widowControl w:val="0"/>
        <w:kinsoku/>
        <w:overflowPunct w:val="0"/>
        <w:spacing w:line="360" w:lineRule="auto"/>
        <w:ind w:right="244"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rPr>
        <w:t>风险分析：建设实施风险主要分为技术管理风险及人员管理风险。项目建设单位、施工单位若不能形成有效的施工管理机制、工作纪律守则，以严格约束工程施工人员，则可能在施工过程中出现由于技术或人员监管不到位造成事故。建设单位、施工单位若不能加强人员队伍的精神文明建设和技术提升并制定行为约束机制，则可能在生活习惯、沟通交流等方面引发冲突风险。同时项目本身可能出现资金周转不利，造成施工人员薪资拖欠等问题，引发罢工、上访、群访等社会稳定风险。</w:t>
      </w:r>
    </w:p>
    <w:p>
      <w:pPr>
        <w:pStyle w:val="8"/>
        <w:widowControl w:val="0"/>
        <w:kinsoku/>
        <w:overflowPunct w:val="0"/>
        <w:spacing w:line="360" w:lineRule="auto"/>
        <w:ind w:right="244"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rPr>
        <w:t>本项目在建设实施阶段，</w:t>
      </w:r>
      <w:r>
        <w:rPr>
          <w:rFonts w:hint="eastAsia" w:ascii="仿宋" w:hAnsi="仿宋" w:eastAsia="仿宋" w:cs="仿宋"/>
          <w:color w:val="auto"/>
          <w:sz w:val="30"/>
          <w:szCs w:val="30"/>
          <w:lang w:eastAsia="zh-CN"/>
        </w:rPr>
        <w:t>将会暂时影响居民出行</w:t>
      </w:r>
      <w:r>
        <w:rPr>
          <w:rFonts w:hint="eastAsia" w:ascii="仿宋" w:hAnsi="仿宋" w:eastAsia="仿宋" w:cs="仿宋"/>
          <w:color w:val="auto"/>
          <w:sz w:val="30"/>
          <w:szCs w:val="30"/>
        </w:rPr>
        <w:t>。因此，本项目的建设实施具有一定的敏感性，需要充分考虑其在具体的施工环境中存在安全或技术风险的可能性。但是本项目由建设实施引发社会稳定风险的概率较</w:t>
      </w:r>
      <w:r>
        <w:rPr>
          <w:rFonts w:hint="eastAsia" w:ascii="仿宋" w:hAnsi="仿宋" w:eastAsia="仿宋" w:cs="仿宋"/>
          <w:color w:val="auto"/>
          <w:sz w:val="30"/>
          <w:szCs w:val="30"/>
          <w:lang w:eastAsia="zh-CN"/>
        </w:rPr>
        <w:t>高</w:t>
      </w:r>
      <w:r>
        <w:rPr>
          <w:rFonts w:hint="eastAsia" w:ascii="仿宋" w:hAnsi="仿宋" w:eastAsia="仿宋" w:cs="仿宋"/>
          <w:color w:val="auto"/>
          <w:sz w:val="30"/>
          <w:szCs w:val="30"/>
        </w:rPr>
        <w:t>，风险影响后果较大。</w:t>
      </w:r>
    </w:p>
    <w:p>
      <w:pPr>
        <w:widowControl w:val="0"/>
        <w:kinsoku/>
        <w:overflowPunct w:val="0"/>
        <w:spacing w:before="103"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 xml:space="preserve">风险评价：分析认为该因素风险较大 </w:t>
      </w:r>
    </w:p>
    <w:p>
      <w:pPr>
        <w:pStyle w:val="6"/>
        <w:keepNext w:val="0"/>
        <w:keepLines w:val="0"/>
        <w:widowControl w:val="0"/>
        <w:kinsoku/>
        <w:overflowPunct w:val="0"/>
        <w:spacing w:line="560" w:lineRule="exact"/>
        <w:ind w:firstLine="560" w:firstLineChars="200"/>
        <w:rPr>
          <w:rFonts w:hint="eastAsia" w:ascii="宋体" w:hAnsi="宋体" w:eastAsia="宋体" w:cs="宋体"/>
          <w:b w:val="0"/>
          <w:bCs/>
          <w:color w:val="auto"/>
          <w:szCs w:val="28"/>
        </w:rPr>
      </w:pPr>
      <w:r>
        <w:rPr>
          <w:rFonts w:hint="eastAsia" w:ascii="宋体" w:hAnsi="宋体" w:eastAsia="宋体" w:cs="宋体"/>
          <w:b w:val="0"/>
          <w:bCs/>
          <w:color w:val="auto"/>
          <w:szCs w:val="28"/>
        </w:rPr>
        <w:t>3、项目管理风险</w:t>
      </w:r>
    </w:p>
    <w:p>
      <w:pPr>
        <w:pStyle w:val="8"/>
        <w:widowControl w:val="0"/>
        <w:kinsoku/>
        <w:overflowPunct w:val="0"/>
        <w:spacing w:line="360" w:lineRule="auto"/>
        <w:ind w:right="244"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rPr>
        <w:t>风险分析：工程项目实施需制订施工组织方案，对项目工期、作业时间、施工人员管理、施工方法进行控制。</w:t>
      </w:r>
    </w:p>
    <w:p>
      <w:pPr>
        <w:pStyle w:val="8"/>
        <w:widowControl w:val="0"/>
        <w:kinsoku/>
        <w:overflowPunct w:val="0"/>
        <w:spacing w:line="360" w:lineRule="auto"/>
        <w:ind w:right="244"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rPr>
        <w:t>施工组织方案是工程项目实施管理的前提和计划，若制订不周密，则易引发施工管理问题，对项目所在区域产生影响。根据上述分析，本工程在项目管理方面的风险概率为中等，风险影响后果中等，风险程度为一般风险。</w:t>
      </w:r>
    </w:p>
    <w:p>
      <w:pPr>
        <w:widowControl w:val="0"/>
        <w:kinsoku/>
        <w:overflowPunct w:val="0"/>
        <w:spacing w:before="103"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风险评价：分析认为该因素风险一般</w:t>
      </w:r>
    </w:p>
    <w:p>
      <w:pPr>
        <w:pStyle w:val="6"/>
        <w:keepNext w:val="0"/>
        <w:keepLines w:val="0"/>
        <w:widowControl w:val="0"/>
        <w:kinsoku/>
        <w:overflowPunct w:val="0"/>
        <w:spacing w:line="560" w:lineRule="exact"/>
        <w:ind w:firstLine="560" w:firstLineChars="200"/>
        <w:rPr>
          <w:rFonts w:hint="eastAsia" w:ascii="宋体" w:hAnsi="宋体" w:eastAsia="宋体" w:cs="宋体"/>
          <w:b w:val="0"/>
          <w:bCs/>
          <w:color w:val="auto"/>
          <w:szCs w:val="28"/>
        </w:rPr>
      </w:pPr>
      <w:r>
        <w:rPr>
          <w:rFonts w:hint="eastAsia" w:ascii="宋体" w:hAnsi="宋体" w:eastAsia="宋体" w:cs="宋体"/>
          <w:b w:val="0"/>
          <w:bCs/>
          <w:color w:val="auto"/>
          <w:szCs w:val="28"/>
        </w:rPr>
        <w:t>4、资金保障风险</w:t>
      </w:r>
    </w:p>
    <w:p>
      <w:pPr>
        <w:pStyle w:val="8"/>
        <w:widowControl w:val="0"/>
        <w:kinsoku/>
        <w:overflowPunct w:val="0"/>
        <w:spacing w:line="360" w:lineRule="auto"/>
        <w:ind w:right="244" w:firstLine="576" w:firstLineChars="200"/>
        <w:jc w:val="both"/>
        <w:rPr>
          <w:rFonts w:hint="eastAsia" w:ascii="仿宋" w:hAnsi="仿宋" w:eastAsia="仿宋" w:cs="仿宋"/>
          <w:color w:val="auto"/>
          <w:sz w:val="30"/>
          <w:szCs w:val="30"/>
        </w:rPr>
      </w:pPr>
      <w:r>
        <w:rPr>
          <w:rFonts w:hint="eastAsia" w:ascii="仿宋" w:hAnsi="仿宋" w:eastAsia="仿宋" w:cs="仿宋"/>
          <w:color w:val="auto"/>
          <w:spacing w:val="-6"/>
          <w:sz w:val="30"/>
          <w:szCs w:val="30"/>
        </w:rPr>
        <w:t>风险分析：项目建设</w:t>
      </w:r>
      <w:r>
        <w:rPr>
          <w:rFonts w:hint="eastAsia" w:ascii="仿宋" w:hAnsi="仿宋" w:eastAsia="仿宋" w:cs="仿宋"/>
          <w:color w:val="auto"/>
          <w:sz w:val="30"/>
          <w:szCs w:val="30"/>
        </w:rPr>
        <w:t>资金筹措方案是否可行，资金是否有保障，资金落实情况是否及时公布，是否按照项目实施的具体情况选取最优方案进行施工，原材料及人员成本是否存在地区差异及差异程度。另外，由于项目周期较长，资金数量又较大，涉及多个环节及部门，资金到账</w:t>
      </w:r>
      <w:r>
        <w:rPr>
          <w:rFonts w:hint="eastAsia" w:ascii="仿宋" w:hAnsi="仿宋" w:eastAsia="仿宋" w:cs="仿宋"/>
          <w:color w:val="auto"/>
          <w:spacing w:val="-6"/>
          <w:sz w:val="30"/>
          <w:szCs w:val="30"/>
        </w:rPr>
        <w:t>时间可能会较长或</w:t>
      </w:r>
      <w:r>
        <w:rPr>
          <w:rFonts w:hint="eastAsia" w:ascii="仿宋" w:hAnsi="仿宋" w:eastAsia="仿宋" w:cs="仿宋"/>
          <w:color w:val="auto"/>
          <w:sz w:val="30"/>
          <w:szCs w:val="30"/>
        </w:rPr>
        <w:t>在资金下发的管理过程中出现不及时全额到位的现象。</w:t>
      </w:r>
    </w:p>
    <w:p>
      <w:pPr>
        <w:widowControl w:val="0"/>
        <w:kinsoku/>
        <w:overflowPunct w:val="0"/>
        <w:spacing w:before="91" w:line="360" w:lineRule="auto"/>
        <w:ind w:right="119"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本项目总投资</w:t>
      </w:r>
      <w:r>
        <w:rPr>
          <w:rFonts w:hint="eastAsia" w:ascii="仿宋" w:hAnsi="仿宋" w:eastAsia="仿宋" w:cs="仿宋"/>
          <w:color w:val="auto"/>
          <w:sz w:val="30"/>
          <w:szCs w:val="30"/>
          <w:lang w:val="en-US" w:eastAsia="zh-CN"/>
        </w:rPr>
        <w:t>14684万</w:t>
      </w:r>
      <w:r>
        <w:rPr>
          <w:rFonts w:hint="eastAsia" w:ascii="仿宋" w:hAnsi="仿宋" w:eastAsia="仿宋" w:cs="仿宋"/>
          <w:color w:val="auto"/>
          <w:sz w:val="30"/>
          <w:szCs w:val="30"/>
        </w:rPr>
        <w:t>元</w:t>
      </w:r>
      <w:r>
        <w:rPr>
          <w:rFonts w:hint="eastAsia" w:ascii="仿宋" w:hAnsi="仿宋" w:eastAsia="仿宋" w:cs="仿宋"/>
          <w:color w:val="auto"/>
          <w:spacing w:val="-6"/>
          <w:sz w:val="30"/>
          <w:szCs w:val="30"/>
        </w:rPr>
        <w:t>，</w:t>
      </w:r>
      <w:r>
        <w:rPr>
          <w:rFonts w:hint="eastAsia" w:ascii="仿宋" w:hAnsi="仿宋" w:eastAsia="仿宋" w:cs="仿宋"/>
          <w:color w:val="auto"/>
          <w:sz w:val="30"/>
          <w:szCs w:val="30"/>
          <w:lang w:eastAsia="zh-CN"/>
        </w:rPr>
        <w:t>除上级补助外的剩余资金由区财政和街办按</w:t>
      </w:r>
      <w:r>
        <w:rPr>
          <w:rFonts w:hint="eastAsia" w:ascii="仿宋" w:hAnsi="仿宋" w:eastAsia="仿宋" w:cs="仿宋"/>
          <w:color w:val="auto"/>
          <w:sz w:val="30"/>
          <w:szCs w:val="30"/>
          <w:lang w:val="en-US" w:eastAsia="zh-CN"/>
        </w:rPr>
        <w:t>7:3的比例共同承担</w:t>
      </w:r>
      <w:r>
        <w:rPr>
          <w:rFonts w:hint="eastAsia" w:ascii="仿宋" w:hAnsi="仿宋" w:eastAsia="仿宋" w:cs="仿宋"/>
          <w:color w:val="auto"/>
          <w:spacing w:val="-6"/>
          <w:sz w:val="30"/>
          <w:szCs w:val="30"/>
        </w:rPr>
        <w:t>。</w:t>
      </w:r>
      <w:r>
        <w:rPr>
          <w:rFonts w:hint="eastAsia" w:ascii="仿宋" w:hAnsi="仿宋" w:eastAsia="仿宋" w:cs="仿宋"/>
          <w:color w:val="auto"/>
          <w:spacing w:val="6"/>
          <w:sz w:val="30"/>
          <w:szCs w:val="30"/>
        </w:rPr>
        <w:t>在项目推进过程中，相关部门将对资金到位情况、项目的运作情况、进度、成本的控制等进行实时监控，从而做出科学的计划调整决策，以保证拟建项目的高效、安全。目前，本项目依法依规推进中，分析认为该因素风险较小。</w:t>
      </w:r>
    </w:p>
    <w:p>
      <w:pPr>
        <w:pStyle w:val="2"/>
        <w:widowControl w:val="0"/>
        <w:kinsoku/>
        <w:overflowPunct w:val="0"/>
        <w:ind w:firstLine="813"/>
        <w:rPr>
          <w:rFonts w:hint="eastAsia" w:ascii="仿宋" w:hAnsi="仿宋" w:eastAsia="仿宋" w:cs="仿宋"/>
          <w:color w:val="auto"/>
          <w:sz w:val="30"/>
          <w:szCs w:val="30"/>
        </w:rPr>
      </w:pPr>
      <w:r>
        <w:rPr>
          <w:rFonts w:hint="eastAsia" w:ascii="仿宋" w:hAnsi="仿宋" w:eastAsia="仿宋" w:cs="仿宋"/>
          <w:color w:val="auto"/>
          <w:sz w:val="30"/>
          <w:szCs w:val="30"/>
        </w:rPr>
        <w:t>风险评价：分析认为该因素风险较小</w:t>
      </w:r>
    </w:p>
    <w:p>
      <w:pPr>
        <w:pStyle w:val="6"/>
        <w:keepNext w:val="0"/>
        <w:keepLines w:val="0"/>
        <w:widowControl w:val="0"/>
        <w:kinsoku/>
        <w:overflowPunct w:val="0"/>
        <w:spacing w:line="560" w:lineRule="exact"/>
        <w:ind w:firstLine="576" w:firstLineChars="200"/>
        <w:rPr>
          <w:rFonts w:hint="eastAsia" w:ascii="仿宋" w:hAnsi="仿宋" w:eastAsia="仿宋" w:cs="仿宋"/>
          <w:b w:val="0"/>
          <w:bCs/>
          <w:color w:val="auto"/>
          <w:spacing w:val="-6"/>
          <w:sz w:val="30"/>
          <w:szCs w:val="30"/>
          <w:lang w:val="en-US" w:eastAsia="zh-CN"/>
        </w:rPr>
      </w:pPr>
      <w:r>
        <w:rPr>
          <w:rFonts w:hint="eastAsia" w:ascii="仿宋" w:hAnsi="仿宋" w:eastAsia="仿宋" w:cs="仿宋"/>
          <w:b w:val="0"/>
          <w:bCs/>
          <w:color w:val="auto"/>
          <w:spacing w:val="-6"/>
          <w:sz w:val="30"/>
          <w:szCs w:val="30"/>
          <w:lang w:val="en-US" w:eastAsia="zh-CN"/>
        </w:rPr>
        <w:t>5、宏观经济社会环境风险</w:t>
      </w:r>
    </w:p>
    <w:p>
      <w:pPr>
        <w:widowControl w:val="0"/>
        <w:kinsoku/>
        <w:overflowPunct w:val="0"/>
        <w:spacing w:line="360" w:lineRule="auto"/>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风险分析：本次土地征收经济社会影响类风险主要因素为对周边交通的影响和周边村民生产及生活的影响。</w:t>
      </w:r>
    </w:p>
    <w:p>
      <w:pPr>
        <w:widowControl w:val="0"/>
        <w:kinsoku/>
        <w:overflowPunct w:val="0"/>
        <w:spacing w:line="360" w:lineRule="auto"/>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（1）周边交通的影响分析</w:t>
      </w:r>
    </w:p>
    <w:p>
      <w:pPr>
        <w:widowControl w:val="0"/>
        <w:kinsoku/>
        <w:overflowPunct w:val="0"/>
        <w:spacing w:line="360" w:lineRule="auto"/>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随着本项目的实施，货车、危险废物运输车辆众多，施工期间存在运输车辆安全风险，为避免由于路线规划不合理，出现违章、增加道路交通运行量等情况的发生，动工前要预先规划好路线。</w:t>
      </w:r>
    </w:p>
    <w:p>
      <w:pPr>
        <w:widowControl w:val="0"/>
        <w:kinsoku/>
        <w:overflowPunct w:val="0"/>
        <w:spacing w:line="360" w:lineRule="auto"/>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（2）村民生产及生活</w:t>
      </w:r>
    </w:p>
    <w:p>
      <w:pPr>
        <w:widowControl w:val="0"/>
        <w:kinsoku/>
        <w:overflowPunct w:val="0"/>
        <w:spacing w:line="360" w:lineRule="auto"/>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本项目实施期间，施工人员可能会与周边民众发生冲突，影响当地治安环境。与此同时受新冠肺炎疫情影响，外来人员的进入会加大安全隐患，增加疫情传播风险。</w:t>
      </w:r>
    </w:p>
    <w:p>
      <w:pPr>
        <w:widowControl w:val="0"/>
        <w:kinsoku/>
        <w:overflowPunct w:val="0"/>
        <w:spacing w:line="360" w:lineRule="auto"/>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风险评价：分析认为该因素风险一般</w:t>
      </w:r>
    </w:p>
    <w:p>
      <w:pPr>
        <w:pStyle w:val="6"/>
        <w:keepNext w:val="0"/>
        <w:keepLines w:val="0"/>
        <w:widowControl w:val="0"/>
        <w:kinsoku/>
        <w:overflowPunct w:val="0"/>
        <w:spacing w:line="560" w:lineRule="exact"/>
        <w:ind w:firstLine="576" w:firstLineChars="200"/>
        <w:rPr>
          <w:rFonts w:hint="eastAsia" w:ascii="仿宋" w:hAnsi="仿宋" w:eastAsia="仿宋" w:cs="仿宋"/>
          <w:b w:val="0"/>
          <w:color w:val="auto"/>
          <w:spacing w:val="-6"/>
          <w:sz w:val="30"/>
          <w:szCs w:val="30"/>
        </w:rPr>
      </w:pPr>
      <w:r>
        <w:rPr>
          <w:rFonts w:hint="eastAsia" w:ascii="仿宋" w:hAnsi="仿宋" w:eastAsia="仿宋" w:cs="仿宋"/>
          <w:b w:val="0"/>
          <w:color w:val="auto"/>
          <w:spacing w:val="-6"/>
          <w:sz w:val="30"/>
          <w:szCs w:val="30"/>
          <w:lang w:val="en-US" w:eastAsia="zh-CN"/>
        </w:rPr>
        <w:t>6</w:t>
      </w:r>
      <w:r>
        <w:rPr>
          <w:rFonts w:hint="eastAsia" w:ascii="仿宋" w:hAnsi="仿宋" w:eastAsia="仿宋" w:cs="仿宋"/>
          <w:b w:val="0"/>
          <w:color w:val="auto"/>
          <w:spacing w:val="-6"/>
          <w:sz w:val="30"/>
          <w:szCs w:val="30"/>
        </w:rPr>
        <w:t>、生态环境影响风险</w:t>
      </w:r>
    </w:p>
    <w:p>
      <w:pPr>
        <w:widowControl w:val="0"/>
        <w:kinsoku/>
        <w:overflowPunct w:val="0"/>
        <w:spacing w:line="360" w:lineRule="auto"/>
        <w:ind w:firstLine="600" w:firstLineChars="200"/>
        <w:rPr>
          <w:rFonts w:hint="eastAsia" w:ascii="仿宋" w:hAnsi="仿宋" w:eastAsia="仿宋" w:cs="仿宋"/>
          <w:color w:val="auto"/>
          <w:spacing w:val="-6"/>
          <w:sz w:val="30"/>
          <w:szCs w:val="30"/>
        </w:rPr>
      </w:pPr>
      <w:r>
        <w:rPr>
          <w:rFonts w:hint="eastAsia" w:ascii="仿宋" w:hAnsi="仿宋" w:eastAsia="仿宋" w:cs="仿宋"/>
          <w:color w:val="auto"/>
          <w:sz w:val="30"/>
          <w:szCs w:val="30"/>
        </w:rPr>
        <w:t>风险分析：</w:t>
      </w:r>
      <w:r>
        <w:rPr>
          <w:rFonts w:hint="eastAsia" w:ascii="仿宋" w:hAnsi="仿宋" w:eastAsia="仿宋" w:cs="仿宋"/>
          <w:color w:val="auto"/>
          <w:spacing w:val="-6"/>
          <w:sz w:val="30"/>
          <w:szCs w:val="30"/>
        </w:rPr>
        <w:t>本项目建设对环境可能的影响主要有是施工期间的影响。</w:t>
      </w:r>
    </w:p>
    <w:p>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1、施工期间的主要污染物、污染源</w:t>
      </w:r>
    </w:p>
    <w:p>
      <w:pPr>
        <w:widowControl w:val="0"/>
        <w:kinsoku/>
        <w:overflowPunct w:val="0"/>
        <w:spacing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1) 水污染源和污染物</w:t>
      </w:r>
    </w:p>
    <w:p>
      <w:pPr>
        <w:pStyle w:val="2"/>
        <w:rPr>
          <w:rFonts w:hint="eastAsia" w:ascii="仿宋" w:hAnsi="仿宋" w:eastAsia="仿宋" w:cs="仿宋"/>
          <w:snapToGrid w:val="0"/>
          <w:color w:val="auto"/>
          <w:spacing w:val="-6"/>
          <w:sz w:val="30"/>
          <w:szCs w:val="30"/>
          <w:lang w:val="en-US" w:eastAsia="zh-CN" w:bidi="ar-SA"/>
        </w:rPr>
      </w:pPr>
      <w:r>
        <w:rPr>
          <w:rFonts w:hint="eastAsia" w:ascii="仿宋" w:hAnsi="仿宋" w:eastAsia="仿宋" w:cs="仿宋"/>
          <w:snapToGrid w:val="0"/>
          <w:color w:val="auto"/>
          <w:spacing w:val="-6"/>
          <w:sz w:val="30"/>
          <w:szCs w:val="30"/>
          <w:lang w:val="en-US" w:eastAsia="zh-CN" w:bidi="ar-SA"/>
        </w:rPr>
        <w:t>公路施工期间对水环境的影响主要有建筑材料的运输和堆放对水体影响、边坡冲刷对地表水的影响，另外施工期含油污水构件生产废水等也会给当地水环境造成不同程度的危害。污染水体的污染指标通常变现为水体的pH值偏高、SS值较大、CODcr值偏大。</w:t>
      </w:r>
    </w:p>
    <w:p>
      <w:pPr>
        <w:pStyle w:val="2"/>
        <w:rPr>
          <w:rFonts w:hint="eastAsia" w:ascii="仿宋" w:hAnsi="仿宋" w:eastAsia="仿宋" w:cs="仿宋"/>
          <w:snapToGrid w:val="0"/>
          <w:color w:val="auto"/>
          <w:spacing w:val="-6"/>
          <w:sz w:val="30"/>
          <w:szCs w:val="30"/>
          <w:lang w:val="en-US" w:eastAsia="zh-CN" w:bidi="ar-SA"/>
        </w:rPr>
      </w:pPr>
      <w:r>
        <w:rPr>
          <w:rFonts w:hint="eastAsia" w:ascii="仿宋" w:hAnsi="仿宋" w:eastAsia="仿宋" w:cs="仿宋"/>
          <w:snapToGrid w:val="0"/>
          <w:color w:val="auto"/>
          <w:spacing w:val="-6"/>
          <w:sz w:val="30"/>
          <w:szCs w:val="30"/>
          <w:lang w:val="en-US" w:eastAsia="zh-CN" w:bidi="ar-SA"/>
        </w:rPr>
        <w:t>建筑材料运输过程中主要是材料的扬尘会随风飘到附近河流等地表水中，油料、沥青等化学物品如果保管不合理，在雨水的冲刷下可能会进人当地水环境，施工期间，要根据当地气候合理安排运输和保管措施，合库做好排水设置，和河流保持一定的距离。</w:t>
      </w:r>
    </w:p>
    <w:p>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2)大气污染源和污染物</w:t>
      </w:r>
    </w:p>
    <w:p>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废气源主要是工程运输车辆及施工机械工作时排放的燃油尾气、管沟开挖、交通运输及拆除阀室产生的扬尘、旧管道回收油品过程产生的少量烃类废气。主要污染物有NOx、CmHn、CO及颗粒物。</w:t>
      </w:r>
    </w:p>
    <w:p>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3)噪声污染源和污染物</w:t>
      </w:r>
    </w:p>
    <w:p>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噪声主要为施工机械、运输车辆及人员活动发出的噪声，噪声强度在85-120dB(A)。</w:t>
      </w:r>
    </w:p>
    <w:p>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4) 固体废弃物</w:t>
      </w:r>
    </w:p>
    <w:p>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固体废物主要为施工人员的生活垃圾和施工垃圾(弃土、残土、膨润土泥浆、施工废料等)。</w:t>
      </w:r>
    </w:p>
    <w:p>
      <w:pPr>
        <w:widowControl w:val="0"/>
        <w:kinsoku/>
        <w:overflowPunct w:val="0"/>
        <w:spacing w:before="91"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风险评价：分析认为该因素较大</w:t>
      </w:r>
    </w:p>
    <w:p>
      <w:pPr>
        <w:pStyle w:val="6"/>
        <w:keepNext w:val="0"/>
        <w:keepLines w:val="0"/>
        <w:widowControl w:val="0"/>
        <w:kinsoku/>
        <w:overflowPunct w:val="0"/>
        <w:spacing w:line="560" w:lineRule="exact"/>
        <w:ind w:firstLine="576" w:firstLineChars="200"/>
        <w:rPr>
          <w:rFonts w:hint="eastAsia" w:ascii="仿宋" w:hAnsi="仿宋" w:eastAsia="仿宋" w:cs="仿宋"/>
          <w:b w:val="0"/>
          <w:color w:val="auto"/>
          <w:spacing w:val="-6"/>
          <w:sz w:val="30"/>
          <w:szCs w:val="30"/>
        </w:rPr>
      </w:pPr>
      <w:r>
        <w:rPr>
          <w:rFonts w:hint="eastAsia" w:ascii="仿宋" w:hAnsi="仿宋" w:eastAsia="仿宋" w:cs="仿宋"/>
          <w:b w:val="0"/>
          <w:color w:val="auto"/>
          <w:spacing w:val="-6"/>
          <w:sz w:val="30"/>
          <w:szCs w:val="30"/>
          <w:lang w:val="en-US" w:eastAsia="zh-CN"/>
        </w:rPr>
        <w:t>7</w:t>
      </w:r>
      <w:r>
        <w:rPr>
          <w:rFonts w:hint="eastAsia" w:ascii="仿宋" w:hAnsi="仿宋" w:eastAsia="仿宋" w:cs="仿宋"/>
          <w:b w:val="0"/>
          <w:color w:val="auto"/>
          <w:spacing w:val="-6"/>
          <w:sz w:val="30"/>
          <w:szCs w:val="30"/>
        </w:rPr>
        <w:t>、媒体舆情风险</w:t>
      </w:r>
    </w:p>
    <w:p>
      <w:pPr>
        <w:widowControl w:val="0"/>
        <w:kinsoku/>
        <w:overflowPunct w:val="0"/>
        <w:spacing w:before="91"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风险分析： 新闻媒体对拟建项目的舆论宣传导向虽均为正面报道但所报道的信息面较窄，同时，网络宣传具有突发性和不确定性，任何虚假信息很容易引起负面的舆论导向，从而引发社会风险事件。此外，社会公众的直观判断，容易受到社会舆论影响。公众大多无法分辨从坊间、网络、媒体所获信息的真实性和可靠性，一旦有涉及项目任何负面信息，可能会在各种媒体上快速的传播，再者负面信息很容易被放大化，从而在公众心中形成对项目实施的担心和抵触情绪，从而存在社会稳定风险点。</w:t>
      </w:r>
    </w:p>
    <w:p>
      <w:pPr>
        <w:widowControl w:val="0"/>
        <w:kinsoku/>
        <w:overflowPunct w:val="0"/>
        <w:spacing w:before="91"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风险评价： 分析认为该因素风险较小</w:t>
      </w:r>
    </w:p>
    <w:p>
      <w:pPr>
        <w:widowControl w:val="0"/>
        <w:kinsoku/>
        <w:overflowPunct w:val="0"/>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主要风险因素汇总分析见下表：</w:t>
      </w:r>
    </w:p>
    <w:tbl>
      <w:tblPr>
        <w:tblStyle w:val="15"/>
        <w:tblW w:w="8071" w:type="dxa"/>
        <w:tblInd w:w="2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9"/>
        <w:gridCol w:w="66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79" w:type="dxa"/>
            <w:vAlign w:val="top"/>
          </w:tcPr>
          <w:p>
            <w:pPr>
              <w:widowControl w:val="0"/>
              <w:kinsoku/>
              <w:overflowPunct w:val="0"/>
              <w:spacing w:before="145" w:line="184" w:lineRule="auto"/>
              <w:ind w:firstLine="483" w:firstLineChars="0"/>
              <w:rPr>
                <w:rFonts w:ascii="宋体" w:hAnsi="宋体" w:eastAsia="宋体" w:cs="宋体"/>
                <w:color w:val="auto"/>
              </w:rPr>
            </w:pPr>
            <w:r>
              <w:rPr>
                <w:rFonts w:ascii="宋体" w:hAnsi="宋体" w:eastAsia="宋体" w:cs="宋体"/>
                <w:color w:val="auto"/>
                <w:spacing w:val="-4"/>
              </w:rPr>
              <w:t>序号</w:t>
            </w:r>
          </w:p>
        </w:tc>
        <w:tc>
          <w:tcPr>
            <w:tcW w:w="6692" w:type="dxa"/>
            <w:vAlign w:val="top"/>
          </w:tcPr>
          <w:p>
            <w:pPr>
              <w:widowControl w:val="0"/>
              <w:kinsoku/>
              <w:overflowPunct w:val="0"/>
              <w:spacing w:before="145" w:line="184" w:lineRule="auto"/>
              <w:jc w:val="center"/>
              <w:rPr>
                <w:rFonts w:ascii="宋体" w:hAnsi="宋体" w:eastAsia="宋体" w:cs="宋体"/>
                <w:color w:val="auto"/>
              </w:rPr>
            </w:pPr>
            <w:r>
              <w:rPr>
                <w:rFonts w:ascii="宋体" w:hAnsi="宋体" w:eastAsia="宋体" w:cs="宋体"/>
                <w:color w:val="auto"/>
                <w:spacing w:val="-2"/>
              </w:rPr>
              <w:t>风险因素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379" w:type="dxa"/>
            <w:vAlign w:val="top"/>
          </w:tcPr>
          <w:p>
            <w:pPr>
              <w:widowControl w:val="0"/>
              <w:kinsoku/>
              <w:overflowPunct w:val="0"/>
              <w:spacing w:before="177" w:line="180" w:lineRule="auto"/>
              <w:ind w:firstLine="659" w:firstLineChars="0"/>
              <w:rPr>
                <w:rFonts w:ascii="Times New Roman" w:hAnsi="Times New Roman" w:eastAsia="Times New Roman" w:cs="Times New Roman"/>
                <w:color w:val="auto"/>
              </w:rPr>
            </w:pPr>
            <w:r>
              <w:rPr>
                <w:rFonts w:ascii="Times New Roman" w:hAnsi="Times New Roman" w:eastAsia="Times New Roman" w:cs="Times New Roman"/>
                <w:color w:val="auto"/>
              </w:rPr>
              <w:t>1</w:t>
            </w:r>
          </w:p>
        </w:tc>
        <w:tc>
          <w:tcPr>
            <w:tcW w:w="6692" w:type="dxa"/>
            <w:vAlign w:val="top"/>
          </w:tcPr>
          <w:p>
            <w:pPr>
              <w:widowControl w:val="0"/>
              <w:kinsoku/>
              <w:overflowPunct w:val="0"/>
              <w:spacing w:before="94" w:line="184" w:lineRule="auto"/>
              <w:jc w:val="center"/>
              <w:rPr>
                <w:rFonts w:ascii="宋体" w:hAnsi="宋体" w:eastAsia="宋体" w:cs="宋体"/>
                <w:color w:val="auto"/>
              </w:rPr>
            </w:pPr>
            <w:r>
              <w:rPr>
                <w:rFonts w:hint="eastAsia" w:ascii="宋体" w:hAnsi="宋体" w:eastAsia="宋体" w:cs="宋体"/>
                <w:color w:val="auto"/>
                <w:spacing w:val="-2"/>
              </w:rPr>
              <w:t>项目规划和审批风险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379" w:type="dxa"/>
            <w:vAlign w:val="top"/>
          </w:tcPr>
          <w:p>
            <w:pPr>
              <w:widowControl w:val="0"/>
              <w:kinsoku/>
              <w:overflowPunct w:val="0"/>
              <w:spacing w:before="178" w:line="180" w:lineRule="auto"/>
              <w:ind w:firstLine="639" w:firstLineChars="0"/>
              <w:rPr>
                <w:rFonts w:ascii="Times New Roman" w:hAnsi="Times New Roman" w:eastAsia="Times New Roman" w:cs="Times New Roman"/>
                <w:color w:val="auto"/>
              </w:rPr>
            </w:pPr>
            <w:r>
              <w:rPr>
                <w:rFonts w:ascii="Times New Roman" w:hAnsi="Times New Roman" w:eastAsia="Times New Roman" w:cs="Times New Roman"/>
                <w:color w:val="auto"/>
              </w:rPr>
              <w:t>2</w:t>
            </w:r>
          </w:p>
        </w:tc>
        <w:tc>
          <w:tcPr>
            <w:tcW w:w="6692" w:type="dxa"/>
            <w:vAlign w:val="top"/>
          </w:tcPr>
          <w:p>
            <w:pPr>
              <w:widowControl w:val="0"/>
              <w:kinsoku/>
              <w:overflowPunct w:val="0"/>
              <w:spacing w:before="95" w:line="184" w:lineRule="auto"/>
              <w:jc w:val="center"/>
              <w:rPr>
                <w:rFonts w:ascii="宋体" w:hAnsi="宋体" w:eastAsia="宋体" w:cs="宋体"/>
                <w:color w:val="auto"/>
              </w:rPr>
            </w:pPr>
            <w:r>
              <w:rPr>
                <w:rFonts w:hint="eastAsia" w:ascii="宋体" w:hAnsi="宋体" w:eastAsia="宋体" w:cs="宋体"/>
                <w:color w:val="auto"/>
              </w:rPr>
              <w:t>建设实施风险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379" w:type="dxa"/>
            <w:vAlign w:val="top"/>
          </w:tcPr>
          <w:p>
            <w:pPr>
              <w:widowControl w:val="0"/>
              <w:kinsoku/>
              <w:overflowPunct w:val="0"/>
              <w:spacing w:before="179" w:line="180" w:lineRule="auto"/>
              <w:ind w:firstLine="643" w:firstLineChars="0"/>
              <w:rPr>
                <w:rFonts w:ascii="Times New Roman" w:hAnsi="Times New Roman" w:eastAsia="Times New Roman" w:cs="Times New Roman"/>
                <w:color w:val="auto"/>
              </w:rPr>
            </w:pPr>
            <w:r>
              <w:rPr>
                <w:rFonts w:ascii="Times New Roman" w:hAnsi="Times New Roman" w:eastAsia="Times New Roman" w:cs="Times New Roman"/>
                <w:color w:val="auto"/>
              </w:rPr>
              <w:t>3</w:t>
            </w:r>
          </w:p>
        </w:tc>
        <w:tc>
          <w:tcPr>
            <w:tcW w:w="6692" w:type="dxa"/>
            <w:vAlign w:val="top"/>
          </w:tcPr>
          <w:p>
            <w:pPr>
              <w:widowControl w:val="0"/>
              <w:kinsoku/>
              <w:overflowPunct w:val="0"/>
              <w:spacing w:before="97" w:line="184" w:lineRule="auto"/>
              <w:jc w:val="center"/>
              <w:rPr>
                <w:rFonts w:ascii="宋体" w:hAnsi="宋体" w:eastAsia="宋体" w:cs="宋体"/>
                <w:color w:val="auto"/>
              </w:rPr>
            </w:pPr>
            <w:r>
              <w:rPr>
                <w:rFonts w:hint="eastAsia" w:ascii="宋体" w:hAnsi="宋体" w:eastAsia="宋体" w:cs="宋体"/>
                <w:color w:val="auto"/>
              </w:rPr>
              <w:t>项目管理风险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379" w:type="dxa"/>
            <w:vAlign w:val="top"/>
          </w:tcPr>
          <w:p>
            <w:pPr>
              <w:widowControl w:val="0"/>
              <w:kinsoku/>
              <w:overflowPunct w:val="0"/>
              <w:spacing w:before="181" w:line="180" w:lineRule="auto"/>
              <w:ind w:firstLine="638" w:firstLineChars="0"/>
              <w:rPr>
                <w:rFonts w:ascii="Times New Roman" w:hAnsi="Times New Roman" w:eastAsia="Times New Roman" w:cs="Times New Roman"/>
                <w:color w:val="auto"/>
              </w:rPr>
            </w:pPr>
            <w:r>
              <w:rPr>
                <w:rFonts w:ascii="Times New Roman" w:hAnsi="Times New Roman" w:eastAsia="Times New Roman" w:cs="Times New Roman"/>
                <w:color w:val="auto"/>
              </w:rPr>
              <w:t>4</w:t>
            </w:r>
          </w:p>
        </w:tc>
        <w:tc>
          <w:tcPr>
            <w:tcW w:w="6692" w:type="dxa"/>
            <w:vAlign w:val="top"/>
          </w:tcPr>
          <w:p>
            <w:pPr>
              <w:widowControl w:val="0"/>
              <w:kinsoku/>
              <w:overflowPunct w:val="0"/>
              <w:spacing w:before="98" w:line="184" w:lineRule="auto"/>
              <w:jc w:val="center"/>
              <w:rPr>
                <w:rFonts w:ascii="宋体" w:hAnsi="宋体" w:eastAsia="宋体" w:cs="宋体"/>
                <w:color w:val="auto"/>
              </w:rPr>
            </w:pPr>
            <w:r>
              <w:rPr>
                <w:rFonts w:hint="eastAsia" w:ascii="宋体" w:hAnsi="宋体" w:eastAsia="宋体" w:cs="宋体"/>
                <w:color w:val="auto"/>
              </w:rPr>
              <w:t>资金保障风险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79" w:type="dxa"/>
            <w:vAlign w:val="top"/>
          </w:tcPr>
          <w:p>
            <w:pPr>
              <w:widowControl w:val="0"/>
              <w:kinsoku/>
              <w:overflowPunct w:val="0"/>
              <w:spacing w:before="185" w:line="180" w:lineRule="auto"/>
              <w:ind w:firstLine="645" w:firstLineChars="0"/>
              <w:rPr>
                <w:rFonts w:ascii="Times New Roman" w:hAnsi="Times New Roman" w:eastAsia="Times New Roman" w:cs="Times New Roman"/>
                <w:color w:val="auto"/>
              </w:rPr>
            </w:pPr>
            <w:r>
              <w:rPr>
                <w:rFonts w:ascii="Times New Roman" w:hAnsi="Times New Roman" w:eastAsia="Times New Roman" w:cs="Times New Roman"/>
                <w:color w:val="auto"/>
              </w:rPr>
              <w:t>5</w:t>
            </w:r>
          </w:p>
        </w:tc>
        <w:tc>
          <w:tcPr>
            <w:tcW w:w="6692" w:type="dxa"/>
            <w:vAlign w:val="top"/>
          </w:tcPr>
          <w:p>
            <w:pPr>
              <w:widowControl w:val="0"/>
              <w:kinsoku/>
              <w:overflowPunct w:val="0"/>
              <w:spacing w:before="99" w:line="184" w:lineRule="auto"/>
              <w:jc w:val="center"/>
              <w:rPr>
                <w:rFonts w:ascii="宋体" w:hAnsi="宋体" w:eastAsia="宋体" w:cs="宋体"/>
                <w:color w:val="auto"/>
              </w:rPr>
            </w:pPr>
            <w:r>
              <w:rPr>
                <w:rFonts w:hint="eastAsia" w:ascii="宋体" w:hAnsi="宋体" w:eastAsia="宋体" w:cs="宋体"/>
                <w:color w:val="auto"/>
                <w:lang w:eastAsia="zh-CN"/>
              </w:rPr>
              <w:t>宏观经济社会环境风险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79" w:type="dxa"/>
            <w:vAlign w:val="top"/>
          </w:tcPr>
          <w:p>
            <w:pPr>
              <w:widowControl w:val="0"/>
              <w:kinsoku/>
              <w:overflowPunct w:val="0"/>
              <w:spacing w:before="182" w:line="180" w:lineRule="auto"/>
              <w:ind w:firstLine="643" w:firstLineChars="0"/>
              <w:rPr>
                <w:rFonts w:ascii="Times New Roman" w:hAnsi="Times New Roman" w:eastAsia="Times New Roman" w:cs="Times New Roman"/>
                <w:color w:val="auto"/>
              </w:rPr>
            </w:pPr>
            <w:r>
              <w:rPr>
                <w:rFonts w:ascii="Times New Roman" w:hAnsi="Times New Roman" w:eastAsia="Times New Roman" w:cs="Times New Roman"/>
                <w:color w:val="auto"/>
              </w:rPr>
              <w:t>6</w:t>
            </w:r>
          </w:p>
        </w:tc>
        <w:tc>
          <w:tcPr>
            <w:tcW w:w="6692" w:type="dxa"/>
            <w:vAlign w:val="top"/>
          </w:tcPr>
          <w:p>
            <w:pPr>
              <w:widowControl w:val="0"/>
              <w:kinsoku/>
              <w:overflowPunct w:val="0"/>
              <w:spacing w:before="97" w:line="184" w:lineRule="auto"/>
              <w:jc w:val="center"/>
              <w:rPr>
                <w:rFonts w:ascii="宋体" w:hAnsi="宋体" w:eastAsia="宋体" w:cs="宋体"/>
                <w:color w:val="auto"/>
              </w:rPr>
            </w:pPr>
            <w:r>
              <w:rPr>
                <w:rFonts w:hint="eastAsia" w:ascii="宋体" w:hAnsi="宋体" w:eastAsia="宋体" w:cs="宋体"/>
                <w:color w:val="auto"/>
              </w:rPr>
              <w:t>生态环境影响风险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79" w:type="dxa"/>
            <w:vAlign w:val="top"/>
          </w:tcPr>
          <w:p>
            <w:pPr>
              <w:widowControl w:val="0"/>
              <w:kinsoku/>
              <w:overflowPunct w:val="0"/>
              <w:spacing w:before="180" w:line="180" w:lineRule="auto"/>
              <w:ind w:firstLine="647" w:firstLineChars="0"/>
              <w:rPr>
                <w:rFonts w:ascii="Times New Roman" w:hAnsi="Times New Roman" w:eastAsia="宋体" w:cs="Times New Roman"/>
                <w:color w:val="auto"/>
              </w:rPr>
            </w:pPr>
            <w:r>
              <w:rPr>
                <w:rFonts w:hint="eastAsia" w:ascii="Times New Roman" w:hAnsi="Times New Roman" w:eastAsia="宋体" w:cs="Times New Roman"/>
                <w:color w:val="auto"/>
              </w:rPr>
              <w:t>7</w:t>
            </w:r>
          </w:p>
        </w:tc>
        <w:tc>
          <w:tcPr>
            <w:tcW w:w="6692" w:type="dxa"/>
            <w:vAlign w:val="top"/>
          </w:tcPr>
          <w:p>
            <w:pPr>
              <w:widowControl w:val="0"/>
              <w:kinsoku/>
              <w:overflowPunct w:val="0"/>
              <w:spacing w:before="98" w:line="184" w:lineRule="auto"/>
              <w:jc w:val="center"/>
              <w:rPr>
                <w:rFonts w:ascii="宋体" w:hAnsi="宋体" w:eastAsia="宋体" w:cs="宋体"/>
                <w:color w:val="auto"/>
              </w:rPr>
            </w:pPr>
            <w:r>
              <w:rPr>
                <w:rFonts w:hint="eastAsia" w:ascii="宋体" w:hAnsi="宋体" w:eastAsia="宋体" w:cs="宋体"/>
                <w:color w:val="auto"/>
              </w:rPr>
              <w:t>媒体舆情风险</w:t>
            </w:r>
          </w:p>
        </w:tc>
      </w:tr>
    </w:tbl>
    <w:p>
      <w:pPr>
        <w:pStyle w:val="2"/>
        <w:rPr>
          <w:color w:val="auto"/>
        </w:rPr>
      </w:pPr>
    </w:p>
    <w:p>
      <w:pPr>
        <w:pStyle w:val="4"/>
        <w:spacing w:line="560" w:lineRule="exact"/>
        <w:rPr>
          <w:rFonts w:ascii="宋体" w:hAnsi="宋体" w:eastAsia="宋体" w:cs="宋体"/>
          <w:color w:val="auto"/>
          <w:szCs w:val="32"/>
        </w:rPr>
      </w:pPr>
      <w:bookmarkStart w:id="41" w:name="_bookmark9"/>
      <w:bookmarkEnd w:id="41"/>
      <w:bookmarkStart w:id="42" w:name="_Toc3166"/>
      <w:r>
        <w:rPr>
          <w:rFonts w:hint="eastAsia" w:ascii="宋体" w:hAnsi="宋体" w:eastAsia="宋体" w:cs="宋体"/>
          <w:color w:val="auto"/>
          <w:szCs w:val="32"/>
        </w:rPr>
        <w:t>（三）风险估计评估</w:t>
      </w:r>
      <w:bookmarkEnd w:id="42"/>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结合社会稳定风险的评判标准，评估判断各社会稳定风险因素的风险程度大小，然后将每类风险因素的权重与其风险相乘，得到土地征收的综合风险大小。</w:t>
      </w:r>
    </w:p>
    <w:p>
      <w:pPr>
        <w:spacing w:before="91" w:line="360" w:lineRule="auto"/>
        <w:ind w:firstLine="600" w:firstLineChars="200"/>
        <w:outlineLvl w:val="2"/>
        <w:rPr>
          <w:rFonts w:ascii="仿宋" w:hAnsi="仿宋" w:eastAsia="仿宋" w:cs="仿宋"/>
          <w:color w:val="auto"/>
          <w:sz w:val="30"/>
          <w:szCs w:val="30"/>
        </w:rPr>
      </w:pPr>
      <w:bookmarkStart w:id="43" w:name="_Toc4091"/>
      <w:r>
        <w:rPr>
          <w:rFonts w:hint="eastAsia" w:ascii="仿宋" w:hAnsi="仿宋" w:eastAsia="仿宋" w:cs="仿宋"/>
          <w:color w:val="auto"/>
          <w:sz w:val="30"/>
          <w:szCs w:val="30"/>
        </w:rPr>
        <w:t>1、估计方法</w:t>
      </w:r>
      <w:bookmarkEnd w:id="43"/>
    </w:p>
    <w:p>
      <w:pPr>
        <w:spacing w:before="91" w:line="360" w:lineRule="auto"/>
        <w:ind w:firstLine="576" w:firstLineChars="200"/>
        <w:rPr>
          <w:rFonts w:ascii="仿宋" w:hAnsi="仿宋" w:eastAsia="仿宋" w:cs="仿宋"/>
          <w:color w:val="auto"/>
          <w:sz w:val="30"/>
          <w:szCs w:val="30"/>
        </w:rPr>
      </w:pPr>
      <w:r>
        <w:rPr>
          <w:rFonts w:hint="eastAsia" w:ascii="仿宋" w:hAnsi="仿宋" w:eastAsia="仿宋" w:cs="仿宋"/>
          <w:color w:val="auto"/>
          <w:spacing w:val="-6"/>
          <w:sz w:val="30"/>
          <w:szCs w:val="30"/>
        </w:rPr>
        <w:t>按照风险因素发生的可能性，将风险发生概率划分为很高、</w:t>
      </w:r>
      <w:r>
        <w:rPr>
          <w:rFonts w:hint="eastAsia" w:ascii="仿宋" w:hAnsi="仿宋" w:eastAsia="仿宋" w:cs="仿宋"/>
          <w:color w:val="auto"/>
          <w:sz w:val="30"/>
          <w:szCs w:val="30"/>
        </w:rPr>
        <w:t>较高、中等、较低、很低五个等级，风险概率估计基于风险调查的结果(特别是问卷调查、访谈所获得的结果)以及社会稳定分析者、专家的经验和知识或类似事件的比较推断得到。</w:t>
      </w:r>
    </w:p>
    <w:p>
      <w:pPr>
        <w:spacing w:before="91" w:line="360" w:lineRule="auto"/>
        <w:rPr>
          <w:color w:val="auto"/>
        </w:rPr>
      </w:pPr>
      <w:r>
        <w:rPr>
          <w:rFonts w:hint="eastAsia" w:ascii="仿宋" w:hAnsi="仿宋" w:eastAsia="仿宋" w:cs="仿宋"/>
          <w:color w:val="auto"/>
          <w:sz w:val="30"/>
          <w:szCs w:val="30"/>
        </w:rPr>
        <w:t>风险概率划分等级如下表：</w:t>
      </w:r>
    </w:p>
    <w:p>
      <w:pPr>
        <w:pStyle w:val="2"/>
        <w:ind w:firstLine="753"/>
        <w:jc w:val="center"/>
        <w:rPr>
          <w:color w:val="auto"/>
        </w:rPr>
      </w:pPr>
      <w:r>
        <w:rPr>
          <w:rFonts w:hAnsi="宋体" w:cs="宋体"/>
          <w:color w:val="auto"/>
          <w:spacing w:val="-2"/>
          <w:szCs w:val="28"/>
          <w14:textOutline w14:w="5105" w14:cap="sq" w14:cmpd="sng" w14:algn="ctr">
            <w14:solidFill>
              <w14:srgbClr w14:val="000000"/>
            </w14:solidFill>
            <w14:prstDash w14:val="solid"/>
            <w14:bevel/>
          </w14:textOutline>
        </w:rPr>
        <w:t>风险概率划分等级表</w:t>
      </w:r>
    </w:p>
    <w:tbl>
      <w:tblPr>
        <w:tblStyle w:val="19"/>
        <w:tblW w:w="8303"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6"/>
        <w:gridCol w:w="4530"/>
        <w:gridCol w:w="16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2076" w:type="dxa"/>
          </w:tcPr>
          <w:p>
            <w:pPr>
              <w:spacing w:before="147" w:line="184" w:lineRule="auto"/>
              <w:ind w:firstLine="765"/>
              <w:rPr>
                <w:rFonts w:ascii="宋体" w:hAnsi="宋体" w:eastAsia="宋体" w:cs="宋体"/>
                <w:color w:val="auto"/>
              </w:rPr>
            </w:pPr>
            <w:r>
              <w:rPr>
                <w:rFonts w:ascii="宋体" w:hAnsi="宋体" w:eastAsia="宋体" w:cs="宋体"/>
                <w:color w:val="auto"/>
                <w:spacing w:val="-5"/>
                <w14:textOutline w14:w="3797" w14:cap="sq" w14:cmpd="sng" w14:algn="ctr">
                  <w14:solidFill>
                    <w14:srgbClr w14:val="000000"/>
                  </w14:solidFill>
                  <w14:prstDash w14:val="solid"/>
                  <w14:bevel/>
                </w14:textOutline>
              </w:rPr>
              <w:t>等级</w:t>
            </w:r>
          </w:p>
        </w:tc>
        <w:tc>
          <w:tcPr>
            <w:tcW w:w="4530" w:type="dxa"/>
          </w:tcPr>
          <w:p>
            <w:pPr>
              <w:spacing w:before="147" w:line="184" w:lineRule="auto"/>
              <w:ind w:firstLine="2066"/>
              <w:rPr>
                <w:rFonts w:ascii="宋体" w:hAnsi="宋体" w:eastAsia="宋体" w:cs="宋体"/>
                <w:color w:val="auto"/>
              </w:rPr>
            </w:pPr>
            <w:r>
              <w:rPr>
                <w:rFonts w:ascii="宋体" w:hAnsi="宋体" w:eastAsia="宋体" w:cs="宋体"/>
                <w:color w:val="auto"/>
                <w:spacing w:val="-2"/>
                <w14:textOutline w14:w="3797" w14:cap="sq" w14:cmpd="sng" w14:algn="ctr">
                  <w14:solidFill>
                    <w14:srgbClr w14:val="000000"/>
                  </w14:solidFill>
                  <w14:prstDash w14:val="solid"/>
                  <w14:bevel/>
                </w14:textOutline>
              </w:rPr>
              <w:t>参考依据</w:t>
            </w:r>
          </w:p>
        </w:tc>
        <w:tc>
          <w:tcPr>
            <w:tcW w:w="1697" w:type="dxa"/>
          </w:tcPr>
          <w:p>
            <w:pPr>
              <w:spacing w:before="147" w:line="184" w:lineRule="auto"/>
              <w:ind w:firstLine="593"/>
              <w:rPr>
                <w:rFonts w:ascii="宋体" w:hAnsi="宋体" w:eastAsia="宋体" w:cs="宋体"/>
                <w:color w:val="auto"/>
              </w:rPr>
            </w:pPr>
            <w:r>
              <w:rPr>
                <w:rFonts w:ascii="宋体" w:hAnsi="宋体" w:eastAsia="宋体" w:cs="宋体"/>
                <w:color w:val="auto"/>
                <w:spacing w:val="-4"/>
                <w14:textOutline w14:w="3797" w14:cap="sq" w14:cmpd="sng" w14:algn="ctr">
                  <w14:solidFill>
                    <w14:srgbClr w14:val="000000"/>
                  </w14:solidFill>
                  <w14:prstDash w14:val="solid"/>
                  <w14:bevel/>
                </w14:textOutline>
              </w:rPr>
              <w:t>表示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076" w:type="dxa"/>
          </w:tcPr>
          <w:p>
            <w:pPr>
              <w:spacing w:before="143" w:line="184" w:lineRule="auto"/>
              <w:ind w:firstLine="765"/>
              <w:rPr>
                <w:rFonts w:ascii="宋体" w:hAnsi="宋体" w:eastAsia="宋体" w:cs="宋体"/>
                <w:color w:val="auto"/>
              </w:rPr>
            </w:pPr>
            <w:r>
              <w:rPr>
                <w:rFonts w:ascii="宋体" w:hAnsi="宋体" w:eastAsia="宋体" w:cs="宋体"/>
                <w:color w:val="auto"/>
                <w:spacing w:val="-6"/>
              </w:rPr>
              <w:t>很高</w:t>
            </w:r>
          </w:p>
        </w:tc>
        <w:tc>
          <w:tcPr>
            <w:tcW w:w="4530" w:type="dxa"/>
          </w:tcPr>
          <w:p>
            <w:pPr>
              <w:spacing w:before="143" w:line="184" w:lineRule="auto"/>
              <w:ind w:firstLine="1514"/>
              <w:rPr>
                <w:rFonts w:ascii="宋体" w:hAnsi="宋体" w:eastAsia="宋体" w:cs="宋体"/>
                <w:color w:val="auto"/>
              </w:rPr>
            </w:pPr>
            <w:r>
              <w:rPr>
                <w:rFonts w:ascii="宋体" w:hAnsi="宋体" w:eastAsia="宋体" w:cs="宋体"/>
                <w:color w:val="auto"/>
                <w:spacing w:val="-4"/>
              </w:rPr>
              <w:t>几乎确定（约</w:t>
            </w:r>
            <w:r>
              <w:rPr>
                <w:rFonts w:ascii="Times New Roman" w:hAnsi="Times New Roman" w:eastAsia="Times New Roman" w:cs="Times New Roman"/>
                <w:color w:val="auto"/>
                <w:spacing w:val="-4"/>
              </w:rPr>
              <w:t>0.8~</w:t>
            </w:r>
            <w:r>
              <w:rPr>
                <w:rFonts w:ascii="Times New Roman" w:hAnsi="Times New Roman" w:eastAsia="Times New Roman" w:cs="Times New Roman"/>
                <w:color w:val="auto"/>
                <w:spacing w:val="-17"/>
              </w:rPr>
              <w:t xml:space="preserve"> </w:t>
            </w:r>
            <w:r>
              <w:rPr>
                <w:rFonts w:ascii="Times New Roman" w:hAnsi="Times New Roman" w:eastAsia="Times New Roman" w:cs="Times New Roman"/>
                <w:color w:val="auto"/>
                <w:spacing w:val="-4"/>
              </w:rPr>
              <w:t>1</w:t>
            </w:r>
            <w:r>
              <w:rPr>
                <w:rFonts w:ascii="宋体" w:hAnsi="宋体" w:eastAsia="宋体" w:cs="宋体"/>
                <w:color w:val="auto"/>
                <w:spacing w:val="-4"/>
              </w:rPr>
              <w:t>）</w:t>
            </w:r>
          </w:p>
        </w:tc>
        <w:tc>
          <w:tcPr>
            <w:tcW w:w="1697" w:type="dxa"/>
          </w:tcPr>
          <w:p>
            <w:pPr>
              <w:spacing w:before="179" w:line="180" w:lineRule="auto"/>
              <w:ind w:firstLine="753"/>
              <w:rPr>
                <w:rFonts w:ascii="Times New Roman" w:hAnsi="Times New Roman" w:eastAsia="Times New Roman" w:cs="Times New Roman"/>
                <w:color w:val="auto"/>
              </w:rPr>
            </w:pPr>
            <w:r>
              <w:rPr>
                <w:rFonts w:ascii="Times New Roman" w:hAnsi="Times New Roman" w:eastAsia="Times New Roman" w:cs="Times New Roman"/>
                <w:color w:val="auto"/>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076" w:type="dxa"/>
          </w:tcPr>
          <w:p>
            <w:pPr>
              <w:spacing w:before="144" w:line="184" w:lineRule="auto"/>
              <w:ind w:firstLine="763"/>
              <w:rPr>
                <w:rFonts w:ascii="宋体" w:hAnsi="宋体" w:eastAsia="宋体" w:cs="宋体"/>
                <w:color w:val="auto"/>
              </w:rPr>
            </w:pPr>
            <w:r>
              <w:rPr>
                <w:rFonts w:ascii="宋体" w:hAnsi="宋体" w:eastAsia="宋体" w:cs="宋体"/>
                <w:color w:val="auto"/>
                <w:spacing w:val="-5"/>
              </w:rPr>
              <w:t>较高</w:t>
            </w:r>
          </w:p>
        </w:tc>
        <w:tc>
          <w:tcPr>
            <w:tcW w:w="4530" w:type="dxa"/>
          </w:tcPr>
          <w:p>
            <w:pPr>
              <w:spacing w:before="144" w:line="184" w:lineRule="auto"/>
              <w:ind w:firstLine="1221"/>
              <w:rPr>
                <w:rFonts w:ascii="宋体" w:hAnsi="宋体" w:eastAsia="宋体" w:cs="宋体"/>
                <w:color w:val="auto"/>
              </w:rPr>
            </w:pPr>
            <w:r>
              <w:rPr>
                <w:rFonts w:ascii="宋体" w:hAnsi="宋体" w:eastAsia="宋体" w:cs="宋体"/>
                <w:color w:val="auto"/>
                <w:spacing w:val="-1"/>
              </w:rPr>
              <w:t>很有可能发生（约</w:t>
            </w:r>
            <w:r>
              <w:rPr>
                <w:rFonts w:ascii="Times New Roman" w:hAnsi="Times New Roman" w:eastAsia="Times New Roman" w:cs="Times New Roman"/>
                <w:color w:val="auto"/>
                <w:spacing w:val="-1"/>
              </w:rPr>
              <w:t>0.6~0.8</w:t>
            </w:r>
            <w:r>
              <w:rPr>
                <w:rFonts w:ascii="宋体" w:hAnsi="宋体" w:eastAsia="宋体" w:cs="宋体"/>
                <w:color w:val="auto"/>
                <w:spacing w:val="-1"/>
              </w:rPr>
              <w:t>）</w:t>
            </w:r>
          </w:p>
        </w:tc>
        <w:tc>
          <w:tcPr>
            <w:tcW w:w="1697" w:type="dxa"/>
          </w:tcPr>
          <w:p>
            <w:pPr>
              <w:spacing w:before="184" w:line="180" w:lineRule="auto"/>
              <w:ind w:firstLine="724"/>
              <w:rPr>
                <w:rFonts w:ascii="Times New Roman" w:hAnsi="Times New Roman" w:eastAsia="Times New Roman" w:cs="Times New Roman"/>
                <w:color w:val="auto"/>
              </w:rPr>
            </w:pPr>
            <w:r>
              <w:rPr>
                <w:rFonts w:ascii="Times New Roman" w:hAnsi="Times New Roman" w:eastAsia="Times New Roman" w:cs="Times New Roman"/>
                <w:color w:val="auto"/>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076" w:type="dxa"/>
          </w:tcPr>
          <w:p>
            <w:pPr>
              <w:spacing w:before="143" w:line="184" w:lineRule="auto"/>
              <w:ind w:firstLine="782"/>
              <w:rPr>
                <w:rFonts w:ascii="宋体" w:hAnsi="宋体" w:eastAsia="宋体" w:cs="宋体"/>
                <w:color w:val="auto"/>
              </w:rPr>
            </w:pPr>
            <w:r>
              <w:rPr>
                <w:rFonts w:ascii="宋体" w:hAnsi="宋体" w:eastAsia="宋体" w:cs="宋体"/>
                <w:color w:val="auto"/>
                <w:spacing w:val="-15"/>
              </w:rPr>
              <w:t>中等</w:t>
            </w:r>
          </w:p>
        </w:tc>
        <w:tc>
          <w:tcPr>
            <w:tcW w:w="4530" w:type="dxa"/>
          </w:tcPr>
          <w:p>
            <w:pPr>
              <w:spacing w:before="143" w:line="184" w:lineRule="auto"/>
              <w:ind w:firstLine="1326"/>
              <w:rPr>
                <w:rFonts w:ascii="宋体" w:hAnsi="宋体" w:eastAsia="宋体" w:cs="宋体"/>
                <w:color w:val="auto"/>
              </w:rPr>
            </w:pPr>
            <w:r>
              <w:rPr>
                <w:rFonts w:ascii="宋体" w:hAnsi="宋体" w:eastAsia="宋体" w:cs="宋体"/>
                <w:color w:val="auto"/>
                <w:spacing w:val="-1"/>
              </w:rPr>
              <w:t>有可能发生（约</w:t>
            </w:r>
            <w:r>
              <w:rPr>
                <w:rFonts w:ascii="Times New Roman" w:hAnsi="Times New Roman" w:eastAsia="Times New Roman" w:cs="Times New Roman"/>
                <w:color w:val="auto"/>
                <w:spacing w:val="-1"/>
              </w:rPr>
              <w:t>0.4~0.6</w:t>
            </w:r>
            <w:r>
              <w:rPr>
                <w:rFonts w:ascii="宋体" w:hAnsi="宋体" w:eastAsia="宋体" w:cs="宋体"/>
                <w:color w:val="auto"/>
                <w:spacing w:val="-1"/>
              </w:rPr>
              <w:t>）</w:t>
            </w:r>
          </w:p>
        </w:tc>
        <w:tc>
          <w:tcPr>
            <w:tcW w:w="1697" w:type="dxa"/>
          </w:tcPr>
          <w:p>
            <w:pPr>
              <w:spacing w:before="182" w:line="180" w:lineRule="auto"/>
              <w:ind w:firstLine="707"/>
              <w:rPr>
                <w:rFonts w:ascii="Times New Roman" w:hAnsi="Times New Roman" w:eastAsia="Times New Roman" w:cs="Times New Roman"/>
                <w:color w:val="auto"/>
              </w:rPr>
            </w:pPr>
            <w:r>
              <w:rPr>
                <w:rFonts w:ascii="Times New Roman" w:hAnsi="Times New Roman" w:eastAsia="Times New Roman" w:cs="Times New Roman"/>
                <w:color w:val="auto"/>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076" w:type="dxa"/>
          </w:tcPr>
          <w:p>
            <w:pPr>
              <w:spacing w:before="144" w:line="184" w:lineRule="auto"/>
              <w:ind w:firstLine="763"/>
              <w:rPr>
                <w:rFonts w:ascii="宋体" w:hAnsi="宋体" w:eastAsia="宋体" w:cs="宋体"/>
                <w:color w:val="auto"/>
              </w:rPr>
            </w:pPr>
            <w:r>
              <w:rPr>
                <w:rFonts w:ascii="宋体" w:hAnsi="宋体" w:eastAsia="宋体" w:cs="宋体"/>
                <w:color w:val="auto"/>
                <w:spacing w:val="-5"/>
              </w:rPr>
              <w:t>较低</w:t>
            </w:r>
          </w:p>
        </w:tc>
        <w:tc>
          <w:tcPr>
            <w:tcW w:w="4530" w:type="dxa"/>
          </w:tcPr>
          <w:p>
            <w:pPr>
              <w:spacing w:before="144" w:line="184" w:lineRule="auto"/>
              <w:ind w:firstLine="1014"/>
              <w:rPr>
                <w:rFonts w:ascii="宋体" w:hAnsi="宋体" w:eastAsia="宋体" w:cs="宋体"/>
                <w:color w:val="auto"/>
              </w:rPr>
            </w:pPr>
            <w:r>
              <w:rPr>
                <w:rFonts w:ascii="宋体" w:hAnsi="宋体" w:eastAsia="宋体" w:cs="宋体"/>
                <w:color w:val="auto"/>
                <w:spacing w:val="-1"/>
              </w:rPr>
              <w:t>发生的可能性很小（约</w:t>
            </w:r>
            <w:r>
              <w:rPr>
                <w:rFonts w:ascii="Times New Roman" w:hAnsi="Times New Roman" w:eastAsia="Times New Roman" w:cs="Times New Roman"/>
                <w:color w:val="auto"/>
                <w:spacing w:val="-1"/>
              </w:rPr>
              <w:t>0.2~0.4</w:t>
            </w:r>
            <w:r>
              <w:rPr>
                <w:rFonts w:ascii="宋体" w:hAnsi="宋体" w:eastAsia="宋体" w:cs="宋体"/>
                <w:color w:val="auto"/>
                <w:spacing w:val="-1"/>
              </w:rPr>
              <w:t>）</w:t>
            </w:r>
          </w:p>
        </w:tc>
        <w:tc>
          <w:tcPr>
            <w:tcW w:w="1697" w:type="dxa"/>
          </w:tcPr>
          <w:p>
            <w:pPr>
              <w:spacing w:before="184" w:line="180" w:lineRule="auto"/>
              <w:ind w:firstLine="737"/>
              <w:rPr>
                <w:rFonts w:ascii="Times New Roman" w:hAnsi="Times New Roman" w:eastAsia="Times New Roman" w:cs="Times New Roman"/>
                <w:color w:val="auto"/>
              </w:rPr>
            </w:pPr>
            <w:r>
              <w:rPr>
                <w:rFonts w:ascii="Times New Roman" w:hAnsi="Times New Roman" w:eastAsia="Times New Roman" w:cs="Times New Roman"/>
                <w:color w:val="auto"/>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2076" w:type="dxa"/>
          </w:tcPr>
          <w:p>
            <w:pPr>
              <w:spacing w:before="146" w:line="184" w:lineRule="auto"/>
              <w:ind w:firstLine="765"/>
              <w:rPr>
                <w:rFonts w:ascii="宋体" w:hAnsi="宋体" w:eastAsia="宋体" w:cs="宋体"/>
                <w:color w:val="auto"/>
              </w:rPr>
            </w:pPr>
            <w:r>
              <w:rPr>
                <w:rFonts w:ascii="宋体" w:hAnsi="宋体" w:eastAsia="宋体" w:cs="宋体"/>
                <w:color w:val="auto"/>
                <w:spacing w:val="-6"/>
              </w:rPr>
              <w:t>很低</w:t>
            </w:r>
          </w:p>
        </w:tc>
        <w:tc>
          <w:tcPr>
            <w:tcW w:w="4530" w:type="dxa"/>
          </w:tcPr>
          <w:p>
            <w:pPr>
              <w:spacing w:before="146" w:line="184" w:lineRule="auto"/>
              <w:ind w:firstLine="462"/>
              <w:rPr>
                <w:rFonts w:ascii="宋体" w:hAnsi="宋体" w:eastAsia="宋体" w:cs="宋体"/>
                <w:color w:val="auto"/>
              </w:rPr>
            </w:pPr>
            <w:r>
              <w:rPr>
                <w:rFonts w:ascii="宋体" w:hAnsi="宋体" w:eastAsia="宋体" w:cs="宋体"/>
                <w:color w:val="auto"/>
                <w:spacing w:val="-1"/>
              </w:rPr>
              <w:t>发生的可能性很小，几乎不可能（约</w:t>
            </w:r>
            <w:r>
              <w:rPr>
                <w:rFonts w:ascii="Times New Roman" w:hAnsi="Times New Roman" w:eastAsia="Times New Roman" w:cs="Times New Roman"/>
                <w:color w:val="auto"/>
                <w:spacing w:val="-1"/>
              </w:rPr>
              <w:t>0~0.2</w:t>
            </w:r>
            <w:r>
              <w:rPr>
                <w:rFonts w:ascii="宋体" w:hAnsi="宋体" w:eastAsia="宋体" w:cs="宋体"/>
                <w:color w:val="auto"/>
                <w:spacing w:val="-1"/>
              </w:rPr>
              <w:t>）</w:t>
            </w:r>
          </w:p>
        </w:tc>
        <w:tc>
          <w:tcPr>
            <w:tcW w:w="1697" w:type="dxa"/>
          </w:tcPr>
          <w:p>
            <w:pPr>
              <w:spacing w:before="185" w:line="180" w:lineRule="auto"/>
              <w:ind w:firstLine="718"/>
              <w:rPr>
                <w:rFonts w:ascii="Times New Roman" w:hAnsi="Times New Roman" w:eastAsia="Times New Roman" w:cs="Times New Roman"/>
                <w:color w:val="auto"/>
              </w:rPr>
            </w:pPr>
            <w:r>
              <w:rPr>
                <w:rFonts w:ascii="Times New Roman" w:hAnsi="Times New Roman" w:eastAsia="Times New Roman" w:cs="Times New Roman"/>
                <w:color w:val="auto"/>
                <w:spacing w:val="1"/>
              </w:rPr>
              <w:t>N</w:t>
            </w:r>
          </w:p>
        </w:tc>
      </w:tr>
    </w:tbl>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风险的影响程度是指该风险因素影响规模、影响时间、群众承受能力等综合情况。本次土地征收采用经验估计法进行估计，由专家打分汇总进行确定。本评估报告对于单个风险因素的风险程度按照严重、较大、一般、较小和微小五个等级。</w:t>
      </w:r>
    </w:p>
    <w:p>
      <w:pPr>
        <w:spacing w:before="91" w:line="360" w:lineRule="auto"/>
        <w:rPr>
          <w:rFonts w:ascii="仿宋" w:hAnsi="仿宋" w:eastAsia="仿宋" w:cs="仿宋"/>
          <w:color w:val="auto"/>
          <w:sz w:val="30"/>
          <w:szCs w:val="30"/>
        </w:rPr>
      </w:pPr>
      <w:r>
        <w:rPr>
          <w:rFonts w:hint="eastAsia" w:ascii="仿宋" w:hAnsi="仿宋" w:eastAsia="仿宋" w:cs="仿宋"/>
          <w:color w:val="auto"/>
          <w:sz w:val="30"/>
          <w:szCs w:val="30"/>
        </w:rPr>
        <w:t>风险影响程度划分等级如下表：</w:t>
      </w:r>
    </w:p>
    <w:p>
      <w:pPr>
        <w:pStyle w:val="2"/>
        <w:ind w:firstLine="813"/>
        <w:rPr>
          <w:rFonts w:ascii="仿宋" w:hAnsi="仿宋" w:eastAsia="仿宋" w:cs="仿宋"/>
          <w:color w:val="auto"/>
          <w:sz w:val="30"/>
          <w:szCs w:val="30"/>
        </w:rPr>
      </w:pPr>
    </w:p>
    <w:p>
      <w:pPr>
        <w:spacing w:before="91"/>
        <w:ind w:firstLine="2353"/>
        <w:rPr>
          <w:rFonts w:ascii="宋体" w:hAnsi="宋体" w:eastAsia="宋体" w:cs="宋体"/>
          <w:color w:val="auto"/>
          <w:sz w:val="28"/>
          <w:szCs w:val="28"/>
        </w:rPr>
      </w:pPr>
      <w:r>
        <w:rPr>
          <w:rFonts w:ascii="Times New Roman" w:hAnsi="Times New Roman" w:eastAsia="Times New Roman" w:cs="Times New Roman"/>
          <w:color w:val="auto"/>
          <w:spacing w:val="2"/>
          <w:w w:val="101"/>
          <w:sz w:val="28"/>
          <w:szCs w:val="28"/>
        </w:rPr>
        <w:t xml:space="preserve"> </w:t>
      </w:r>
      <w:r>
        <w:rPr>
          <w:rFonts w:ascii="宋体" w:hAnsi="宋体" w:eastAsia="宋体" w:cs="宋体"/>
          <w:color w:val="auto"/>
          <w:spacing w:val="-1"/>
          <w:sz w:val="28"/>
          <w:szCs w:val="28"/>
          <w14:textOutline w14:w="5105" w14:cap="sq" w14:cmpd="sng" w14:algn="ctr">
            <w14:solidFill>
              <w14:srgbClr w14:val="000000"/>
            </w14:solidFill>
            <w14:prstDash w14:val="solid"/>
            <w14:bevel/>
          </w14:textOutline>
        </w:rPr>
        <w:t>风险影响程度划分等级表</w:t>
      </w:r>
    </w:p>
    <w:p>
      <w:pPr>
        <w:spacing w:line="234" w:lineRule="exact"/>
        <w:rPr>
          <w:color w:val="auto"/>
        </w:rPr>
      </w:pPr>
    </w:p>
    <w:tbl>
      <w:tblPr>
        <w:tblStyle w:val="19"/>
        <w:tblW w:w="8279"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0"/>
        <w:gridCol w:w="65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60" w:type="dxa"/>
          </w:tcPr>
          <w:p>
            <w:pPr>
              <w:spacing w:before="145" w:line="184" w:lineRule="auto"/>
              <w:jc w:val="center"/>
              <w:rPr>
                <w:rFonts w:ascii="宋体" w:hAnsi="宋体" w:eastAsia="宋体" w:cs="宋体"/>
                <w:color w:val="auto"/>
              </w:rPr>
            </w:pPr>
            <w:r>
              <w:rPr>
                <w:rFonts w:ascii="宋体" w:hAnsi="宋体" w:eastAsia="宋体" w:cs="宋体"/>
                <w:color w:val="auto"/>
                <w:spacing w:val="-5"/>
                <w14:textOutline w14:w="3797" w14:cap="sq" w14:cmpd="sng" w14:algn="ctr">
                  <w14:solidFill>
                    <w14:srgbClr w14:val="000000"/>
                  </w14:solidFill>
                  <w14:prstDash w14:val="solid"/>
                  <w14:bevel/>
                </w14:textOutline>
              </w:rPr>
              <w:t>等级</w:t>
            </w:r>
          </w:p>
        </w:tc>
        <w:tc>
          <w:tcPr>
            <w:tcW w:w="6549" w:type="dxa"/>
          </w:tcPr>
          <w:p>
            <w:pPr>
              <w:spacing w:before="145" w:line="184" w:lineRule="auto"/>
              <w:ind w:firstLine="2764"/>
              <w:jc w:val="both"/>
              <w:rPr>
                <w:rFonts w:ascii="宋体" w:hAnsi="宋体" w:eastAsia="宋体" w:cs="宋体"/>
                <w:color w:val="auto"/>
              </w:rPr>
            </w:pPr>
            <w:r>
              <w:rPr>
                <w:rFonts w:ascii="宋体" w:hAnsi="宋体" w:eastAsia="宋体" w:cs="宋体"/>
                <w:color w:val="auto"/>
                <w:spacing w:val="-2"/>
                <w14:textOutline w14:w="3797" w14:cap="sq" w14:cmpd="sng" w14:algn="ctr">
                  <w14:solidFill>
                    <w14:srgbClr w14:val="000000"/>
                  </w14:solidFill>
                  <w14:prstDash w14:val="solid"/>
                  <w14:bevel/>
                </w14:textOutline>
              </w:rPr>
              <w:t>参考依据</w:t>
            </w:r>
          </w:p>
        </w:tc>
        <w:tc>
          <w:tcPr>
            <w:tcW w:w="770" w:type="dxa"/>
          </w:tcPr>
          <w:p>
            <w:pPr>
              <w:spacing w:before="145" w:line="184" w:lineRule="auto"/>
              <w:jc w:val="center"/>
              <w:rPr>
                <w:rFonts w:ascii="宋体" w:hAnsi="宋体" w:eastAsia="宋体" w:cs="宋体"/>
                <w:color w:val="auto"/>
              </w:rPr>
            </w:pPr>
            <w:r>
              <w:rPr>
                <w:rFonts w:ascii="宋体" w:hAnsi="宋体" w:eastAsia="宋体" w:cs="宋体"/>
                <w:color w:val="auto"/>
                <w:spacing w:val="-4"/>
                <w14:textOutline w14:w="3797" w14:cap="sq" w14:cmpd="sng" w14:algn="ctr">
                  <w14:solidFill>
                    <w14:srgbClr w14:val="000000"/>
                  </w14:solidFill>
                  <w14:prstDash w14:val="solid"/>
                  <w14:bevel/>
                </w14:textOutline>
              </w:rPr>
              <w:t>表示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960" w:type="dxa"/>
          </w:tcPr>
          <w:p>
            <w:pPr>
              <w:spacing w:line="415" w:lineRule="auto"/>
              <w:jc w:val="center"/>
              <w:rPr>
                <w:rFonts w:ascii="宋体"/>
                <w:color w:val="auto"/>
              </w:rPr>
            </w:pPr>
          </w:p>
          <w:p>
            <w:pPr>
              <w:spacing w:before="68" w:line="184" w:lineRule="auto"/>
              <w:jc w:val="center"/>
              <w:rPr>
                <w:rFonts w:ascii="宋体" w:hAnsi="宋体" w:eastAsia="宋体" w:cs="宋体"/>
                <w:color w:val="auto"/>
              </w:rPr>
            </w:pPr>
            <w:r>
              <w:rPr>
                <w:rFonts w:ascii="宋体" w:hAnsi="宋体" w:eastAsia="宋体" w:cs="宋体"/>
                <w:color w:val="auto"/>
                <w:spacing w:val="-5"/>
              </w:rPr>
              <w:t>严重</w:t>
            </w:r>
          </w:p>
        </w:tc>
        <w:tc>
          <w:tcPr>
            <w:tcW w:w="6549" w:type="dxa"/>
          </w:tcPr>
          <w:p>
            <w:pPr>
              <w:spacing w:before="140" w:line="296" w:lineRule="auto"/>
              <w:ind w:left="112" w:right="158" w:firstLine="1"/>
              <w:rPr>
                <w:rFonts w:ascii="宋体" w:hAnsi="宋体" w:eastAsia="宋体" w:cs="宋体"/>
                <w:color w:val="auto"/>
              </w:rPr>
            </w:pPr>
            <w:r>
              <w:rPr>
                <w:rFonts w:ascii="宋体" w:hAnsi="宋体" w:eastAsia="宋体" w:cs="宋体"/>
                <w:color w:val="auto"/>
              </w:rPr>
              <w:t>关系到相关群体的基本权利、重大利益； 风险影响的规模大、涉及人数众多；影响时间长；可能引起严重风险事件，造成极大负面影响。</w:t>
            </w:r>
          </w:p>
        </w:tc>
        <w:tc>
          <w:tcPr>
            <w:tcW w:w="770" w:type="dxa"/>
          </w:tcPr>
          <w:p>
            <w:pPr>
              <w:spacing w:line="454" w:lineRule="auto"/>
              <w:jc w:val="center"/>
              <w:rPr>
                <w:rFonts w:ascii="宋体"/>
                <w:color w:val="auto"/>
              </w:rPr>
            </w:pPr>
          </w:p>
          <w:p>
            <w:pPr>
              <w:spacing w:before="60" w:line="180" w:lineRule="auto"/>
              <w:jc w:val="center"/>
              <w:rPr>
                <w:rFonts w:ascii="Times New Roman" w:hAnsi="Times New Roman" w:eastAsia="Times New Roman" w:cs="Times New Roman"/>
                <w:color w:val="auto"/>
              </w:rPr>
            </w:pPr>
            <w:r>
              <w:rPr>
                <w:rFonts w:ascii="Times New Roman" w:hAnsi="Times New Roman" w:eastAsia="Times New Roman" w:cs="Times New Roman"/>
                <w:color w:val="auto"/>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60" w:type="dxa"/>
          </w:tcPr>
          <w:p>
            <w:pPr>
              <w:jc w:val="center"/>
              <w:rPr>
                <w:rFonts w:ascii="宋体"/>
                <w:color w:val="auto"/>
              </w:rPr>
            </w:pPr>
          </w:p>
          <w:p>
            <w:pPr>
              <w:spacing w:before="69" w:line="184" w:lineRule="auto"/>
              <w:jc w:val="center"/>
              <w:rPr>
                <w:rFonts w:ascii="宋体" w:hAnsi="宋体" w:eastAsia="宋体" w:cs="宋体"/>
                <w:color w:val="auto"/>
              </w:rPr>
            </w:pPr>
            <w:r>
              <w:rPr>
                <w:rFonts w:ascii="宋体" w:hAnsi="宋体" w:eastAsia="宋体" w:cs="宋体"/>
                <w:color w:val="auto"/>
                <w:spacing w:val="-5"/>
              </w:rPr>
              <w:t>较大</w:t>
            </w:r>
          </w:p>
        </w:tc>
        <w:tc>
          <w:tcPr>
            <w:tcW w:w="6549" w:type="dxa"/>
          </w:tcPr>
          <w:p>
            <w:pPr>
              <w:spacing w:before="143" w:line="267" w:lineRule="auto"/>
              <w:ind w:left="111" w:right="29" w:firstLine="3"/>
              <w:rPr>
                <w:rFonts w:ascii="宋体" w:hAnsi="宋体" w:eastAsia="宋体" w:cs="宋体"/>
                <w:color w:val="auto"/>
              </w:rPr>
            </w:pPr>
            <w:r>
              <w:rPr>
                <w:rFonts w:ascii="宋体" w:hAnsi="宋体" w:eastAsia="宋体" w:cs="宋体"/>
                <w:color w:val="auto"/>
              </w:rPr>
              <w:t>关系到相关群体的重要权利和利益； 风险影响规模较大，涉及人数较多，影响时间较长； 可能引发较大风险事件，造成较大负面影响。</w:t>
            </w:r>
          </w:p>
        </w:tc>
        <w:tc>
          <w:tcPr>
            <w:tcW w:w="770" w:type="dxa"/>
          </w:tcPr>
          <w:p>
            <w:pPr>
              <w:spacing w:line="282" w:lineRule="auto"/>
              <w:jc w:val="center"/>
              <w:rPr>
                <w:rFonts w:ascii="宋体"/>
                <w:color w:val="auto"/>
              </w:rPr>
            </w:pPr>
          </w:p>
          <w:p>
            <w:pPr>
              <w:spacing w:before="60" w:line="180" w:lineRule="auto"/>
              <w:jc w:val="center"/>
              <w:rPr>
                <w:rFonts w:ascii="Times New Roman" w:hAnsi="Times New Roman" w:eastAsia="Times New Roman" w:cs="Times New Roman"/>
                <w:color w:val="auto"/>
              </w:rPr>
            </w:pPr>
            <w:r>
              <w:rPr>
                <w:rFonts w:ascii="Times New Roman" w:hAnsi="Times New Roman" w:eastAsia="Times New Roman" w:cs="Times New Roman"/>
                <w:color w:val="auto"/>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60" w:type="dxa"/>
          </w:tcPr>
          <w:p>
            <w:pPr>
              <w:jc w:val="center"/>
              <w:rPr>
                <w:rFonts w:ascii="宋体"/>
                <w:color w:val="auto"/>
              </w:rPr>
            </w:pPr>
          </w:p>
          <w:p>
            <w:pPr>
              <w:spacing w:before="68" w:line="184" w:lineRule="auto"/>
              <w:jc w:val="center"/>
              <w:rPr>
                <w:rFonts w:ascii="宋体" w:hAnsi="宋体" w:eastAsia="宋体" w:cs="宋体"/>
                <w:color w:val="auto"/>
              </w:rPr>
            </w:pPr>
            <w:r>
              <w:rPr>
                <w:rFonts w:ascii="宋体" w:hAnsi="宋体" w:eastAsia="宋体" w:cs="宋体"/>
                <w:color w:val="auto"/>
                <w:spacing w:val="-7"/>
              </w:rPr>
              <w:t>一般</w:t>
            </w:r>
          </w:p>
        </w:tc>
        <w:tc>
          <w:tcPr>
            <w:tcW w:w="6549" w:type="dxa"/>
          </w:tcPr>
          <w:p>
            <w:pPr>
              <w:spacing w:before="143" w:line="268" w:lineRule="auto"/>
              <w:ind w:left="112" w:right="158" w:hanging="2"/>
              <w:rPr>
                <w:rFonts w:ascii="宋体" w:hAnsi="宋体" w:eastAsia="宋体" w:cs="宋体"/>
                <w:color w:val="auto"/>
              </w:rPr>
            </w:pPr>
            <w:r>
              <w:rPr>
                <w:rFonts w:ascii="宋体" w:hAnsi="宋体" w:eastAsia="宋体" w:cs="宋体"/>
                <w:color w:val="auto"/>
              </w:rPr>
              <w:t>对相关群体合法权益构成不利影响； 风险影响规模中等，涉及一定数量； 可能引发一般风险事件，在当地造成一定负面影响。</w:t>
            </w:r>
          </w:p>
        </w:tc>
        <w:tc>
          <w:tcPr>
            <w:tcW w:w="770" w:type="dxa"/>
          </w:tcPr>
          <w:p>
            <w:pPr>
              <w:spacing w:line="281" w:lineRule="auto"/>
              <w:jc w:val="center"/>
              <w:rPr>
                <w:rFonts w:ascii="宋体"/>
                <w:color w:val="auto"/>
              </w:rPr>
            </w:pPr>
          </w:p>
          <w:p>
            <w:pPr>
              <w:spacing w:before="61" w:line="180" w:lineRule="auto"/>
              <w:jc w:val="center"/>
              <w:rPr>
                <w:rFonts w:ascii="Times New Roman" w:hAnsi="Times New Roman" w:eastAsia="Times New Roman" w:cs="Times New Roman"/>
                <w:color w:val="auto"/>
              </w:rPr>
            </w:pPr>
            <w:r>
              <w:rPr>
                <w:rFonts w:ascii="Times New Roman" w:hAnsi="Times New Roman" w:eastAsia="Times New Roman" w:cs="Times New Roman"/>
                <w:color w:val="auto"/>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60" w:type="dxa"/>
          </w:tcPr>
          <w:p>
            <w:pPr>
              <w:spacing w:line="242" w:lineRule="auto"/>
              <w:jc w:val="center"/>
              <w:rPr>
                <w:rFonts w:ascii="宋体"/>
                <w:color w:val="auto"/>
              </w:rPr>
            </w:pPr>
          </w:p>
          <w:p>
            <w:pPr>
              <w:spacing w:before="68" w:line="184" w:lineRule="auto"/>
              <w:jc w:val="center"/>
              <w:rPr>
                <w:rFonts w:ascii="宋体" w:hAnsi="宋体" w:eastAsia="宋体" w:cs="宋体"/>
                <w:color w:val="auto"/>
              </w:rPr>
            </w:pPr>
            <w:r>
              <w:rPr>
                <w:rFonts w:ascii="宋体" w:hAnsi="宋体" w:eastAsia="宋体" w:cs="宋体"/>
                <w:color w:val="auto"/>
                <w:spacing w:val="-5"/>
              </w:rPr>
              <w:t>较小</w:t>
            </w:r>
          </w:p>
        </w:tc>
        <w:tc>
          <w:tcPr>
            <w:tcW w:w="6549" w:type="dxa"/>
          </w:tcPr>
          <w:p>
            <w:pPr>
              <w:spacing w:before="145" w:line="267" w:lineRule="auto"/>
              <w:ind w:left="113" w:right="158" w:hanging="2"/>
              <w:rPr>
                <w:rFonts w:ascii="宋体" w:hAnsi="宋体" w:eastAsia="宋体" w:cs="宋体"/>
                <w:color w:val="auto"/>
              </w:rPr>
            </w:pPr>
            <w:r>
              <w:rPr>
                <w:rFonts w:ascii="宋体" w:hAnsi="宋体" w:eastAsia="宋体" w:cs="宋体"/>
                <w:color w:val="auto"/>
              </w:rPr>
              <w:t>风险影响规模较小，涉及人数较少，影响时间较短；可能零星引发一般风险事件，局部范围造成不利负面影响。</w:t>
            </w:r>
          </w:p>
        </w:tc>
        <w:tc>
          <w:tcPr>
            <w:tcW w:w="770" w:type="dxa"/>
          </w:tcPr>
          <w:p>
            <w:pPr>
              <w:spacing w:line="283" w:lineRule="auto"/>
              <w:jc w:val="center"/>
              <w:rPr>
                <w:rFonts w:ascii="宋体"/>
                <w:color w:val="auto"/>
              </w:rPr>
            </w:pPr>
          </w:p>
          <w:p>
            <w:pPr>
              <w:spacing w:before="61" w:line="180" w:lineRule="auto"/>
              <w:jc w:val="center"/>
              <w:rPr>
                <w:rFonts w:ascii="Times New Roman" w:hAnsi="Times New Roman" w:eastAsia="Times New Roman" w:cs="Times New Roman"/>
                <w:color w:val="auto"/>
              </w:rPr>
            </w:pPr>
            <w:r>
              <w:rPr>
                <w:rFonts w:ascii="Times New Roman" w:hAnsi="Times New Roman" w:eastAsia="Times New Roman" w:cs="Times New Roman"/>
                <w:color w:val="auto"/>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0" w:type="dxa"/>
          </w:tcPr>
          <w:p>
            <w:pPr>
              <w:spacing w:line="242" w:lineRule="auto"/>
              <w:jc w:val="center"/>
              <w:rPr>
                <w:rFonts w:ascii="宋体"/>
                <w:color w:val="auto"/>
              </w:rPr>
            </w:pPr>
          </w:p>
          <w:p>
            <w:pPr>
              <w:spacing w:before="68" w:line="184" w:lineRule="auto"/>
              <w:jc w:val="center"/>
              <w:rPr>
                <w:rFonts w:ascii="宋体" w:hAnsi="宋体" w:eastAsia="宋体" w:cs="宋体"/>
                <w:color w:val="auto"/>
              </w:rPr>
            </w:pPr>
            <w:r>
              <w:rPr>
                <w:rFonts w:ascii="宋体" w:hAnsi="宋体" w:eastAsia="宋体" w:cs="宋体"/>
                <w:color w:val="auto"/>
                <w:spacing w:val="-5"/>
              </w:rPr>
              <w:t>微小</w:t>
            </w:r>
          </w:p>
        </w:tc>
        <w:tc>
          <w:tcPr>
            <w:tcW w:w="6549" w:type="dxa"/>
          </w:tcPr>
          <w:p>
            <w:pPr>
              <w:spacing w:before="145" w:line="268" w:lineRule="auto"/>
              <w:ind w:left="120" w:right="158" w:hanging="9"/>
              <w:rPr>
                <w:rFonts w:ascii="宋体" w:hAnsi="宋体" w:eastAsia="宋体" w:cs="宋体"/>
                <w:color w:val="auto"/>
              </w:rPr>
            </w:pPr>
            <w:r>
              <w:rPr>
                <w:rFonts w:ascii="宋体" w:hAnsi="宋体" w:eastAsia="宋体" w:cs="宋体"/>
                <w:color w:val="auto"/>
              </w:rPr>
              <w:t>风险影响规模有限，涉及个别利益相关者，可能发生个别矛盾，影响短时间可以消除。</w:t>
            </w:r>
          </w:p>
        </w:tc>
        <w:tc>
          <w:tcPr>
            <w:tcW w:w="770" w:type="dxa"/>
          </w:tcPr>
          <w:p>
            <w:pPr>
              <w:spacing w:line="283" w:lineRule="auto"/>
              <w:jc w:val="center"/>
              <w:rPr>
                <w:rFonts w:ascii="宋体"/>
                <w:color w:val="auto"/>
              </w:rPr>
            </w:pPr>
          </w:p>
          <w:p>
            <w:pPr>
              <w:spacing w:before="61" w:line="180" w:lineRule="auto"/>
              <w:jc w:val="center"/>
              <w:rPr>
                <w:rFonts w:ascii="Times New Roman" w:hAnsi="Times New Roman" w:eastAsia="Times New Roman" w:cs="Times New Roman"/>
                <w:color w:val="auto"/>
              </w:rPr>
            </w:pPr>
            <w:r>
              <w:rPr>
                <w:rFonts w:ascii="Times New Roman" w:hAnsi="Times New Roman" w:eastAsia="Times New Roman" w:cs="Times New Roman"/>
                <w:color w:val="auto"/>
                <w:spacing w:val="1"/>
              </w:rPr>
              <w:t>N</w:t>
            </w:r>
          </w:p>
        </w:tc>
      </w:tr>
    </w:tbl>
    <w:p>
      <w:pPr>
        <w:pStyle w:val="2"/>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风险程度为风险概率与风险影响程度的乘积。对识别的风险概率和风险影响程度采用风险概率-影响矩阵分析，对不同风险概率和风险影响程度进行组合后的风险程度，分为重大风险、较大风险、一般风险、较小风险、微小风险五个等级。</w:t>
      </w:r>
    </w:p>
    <w:p>
      <w:pPr>
        <w:pStyle w:val="2"/>
        <w:ind w:firstLine="560" w:firstLineChars="200"/>
        <w:jc w:val="center"/>
        <w:rPr>
          <w:color w:val="auto"/>
        </w:rPr>
      </w:pPr>
      <w:r>
        <w:rPr>
          <w:rFonts w:hAnsi="宋体" w:cs="宋体"/>
          <w:color w:val="auto"/>
          <w:szCs w:val="28"/>
        </w:rPr>
        <w:t>单因素风险程度评判参考标准</w:t>
      </w:r>
    </w:p>
    <w:tbl>
      <w:tblPr>
        <w:tblStyle w:val="19"/>
        <w:tblW w:w="8314"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3"/>
        <w:gridCol w:w="4356"/>
        <w:gridCol w:w="1787"/>
        <w:gridCol w:w="10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133" w:type="dxa"/>
          </w:tcPr>
          <w:p>
            <w:pPr>
              <w:spacing w:line="244" w:lineRule="auto"/>
              <w:jc w:val="center"/>
              <w:rPr>
                <w:rFonts w:ascii="宋体"/>
                <w:color w:val="auto"/>
              </w:rPr>
            </w:pPr>
          </w:p>
          <w:p>
            <w:pPr>
              <w:spacing w:before="68" w:line="184" w:lineRule="auto"/>
              <w:ind w:firstLine="436"/>
              <w:jc w:val="both"/>
              <w:rPr>
                <w:rFonts w:ascii="宋体" w:hAnsi="宋体" w:eastAsia="宋体" w:cs="宋体"/>
                <w:color w:val="auto"/>
              </w:rPr>
            </w:pPr>
            <w:r>
              <w:rPr>
                <w:rFonts w:ascii="宋体" w:hAnsi="宋体" w:eastAsia="宋体" w:cs="宋体"/>
                <w:color w:val="auto"/>
                <w:spacing w:val="-5"/>
              </w:rPr>
              <w:t>等级</w:t>
            </w:r>
          </w:p>
        </w:tc>
        <w:tc>
          <w:tcPr>
            <w:tcW w:w="4356" w:type="dxa"/>
          </w:tcPr>
          <w:p>
            <w:pPr>
              <w:spacing w:line="244" w:lineRule="auto"/>
              <w:jc w:val="center"/>
              <w:rPr>
                <w:rFonts w:ascii="宋体"/>
                <w:color w:val="auto"/>
              </w:rPr>
            </w:pPr>
          </w:p>
          <w:p>
            <w:pPr>
              <w:spacing w:before="68" w:line="184" w:lineRule="auto"/>
              <w:ind w:firstLine="2012"/>
              <w:jc w:val="both"/>
              <w:rPr>
                <w:rFonts w:ascii="宋体" w:hAnsi="宋体" w:eastAsia="宋体" w:cs="宋体"/>
                <w:color w:val="auto"/>
              </w:rPr>
            </w:pPr>
            <w:r>
              <w:rPr>
                <w:rFonts w:ascii="宋体" w:hAnsi="宋体" w:eastAsia="宋体" w:cs="宋体"/>
                <w:color w:val="auto"/>
                <w:spacing w:val="-2"/>
              </w:rPr>
              <w:t>风险程度</w:t>
            </w:r>
          </w:p>
        </w:tc>
        <w:tc>
          <w:tcPr>
            <w:tcW w:w="1787" w:type="dxa"/>
          </w:tcPr>
          <w:p>
            <w:pPr>
              <w:jc w:val="center"/>
              <w:rPr>
                <w:rFonts w:ascii="Times New Roman" w:hAnsi="Times New Roman" w:eastAsia="Times New Roman" w:cs="Times New Roman"/>
                <w:color w:val="auto"/>
              </w:rPr>
            </w:pPr>
            <w:r>
              <w:rPr>
                <w:rFonts w:hint="eastAsia" w:ascii="宋体" w:hAnsi="宋体" w:eastAsia="宋体" w:cs="宋体"/>
                <w:color w:val="auto"/>
                <w:spacing w:val="-2"/>
              </w:rPr>
              <w:t>定量评判标准</w:t>
            </w:r>
            <w:r>
              <w:rPr>
                <w:rFonts w:ascii="宋体" w:hAnsi="宋体" w:eastAsia="宋体" w:cs="宋体"/>
                <w:color w:val="auto"/>
                <w:spacing w:val="-2"/>
              </w:rPr>
              <w:t>R=p×q</w:t>
            </w:r>
          </w:p>
        </w:tc>
        <w:tc>
          <w:tcPr>
            <w:tcW w:w="1038" w:type="dxa"/>
          </w:tcPr>
          <w:p>
            <w:pPr>
              <w:spacing w:line="244" w:lineRule="auto"/>
              <w:jc w:val="center"/>
              <w:rPr>
                <w:rFonts w:ascii="宋体"/>
                <w:color w:val="auto"/>
              </w:rPr>
            </w:pPr>
          </w:p>
          <w:p>
            <w:pPr>
              <w:spacing w:before="68" w:line="184" w:lineRule="auto"/>
              <w:ind w:firstLine="315"/>
              <w:jc w:val="center"/>
              <w:rPr>
                <w:rFonts w:ascii="宋体" w:hAnsi="宋体" w:eastAsia="宋体" w:cs="宋体"/>
                <w:color w:val="auto"/>
              </w:rPr>
            </w:pPr>
            <w:r>
              <w:rPr>
                <w:rFonts w:ascii="宋体" w:hAnsi="宋体" w:eastAsia="宋体" w:cs="宋体"/>
                <w:color w:val="auto"/>
                <w:spacing w:val="-4"/>
              </w:rPr>
              <w:t>表示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1133" w:type="dxa"/>
          </w:tcPr>
          <w:p>
            <w:pPr>
              <w:spacing w:before="340" w:line="184" w:lineRule="auto"/>
              <w:ind w:firstLine="224"/>
              <w:rPr>
                <w:rFonts w:ascii="宋体" w:hAnsi="宋体" w:eastAsia="宋体" w:cs="宋体"/>
                <w:color w:val="auto"/>
              </w:rPr>
            </w:pPr>
            <w:r>
              <w:rPr>
                <w:rFonts w:ascii="宋体" w:hAnsi="宋体" w:eastAsia="宋体" w:cs="宋体"/>
                <w:color w:val="auto"/>
                <w:spacing w:val="-3"/>
              </w:rPr>
              <w:t>重大风险</w:t>
            </w:r>
          </w:p>
        </w:tc>
        <w:tc>
          <w:tcPr>
            <w:tcW w:w="4356" w:type="dxa"/>
          </w:tcPr>
          <w:p>
            <w:pPr>
              <w:spacing w:before="141" w:line="267" w:lineRule="auto"/>
              <w:ind w:left="114" w:right="106" w:hanging="2"/>
              <w:rPr>
                <w:rFonts w:ascii="宋体" w:hAnsi="宋体" w:eastAsia="宋体" w:cs="宋体"/>
                <w:color w:val="auto"/>
              </w:rPr>
            </w:pPr>
            <w:r>
              <w:rPr>
                <w:rFonts w:ascii="宋体" w:hAnsi="宋体" w:eastAsia="宋体" w:cs="宋体"/>
                <w:color w:val="auto"/>
              </w:rPr>
              <w:t>可能性大，社会影响和损失大，影响和损失不可接</w:t>
            </w:r>
            <w:r>
              <w:rPr>
                <w:rFonts w:ascii="宋体" w:hAnsi="宋体" w:eastAsia="宋体" w:cs="宋体"/>
                <w:color w:val="auto"/>
                <w:spacing w:val="6"/>
              </w:rPr>
              <w:t xml:space="preserve"> </w:t>
            </w:r>
            <w:r>
              <w:rPr>
                <w:rFonts w:ascii="宋体" w:hAnsi="宋体" w:eastAsia="宋体" w:cs="宋体"/>
                <w:color w:val="auto"/>
                <w:spacing w:val="-1"/>
              </w:rPr>
              <w:t>受，必须采取积极有效的防范化解措施</w:t>
            </w:r>
          </w:p>
        </w:tc>
        <w:tc>
          <w:tcPr>
            <w:tcW w:w="1787" w:type="dxa"/>
          </w:tcPr>
          <w:p>
            <w:pPr>
              <w:spacing w:before="303" w:line="281" w:lineRule="exact"/>
              <w:ind w:firstLine="313"/>
              <w:rPr>
                <w:rFonts w:ascii="Times New Roman" w:hAnsi="Times New Roman" w:eastAsia="Times New Roman" w:cs="Times New Roman"/>
                <w:color w:val="auto"/>
              </w:rPr>
            </w:pPr>
            <w:r>
              <w:rPr>
                <w:rFonts w:ascii="Times New Roman" w:hAnsi="Times New Roman" w:eastAsia="Times New Roman" w:cs="Times New Roman"/>
                <w:color w:val="auto"/>
              </w:rPr>
              <w:t>0.64</w:t>
            </w:r>
            <w:r>
              <w:rPr>
                <w:rFonts w:ascii="宋体" w:hAnsi="宋体" w:eastAsia="宋体" w:cs="宋体"/>
                <w:color w:val="auto"/>
              </w:rPr>
              <w:t>＜</w:t>
            </w:r>
            <w:r>
              <w:rPr>
                <w:rFonts w:ascii="Times New Roman" w:hAnsi="Times New Roman" w:eastAsia="Times New Roman" w:cs="Times New Roman"/>
                <w:color w:val="auto"/>
              </w:rPr>
              <w:t>R≤1.0</w:t>
            </w:r>
          </w:p>
        </w:tc>
        <w:tc>
          <w:tcPr>
            <w:tcW w:w="1038" w:type="dxa"/>
          </w:tcPr>
          <w:p>
            <w:pPr>
              <w:spacing w:line="278" w:lineRule="auto"/>
              <w:rPr>
                <w:rFonts w:ascii="宋体"/>
                <w:color w:val="auto"/>
              </w:rPr>
            </w:pPr>
          </w:p>
          <w:p>
            <w:pPr>
              <w:spacing w:before="60" w:line="180" w:lineRule="auto"/>
              <w:ind w:firstLine="472"/>
              <w:rPr>
                <w:rFonts w:ascii="Times New Roman" w:hAnsi="Times New Roman" w:eastAsia="Times New Roman" w:cs="Times New Roman"/>
                <w:color w:val="auto"/>
              </w:rPr>
            </w:pPr>
            <w:r>
              <w:rPr>
                <w:rFonts w:ascii="Times New Roman" w:hAnsi="Times New Roman" w:eastAsia="Times New Roman" w:cs="Times New Roman"/>
                <w:color w:val="auto"/>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133" w:type="dxa"/>
          </w:tcPr>
          <w:p>
            <w:pPr>
              <w:spacing w:line="241" w:lineRule="auto"/>
              <w:rPr>
                <w:rFonts w:ascii="宋体"/>
                <w:color w:val="auto"/>
              </w:rPr>
            </w:pPr>
          </w:p>
          <w:p>
            <w:pPr>
              <w:spacing w:before="68" w:line="184" w:lineRule="auto"/>
              <w:ind w:firstLine="223"/>
              <w:rPr>
                <w:rFonts w:ascii="宋体" w:hAnsi="宋体" w:eastAsia="宋体" w:cs="宋体"/>
                <w:color w:val="auto"/>
              </w:rPr>
            </w:pPr>
            <w:r>
              <w:rPr>
                <w:rFonts w:ascii="宋体" w:hAnsi="宋体" w:eastAsia="宋体" w:cs="宋体"/>
                <w:color w:val="auto"/>
                <w:spacing w:val="-3"/>
              </w:rPr>
              <w:t>较大风险</w:t>
            </w:r>
          </w:p>
        </w:tc>
        <w:tc>
          <w:tcPr>
            <w:tcW w:w="4356" w:type="dxa"/>
          </w:tcPr>
          <w:p>
            <w:pPr>
              <w:spacing w:before="141" w:line="268" w:lineRule="auto"/>
              <w:ind w:left="120" w:right="106" w:hanging="8"/>
              <w:rPr>
                <w:rFonts w:ascii="宋体" w:hAnsi="宋体" w:eastAsia="宋体" w:cs="宋体"/>
                <w:color w:val="auto"/>
              </w:rPr>
            </w:pPr>
            <w:r>
              <w:rPr>
                <w:rFonts w:ascii="宋体" w:hAnsi="宋体" w:eastAsia="宋体" w:cs="宋体"/>
                <w:color w:val="auto"/>
              </w:rPr>
              <w:t>可能性较大，或社会影响和损失较大，影响和损失</w:t>
            </w:r>
            <w:r>
              <w:rPr>
                <w:rFonts w:ascii="宋体" w:hAnsi="宋体" w:eastAsia="宋体" w:cs="宋体"/>
                <w:color w:val="auto"/>
                <w:spacing w:val="6"/>
              </w:rPr>
              <w:t xml:space="preserve"> </w:t>
            </w:r>
            <w:r>
              <w:rPr>
                <w:rFonts w:ascii="宋体" w:hAnsi="宋体" w:eastAsia="宋体" w:cs="宋体"/>
                <w:color w:val="auto"/>
                <w:spacing w:val="-2"/>
              </w:rPr>
              <w:t>时可以接受的，需采取一定的防范化解措施</w:t>
            </w:r>
          </w:p>
        </w:tc>
        <w:tc>
          <w:tcPr>
            <w:tcW w:w="1787" w:type="dxa"/>
          </w:tcPr>
          <w:p>
            <w:pPr>
              <w:spacing w:before="305" w:line="281" w:lineRule="exact"/>
              <w:ind w:firstLine="260"/>
              <w:rPr>
                <w:rFonts w:ascii="Times New Roman" w:hAnsi="Times New Roman" w:eastAsia="Times New Roman" w:cs="Times New Roman"/>
                <w:color w:val="auto"/>
              </w:rPr>
            </w:pPr>
            <w:r>
              <w:rPr>
                <w:rFonts w:ascii="Times New Roman" w:hAnsi="Times New Roman" w:eastAsia="Times New Roman" w:cs="Times New Roman"/>
                <w:color w:val="auto"/>
                <w:spacing w:val="-1"/>
              </w:rPr>
              <w:t>0.36</w:t>
            </w:r>
            <w:r>
              <w:rPr>
                <w:rFonts w:ascii="宋体" w:hAnsi="宋体" w:eastAsia="宋体" w:cs="宋体"/>
                <w:color w:val="auto"/>
                <w:spacing w:val="-1"/>
              </w:rPr>
              <w:t>＜</w:t>
            </w:r>
            <w:r>
              <w:rPr>
                <w:rFonts w:ascii="Times New Roman" w:hAnsi="Times New Roman" w:eastAsia="Times New Roman" w:cs="Times New Roman"/>
                <w:color w:val="auto"/>
                <w:spacing w:val="-1"/>
              </w:rPr>
              <w:t>R≤0.64</w:t>
            </w:r>
          </w:p>
        </w:tc>
        <w:tc>
          <w:tcPr>
            <w:tcW w:w="1038" w:type="dxa"/>
          </w:tcPr>
          <w:p>
            <w:pPr>
              <w:spacing w:line="282" w:lineRule="auto"/>
              <w:rPr>
                <w:rFonts w:ascii="宋体"/>
                <w:color w:val="auto"/>
              </w:rPr>
            </w:pPr>
          </w:p>
          <w:p>
            <w:pPr>
              <w:spacing w:before="61" w:line="180" w:lineRule="auto"/>
              <w:ind w:firstLine="445"/>
              <w:rPr>
                <w:rFonts w:ascii="Times New Roman" w:hAnsi="Times New Roman" w:eastAsia="Times New Roman" w:cs="Times New Roman"/>
                <w:color w:val="auto"/>
              </w:rPr>
            </w:pPr>
            <w:r>
              <w:rPr>
                <w:rFonts w:ascii="Times New Roman" w:hAnsi="Times New Roman" w:eastAsia="Times New Roman" w:cs="Times New Roman"/>
                <w:color w:val="auto"/>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133" w:type="dxa"/>
          </w:tcPr>
          <w:p>
            <w:pPr>
              <w:spacing w:line="241" w:lineRule="auto"/>
              <w:rPr>
                <w:rFonts w:ascii="宋体"/>
                <w:color w:val="auto"/>
              </w:rPr>
            </w:pPr>
          </w:p>
          <w:p>
            <w:pPr>
              <w:spacing w:before="68" w:line="184" w:lineRule="auto"/>
              <w:ind w:firstLine="227"/>
              <w:rPr>
                <w:rFonts w:ascii="宋体" w:hAnsi="宋体" w:eastAsia="宋体" w:cs="宋体"/>
                <w:color w:val="auto"/>
              </w:rPr>
            </w:pPr>
            <w:r>
              <w:rPr>
                <w:rFonts w:ascii="宋体" w:hAnsi="宋体" w:eastAsia="宋体" w:cs="宋体"/>
                <w:color w:val="auto"/>
                <w:spacing w:val="-4"/>
              </w:rPr>
              <w:t>一般风险</w:t>
            </w:r>
          </w:p>
        </w:tc>
        <w:tc>
          <w:tcPr>
            <w:tcW w:w="4356" w:type="dxa"/>
          </w:tcPr>
          <w:p>
            <w:pPr>
              <w:spacing w:before="143" w:line="267" w:lineRule="auto"/>
              <w:ind w:left="111" w:right="106"/>
              <w:rPr>
                <w:rFonts w:ascii="宋体" w:hAnsi="宋体" w:eastAsia="宋体" w:cs="宋体"/>
                <w:color w:val="auto"/>
              </w:rPr>
            </w:pPr>
            <w:r>
              <w:rPr>
                <w:rFonts w:ascii="宋体" w:hAnsi="宋体" w:eastAsia="宋体" w:cs="宋体"/>
                <w:color w:val="auto"/>
              </w:rPr>
              <w:t>可能性不大，或社会影响和损失不大，一般不影响</w:t>
            </w:r>
            <w:r>
              <w:rPr>
                <w:rFonts w:ascii="宋体" w:hAnsi="宋体" w:eastAsia="宋体" w:cs="宋体"/>
                <w:color w:val="auto"/>
                <w:spacing w:val="6"/>
              </w:rPr>
              <w:t xml:space="preserve"> </w:t>
            </w:r>
            <w:r>
              <w:rPr>
                <w:rFonts w:hint="eastAsia" w:ascii="宋体" w:hAnsi="宋体" w:eastAsia="宋体" w:cs="宋体"/>
                <w:color w:val="auto"/>
                <w:spacing w:val="-1"/>
              </w:rPr>
              <w:t>土地征收</w:t>
            </w:r>
            <w:r>
              <w:rPr>
                <w:rFonts w:ascii="宋体" w:hAnsi="宋体" w:eastAsia="宋体" w:cs="宋体"/>
                <w:color w:val="auto"/>
                <w:spacing w:val="-1"/>
              </w:rPr>
              <w:t>的可行性，采取一定的范围化解措施</w:t>
            </w:r>
          </w:p>
        </w:tc>
        <w:tc>
          <w:tcPr>
            <w:tcW w:w="1787" w:type="dxa"/>
          </w:tcPr>
          <w:p>
            <w:pPr>
              <w:spacing w:before="305" w:line="281" w:lineRule="exact"/>
              <w:ind w:firstLine="260"/>
              <w:rPr>
                <w:rFonts w:ascii="Times New Roman" w:hAnsi="Times New Roman" w:eastAsia="Times New Roman" w:cs="Times New Roman"/>
                <w:color w:val="auto"/>
              </w:rPr>
            </w:pPr>
            <w:r>
              <w:rPr>
                <w:rFonts w:ascii="Times New Roman" w:hAnsi="Times New Roman" w:eastAsia="Times New Roman" w:cs="Times New Roman"/>
                <w:color w:val="auto"/>
                <w:spacing w:val="-4"/>
              </w:rPr>
              <w:t>0.</w:t>
            </w:r>
            <w:r>
              <w:rPr>
                <w:rFonts w:ascii="Times New Roman" w:hAnsi="Times New Roman" w:eastAsia="Times New Roman" w:cs="Times New Roman"/>
                <w:color w:val="auto"/>
                <w:spacing w:val="-18"/>
              </w:rPr>
              <w:t xml:space="preserve"> </w:t>
            </w:r>
            <w:r>
              <w:rPr>
                <w:rFonts w:ascii="Times New Roman" w:hAnsi="Times New Roman" w:eastAsia="Times New Roman" w:cs="Times New Roman"/>
                <w:color w:val="auto"/>
                <w:spacing w:val="-4"/>
              </w:rPr>
              <w:t>16</w:t>
            </w:r>
            <w:r>
              <w:rPr>
                <w:rFonts w:ascii="宋体" w:hAnsi="宋体" w:eastAsia="宋体" w:cs="宋体"/>
                <w:color w:val="auto"/>
                <w:spacing w:val="-4"/>
              </w:rPr>
              <w:t>＜</w:t>
            </w:r>
            <w:r>
              <w:rPr>
                <w:rFonts w:ascii="Times New Roman" w:hAnsi="Times New Roman" w:eastAsia="Times New Roman" w:cs="Times New Roman"/>
                <w:color w:val="auto"/>
                <w:spacing w:val="-4"/>
              </w:rPr>
              <w:t>R≤0.36</w:t>
            </w:r>
          </w:p>
        </w:tc>
        <w:tc>
          <w:tcPr>
            <w:tcW w:w="1038" w:type="dxa"/>
          </w:tcPr>
          <w:p>
            <w:pPr>
              <w:spacing w:line="282" w:lineRule="auto"/>
              <w:rPr>
                <w:rFonts w:ascii="宋体"/>
                <w:color w:val="auto"/>
              </w:rPr>
            </w:pPr>
          </w:p>
          <w:p>
            <w:pPr>
              <w:spacing w:before="61" w:line="180" w:lineRule="auto"/>
              <w:ind w:firstLine="428"/>
              <w:rPr>
                <w:rFonts w:ascii="Times New Roman" w:hAnsi="Times New Roman" w:eastAsia="Times New Roman" w:cs="Times New Roman"/>
                <w:color w:val="auto"/>
              </w:rPr>
            </w:pPr>
            <w:r>
              <w:rPr>
                <w:rFonts w:ascii="Times New Roman" w:hAnsi="Times New Roman" w:eastAsia="Times New Roman" w:cs="Times New Roman"/>
                <w:color w:val="auto"/>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2" w:hRule="atLeast"/>
        </w:trPr>
        <w:tc>
          <w:tcPr>
            <w:tcW w:w="1133" w:type="dxa"/>
          </w:tcPr>
          <w:p>
            <w:pPr>
              <w:spacing w:line="243" w:lineRule="auto"/>
              <w:rPr>
                <w:rFonts w:ascii="宋体"/>
                <w:color w:val="auto"/>
              </w:rPr>
            </w:pPr>
          </w:p>
          <w:p>
            <w:pPr>
              <w:spacing w:before="68" w:line="184" w:lineRule="auto"/>
              <w:ind w:firstLine="223"/>
              <w:rPr>
                <w:rFonts w:ascii="宋体" w:hAnsi="宋体" w:eastAsia="宋体" w:cs="宋体"/>
                <w:color w:val="auto"/>
              </w:rPr>
            </w:pPr>
            <w:r>
              <w:rPr>
                <w:rFonts w:ascii="宋体" w:hAnsi="宋体" w:eastAsia="宋体" w:cs="宋体"/>
                <w:color w:val="auto"/>
                <w:spacing w:val="-3"/>
              </w:rPr>
              <w:t>较小风险</w:t>
            </w:r>
          </w:p>
        </w:tc>
        <w:tc>
          <w:tcPr>
            <w:tcW w:w="4356" w:type="dxa"/>
          </w:tcPr>
          <w:p>
            <w:pPr>
              <w:spacing w:before="143" w:line="268" w:lineRule="auto"/>
              <w:ind w:left="112" w:right="104"/>
              <w:rPr>
                <w:rFonts w:ascii="宋体" w:hAnsi="宋体" w:eastAsia="宋体" w:cs="宋体"/>
                <w:color w:val="auto"/>
              </w:rPr>
            </w:pPr>
            <w:r>
              <w:rPr>
                <w:rFonts w:ascii="宋体" w:hAnsi="宋体" w:eastAsia="宋体" w:cs="宋体"/>
                <w:color w:val="auto"/>
              </w:rPr>
              <w:t>可能性较小，或社会影响和损失较小，不影响</w:t>
            </w:r>
            <w:r>
              <w:rPr>
                <w:rFonts w:hint="eastAsia" w:ascii="宋体" w:hAnsi="宋体" w:eastAsia="宋体" w:cs="宋体"/>
                <w:color w:val="auto"/>
              </w:rPr>
              <w:t>土地</w:t>
            </w:r>
            <w:r>
              <w:rPr>
                <w:rFonts w:ascii="宋体" w:hAnsi="宋体" w:eastAsia="宋体" w:cs="宋体"/>
                <w:color w:val="auto"/>
                <w:spacing w:val="-2"/>
              </w:rPr>
              <w:t>征收的可行性</w:t>
            </w:r>
          </w:p>
        </w:tc>
        <w:tc>
          <w:tcPr>
            <w:tcW w:w="1787" w:type="dxa"/>
          </w:tcPr>
          <w:p>
            <w:pPr>
              <w:spacing w:before="307" w:line="281" w:lineRule="exact"/>
              <w:ind w:firstLine="260"/>
              <w:rPr>
                <w:rFonts w:ascii="Times New Roman" w:hAnsi="Times New Roman" w:eastAsia="Times New Roman" w:cs="Times New Roman"/>
                <w:color w:val="auto"/>
              </w:rPr>
            </w:pPr>
            <w:r>
              <w:rPr>
                <w:rFonts w:ascii="Times New Roman" w:hAnsi="Times New Roman" w:eastAsia="Times New Roman" w:cs="Times New Roman"/>
                <w:color w:val="auto"/>
                <w:spacing w:val="-4"/>
              </w:rPr>
              <w:t>0.04</w:t>
            </w:r>
            <w:r>
              <w:rPr>
                <w:rFonts w:ascii="宋体" w:hAnsi="宋体" w:eastAsia="宋体" w:cs="宋体"/>
                <w:color w:val="auto"/>
                <w:spacing w:val="-4"/>
              </w:rPr>
              <w:t>＜</w:t>
            </w:r>
            <w:r>
              <w:rPr>
                <w:rFonts w:ascii="Times New Roman" w:hAnsi="Times New Roman" w:eastAsia="Times New Roman" w:cs="Times New Roman"/>
                <w:color w:val="auto"/>
                <w:spacing w:val="-4"/>
              </w:rPr>
              <w:t>R≤0.</w:t>
            </w:r>
            <w:r>
              <w:rPr>
                <w:rFonts w:ascii="Times New Roman" w:hAnsi="Times New Roman" w:eastAsia="Times New Roman" w:cs="Times New Roman"/>
                <w:color w:val="auto"/>
                <w:spacing w:val="-18"/>
              </w:rPr>
              <w:t xml:space="preserve"> </w:t>
            </w:r>
            <w:r>
              <w:rPr>
                <w:rFonts w:ascii="Times New Roman" w:hAnsi="Times New Roman" w:eastAsia="Times New Roman" w:cs="Times New Roman"/>
                <w:color w:val="auto"/>
                <w:spacing w:val="-4"/>
              </w:rPr>
              <w:t>16</w:t>
            </w:r>
          </w:p>
        </w:tc>
        <w:tc>
          <w:tcPr>
            <w:tcW w:w="1038" w:type="dxa"/>
          </w:tcPr>
          <w:p>
            <w:pPr>
              <w:spacing w:line="284" w:lineRule="auto"/>
              <w:rPr>
                <w:rFonts w:ascii="宋体"/>
                <w:color w:val="auto"/>
              </w:rPr>
            </w:pPr>
          </w:p>
          <w:p>
            <w:pPr>
              <w:spacing w:before="61" w:line="180" w:lineRule="auto"/>
              <w:ind w:firstLine="458"/>
              <w:rPr>
                <w:rFonts w:ascii="Times New Roman" w:hAnsi="Times New Roman" w:eastAsia="Times New Roman" w:cs="Times New Roman"/>
                <w:color w:val="auto"/>
              </w:rPr>
            </w:pPr>
            <w:r>
              <w:rPr>
                <w:rFonts w:ascii="Times New Roman" w:hAnsi="Times New Roman" w:eastAsia="Times New Roman" w:cs="Times New Roman"/>
                <w:color w:val="auto"/>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133" w:type="dxa"/>
          </w:tcPr>
          <w:p>
            <w:pPr>
              <w:spacing w:line="243" w:lineRule="auto"/>
              <w:rPr>
                <w:rFonts w:ascii="宋体"/>
                <w:color w:val="auto"/>
              </w:rPr>
            </w:pPr>
          </w:p>
          <w:p>
            <w:pPr>
              <w:spacing w:before="68" w:line="184" w:lineRule="auto"/>
              <w:ind w:firstLine="223"/>
              <w:rPr>
                <w:rFonts w:ascii="宋体" w:hAnsi="宋体" w:eastAsia="宋体" w:cs="宋体"/>
                <w:color w:val="auto"/>
              </w:rPr>
            </w:pPr>
            <w:r>
              <w:rPr>
                <w:rFonts w:ascii="宋体" w:hAnsi="宋体" w:eastAsia="宋体" w:cs="宋体"/>
                <w:color w:val="auto"/>
                <w:spacing w:val="-3"/>
              </w:rPr>
              <w:t>微小风险</w:t>
            </w:r>
          </w:p>
        </w:tc>
        <w:tc>
          <w:tcPr>
            <w:tcW w:w="4356" w:type="dxa"/>
          </w:tcPr>
          <w:p>
            <w:pPr>
              <w:spacing w:before="145" w:line="267" w:lineRule="auto"/>
              <w:ind w:left="127" w:right="104" w:hanging="15"/>
              <w:rPr>
                <w:rFonts w:ascii="宋体" w:hAnsi="宋体" w:eastAsia="宋体" w:cs="宋体"/>
                <w:color w:val="auto"/>
              </w:rPr>
            </w:pPr>
            <w:r>
              <w:rPr>
                <w:rFonts w:ascii="宋体" w:hAnsi="宋体" w:eastAsia="宋体" w:cs="宋体"/>
                <w:color w:val="auto"/>
              </w:rPr>
              <w:t>可能性很小，且社会影响和损失很小，对</w:t>
            </w:r>
            <w:r>
              <w:rPr>
                <w:rFonts w:hint="eastAsia" w:ascii="宋体" w:hAnsi="宋体" w:eastAsia="宋体" w:cs="宋体"/>
                <w:color w:val="auto"/>
              </w:rPr>
              <w:t>土地征收</w:t>
            </w:r>
            <w:r>
              <w:rPr>
                <w:rFonts w:ascii="宋体" w:hAnsi="宋体" w:eastAsia="宋体" w:cs="宋体"/>
                <w:color w:val="auto"/>
                <w:spacing w:val="-6"/>
              </w:rPr>
              <w:t>的影响很小</w:t>
            </w:r>
          </w:p>
        </w:tc>
        <w:tc>
          <w:tcPr>
            <w:tcW w:w="1787" w:type="dxa"/>
          </w:tcPr>
          <w:p>
            <w:pPr>
              <w:spacing w:before="307" w:line="281" w:lineRule="exact"/>
              <w:ind w:firstLine="544"/>
              <w:rPr>
                <w:rFonts w:ascii="Times New Roman" w:hAnsi="Times New Roman" w:eastAsia="Times New Roman" w:cs="Times New Roman"/>
                <w:color w:val="auto"/>
              </w:rPr>
            </w:pPr>
            <w:r>
              <w:rPr>
                <w:rFonts w:ascii="Times New Roman" w:hAnsi="Times New Roman" w:eastAsia="Times New Roman" w:cs="Times New Roman"/>
                <w:color w:val="auto"/>
                <w:spacing w:val="-1"/>
              </w:rPr>
              <w:t>R≤0.04</w:t>
            </w:r>
          </w:p>
        </w:tc>
        <w:tc>
          <w:tcPr>
            <w:tcW w:w="1038" w:type="dxa"/>
          </w:tcPr>
          <w:p>
            <w:pPr>
              <w:spacing w:line="284" w:lineRule="auto"/>
              <w:rPr>
                <w:rFonts w:ascii="宋体"/>
                <w:color w:val="auto"/>
              </w:rPr>
            </w:pPr>
          </w:p>
          <w:p>
            <w:pPr>
              <w:spacing w:before="60" w:line="180" w:lineRule="auto"/>
              <w:ind w:firstLine="439"/>
              <w:rPr>
                <w:rFonts w:ascii="Times New Roman" w:hAnsi="Times New Roman" w:eastAsia="Times New Roman" w:cs="Times New Roman"/>
                <w:color w:val="auto"/>
              </w:rPr>
            </w:pPr>
            <w:r>
              <w:rPr>
                <w:rFonts w:ascii="Times New Roman" w:hAnsi="Times New Roman" w:eastAsia="Times New Roman" w:cs="Times New Roman"/>
                <w:color w:val="auto"/>
                <w:spacing w:val="1"/>
              </w:rPr>
              <w:t>N</w:t>
            </w:r>
          </w:p>
        </w:tc>
      </w:tr>
    </w:tbl>
    <w:p>
      <w:pPr>
        <w:pStyle w:val="2"/>
        <w:rPr>
          <w:color w:val="auto"/>
        </w:rPr>
      </w:pPr>
    </w:p>
    <w:p>
      <w:pPr>
        <w:spacing w:before="91" w:line="360" w:lineRule="auto"/>
        <w:ind w:firstLine="600" w:firstLineChars="200"/>
        <w:outlineLvl w:val="2"/>
        <w:rPr>
          <w:rFonts w:ascii="仿宋" w:hAnsi="仿宋" w:eastAsia="仿宋" w:cs="仿宋"/>
          <w:color w:val="auto"/>
          <w:sz w:val="30"/>
          <w:szCs w:val="30"/>
        </w:rPr>
      </w:pPr>
      <w:bookmarkStart w:id="44" w:name="_Toc23436"/>
      <w:r>
        <w:rPr>
          <w:rFonts w:hint="eastAsia" w:ascii="仿宋" w:hAnsi="仿宋" w:eastAsia="仿宋" w:cs="仿宋"/>
          <w:color w:val="auto"/>
          <w:sz w:val="30"/>
          <w:szCs w:val="30"/>
        </w:rPr>
        <w:t>2、单因素风险估计</w:t>
      </w:r>
      <w:bookmarkEnd w:id="44"/>
    </w:p>
    <w:p>
      <w:pPr>
        <w:spacing w:before="91" w:line="360" w:lineRule="auto"/>
        <w:ind w:firstLine="600" w:firstLineChars="200"/>
        <w:rPr>
          <w:rFonts w:ascii="仿宋" w:hAnsi="仿宋" w:eastAsia="仿宋" w:cs="仿宋"/>
          <w:color w:val="auto"/>
          <w:sz w:val="30"/>
          <w:szCs w:val="30"/>
        </w:rPr>
        <w:sectPr>
          <w:headerReference r:id="rId10" w:type="default"/>
          <w:footerReference r:id="rId11" w:type="default"/>
          <w:type w:val="continuous"/>
          <w:pgSz w:w="11905" w:h="16838"/>
          <w:pgMar w:top="1440" w:right="1803" w:bottom="1440" w:left="1803" w:header="595" w:footer="703" w:gutter="0"/>
          <w:cols w:space="0" w:num="1"/>
        </w:sectPr>
      </w:pPr>
      <w:r>
        <w:rPr>
          <w:rFonts w:hint="eastAsia" w:ascii="仿宋" w:hAnsi="仿宋" w:eastAsia="仿宋" w:cs="仿宋"/>
          <w:color w:val="auto"/>
          <w:sz w:val="30"/>
          <w:szCs w:val="30"/>
        </w:rPr>
        <w:t>对识别出的主要风险因素，通过采用定性与定量相结合的方法，对每个主要风险因素的风险概率、影响程度作进一步分析、预测和估计，判断风险程度，并做出风险评价。参考已通过评审的同类土地征收主要风险因素风险程度表，并广泛征求专家意见后，编制该土地征收主要风险因素风险程度汇总表如下：</w:t>
      </w:r>
    </w:p>
    <w:p>
      <w:pPr>
        <w:rPr>
          <w:color w:val="auto"/>
        </w:rPr>
      </w:pPr>
      <w:r>
        <w:rPr>
          <w:color w:val="auto"/>
        </w:rPr>
        <w:br w:type="page"/>
      </w:r>
    </w:p>
    <w:p>
      <w:pPr>
        <w:spacing w:line="202" w:lineRule="auto"/>
        <w:ind w:firstLine="288"/>
        <w:jc w:val="center"/>
        <w:rPr>
          <w:rFonts w:ascii="宋体" w:hAnsi="宋体" w:eastAsia="宋体" w:cs="宋体"/>
          <w:color w:val="auto"/>
          <w:sz w:val="28"/>
          <w:szCs w:val="28"/>
        </w:rPr>
      </w:pPr>
      <w:r>
        <w:rPr>
          <w:rFonts w:ascii="宋体" w:hAnsi="宋体" w:eastAsia="宋体" w:cs="宋体"/>
          <w:color w:val="auto"/>
          <w:sz w:val="28"/>
          <w:szCs w:val="28"/>
        </w:rPr>
        <w:t>主要风险因素及其风险程度汇总表（措施前）</w:t>
      </w:r>
    </w:p>
    <w:p>
      <w:pPr>
        <w:spacing w:line="202" w:lineRule="auto"/>
        <w:ind w:firstLine="288"/>
        <w:rPr>
          <w:rFonts w:ascii="宋体" w:hAnsi="宋体" w:eastAsia="宋体" w:cs="宋体"/>
          <w:color w:val="auto"/>
          <w:sz w:val="28"/>
          <w:szCs w:val="28"/>
        </w:rPr>
      </w:pPr>
    </w:p>
    <w:p>
      <w:pPr>
        <w:widowControl w:val="0"/>
        <w:kinsoku/>
        <w:overflowPunct w:val="0"/>
        <w:spacing w:line="38" w:lineRule="exact"/>
        <w:rPr>
          <w:color w:val="auto"/>
        </w:rPr>
      </w:pPr>
    </w:p>
    <w:tbl>
      <w:tblPr>
        <w:tblStyle w:val="15"/>
        <w:tblW w:w="8153"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5"/>
        <w:gridCol w:w="3626"/>
        <w:gridCol w:w="1202"/>
        <w:gridCol w:w="1337"/>
        <w:gridCol w:w="12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94" w:hRule="atLeast"/>
        </w:trPr>
        <w:tc>
          <w:tcPr>
            <w:tcW w:w="765" w:type="dxa"/>
            <w:vAlign w:val="top"/>
          </w:tcPr>
          <w:p>
            <w:pPr>
              <w:widowControl w:val="0"/>
              <w:kinsoku/>
              <w:overflowPunct w:val="0"/>
              <w:spacing w:line="419" w:lineRule="auto"/>
              <w:rPr>
                <w:rFonts w:ascii="宋体"/>
                <w:color w:val="auto"/>
              </w:rPr>
            </w:pPr>
          </w:p>
          <w:p>
            <w:pPr>
              <w:widowControl w:val="0"/>
              <w:kinsoku/>
              <w:overflowPunct w:val="0"/>
              <w:spacing w:before="68" w:line="184" w:lineRule="auto"/>
              <w:ind w:firstLine="176" w:firstLineChars="0"/>
              <w:rPr>
                <w:rFonts w:ascii="宋体" w:hAnsi="宋体" w:eastAsia="宋体" w:cs="宋体"/>
                <w:color w:val="auto"/>
              </w:rPr>
            </w:pPr>
            <w:r>
              <w:rPr>
                <w:rFonts w:ascii="宋体" w:hAnsi="宋体" w:eastAsia="宋体" w:cs="宋体"/>
                <w:color w:val="auto"/>
                <w:spacing w:val="-4"/>
              </w:rPr>
              <w:t>序号</w:t>
            </w:r>
          </w:p>
        </w:tc>
        <w:tc>
          <w:tcPr>
            <w:tcW w:w="3626" w:type="dxa"/>
            <w:vAlign w:val="top"/>
          </w:tcPr>
          <w:p>
            <w:pPr>
              <w:widowControl w:val="0"/>
              <w:kinsoku/>
              <w:overflowPunct w:val="0"/>
              <w:spacing w:line="419" w:lineRule="auto"/>
              <w:rPr>
                <w:rFonts w:ascii="宋体"/>
                <w:color w:val="auto"/>
              </w:rPr>
            </w:pPr>
          </w:p>
          <w:p>
            <w:pPr>
              <w:widowControl w:val="0"/>
              <w:kinsoku/>
              <w:overflowPunct w:val="0"/>
              <w:spacing w:before="68" w:line="184" w:lineRule="auto"/>
              <w:ind w:firstLine="1083" w:firstLineChars="0"/>
              <w:rPr>
                <w:rFonts w:ascii="宋体" w:hAnsi="宋体" w:eastAsia="宋体" w:cs="宋体"/>
                <w:color w:val="auto"/>
              </w:rPr>
            </w:pPr>
            <w:r>
              <w:rPr>
                <w:rFonts w:ascii="宋体" w:hAnsi="宋体" w:eastAsia="宋体" w:cs="宋体"/>
                <w:color w:val="auto"/>
                <w:spacing w:val="-1"/>
              </w:rPr>
              <w:t>风险因素（</w:t>
            </w:r>
            <w:r>
              <w:rPr>
                <w:rFonts w:ascii="Times New Roman" w:hAnsi="Times New Roman" w:eastAsia="Times New Roman" w:cs="Times New Roman"/>
                <w:b/>
                <w:bCs/>
                <w:color w:val="auto"/>
                <w:spacing w:val="-1"/>
              </w:rPr>
              <w:t>W</w:t>
            </w:r>
            <w:r>
              <w:rPr>
                <w:rFonts w:ascii="宋体" w:hAnsi="宋体" w:eastAsia="宋体" w:cs="宋体"/>
                <w:color w:val="auto"/>
                <w:spacing w:val="-1"/>
              </w:rPr>
              <w:t>）</w:t>
            </w:r>
          </w:p>
        </w:tc>
        <w:tc>
          <w:tcPr>
            <w:tcW w:w="1202" w:type="dxa"/>
            <w:vAlign w:val="top"/>
          </w:tcPr>
          <w:p>
            <w:pPr>
              <w:widowControl w:val="0"/>
              <w:kinsoku/>
              <w:overflowPunct w:val="0"/>
              <w:spacing w:before="146" w:line="295" w:lineRule="auto"/>
              <w:ind w:left="295" w:leftChars="0" w:right="174" w:rightChars="0" w:hanging="107" w:firstLineChars="0"/>
              <w:rPr>
                <w:rFonts w:ascii="宋体" w:hAnsi="宋体" w:eastAsia="宋体" w:cs="宋体"/>
                <w:color w:val="auto"/>
              </w:rPr>
            </w:pPr>
            <w:r>
              <w:rPr>
                <w:rFonts w:ascii="宋体" w:hAnsi="宋体" w:eastAsia="宋体" w:cs="宋体"/>
                <w:color w:val="auto"/>
                <w:spacing w:val="-2"/>
              </w:rPr>
              <w:t>风险概率</w:t>
            </w:r>
            <w:r>
              <w:rPr>
                <w:rFonts w:ascii="宋体" w:hAnsi="宋体" w:eastAsia="宋体" w:cs="宋体"/>
                <w:color w:val="auto"/>
                <w:spacing w:val="1"/>
              </w:rPr>
              <w:t xml:space="preserve"> </w:t>
            </w:r>
            <w:r>
              <w:rPr>
                <w:rFonts w:ascii="宋体" w:hAnsi="宋体" w:eastAsia="宋体" w:cs="宋体"/>
                <w:color w:val="auto"/>
                <w:spacing w:val="-5"/>
              </w:rPr>
              <w:t>（</w:t>
            </w:r>
            <w:r>
              <w:rPr>
                <w:rFonts w:ascii="Times New Roman" w:hAnsi="Times New Roman" w:eastAsia="Times New Roman" w:cs="Times New Roman"/>
                <w:b/>
                <w:bCs/>
                <w:color w:val="auto"/>
                <w:spacing w:val="-5"/>
              </w:rPr>
              <w:t>%</w:t>
            </w:r>
            <w:r>
              <w:rPr>
                <w:rFonts w:ascii="宋体" w:hAnsi="宋体" w:eastAsia="宋体" w:cs="宋体"/>
                <w:color w:val="auto"/>
                <w:spacing w:val="-5"/>
              </w:rPr>
              <w:t>）</w:t>
            </w:r>
            <w:r>
              <w:rPr>
                <w:rFonts w:ascii="宋体" w:hAnsi="宋体" w:eastAsia="宋体" w:cs="宋体"/>
                <w:color w:val="auto"/>
                <w:w w:val="101"/>
              </w:rPr>
              <w:t xml:space="preserve">  </w:t>
            </w:r>
            <w:r>
              <w:rPr>
                <w:rFonts w:ascii="宋体" w:hAnsi="宋体" w:eastAsia="宋体" w:cs="宋体"/>
                <w:color w:val="auto"/>
                <w:spacing w:val="9"/>
              </w:rPr>
              <w:t>（</w:t>
            </w:r>
            <w:r>
              <w:rPr>
                <w:rFonts w:ascii="Times New Roman" w:hAnsi="Times New Roman" w:eastAsia="Times New Roman" w:cs="Times New Roman"/>
                <w:b/>
                <w:bCs/>
                <w:color w:val="auto"/>
                <w:spacing w:val="9"/>
              </w:rPr>
              <w:t>P</w:t>
            </w:r>
            <w:r>
              <w:rPr>
                <w:rFonts w:ascii="宋体" w:hAnsi="宋体" w:eastAsia="宋体" w:cs="宋体"/>
                <w:color w:val="auto"/>
                <w:spacing w:val="9"/>
              </w:rPr>
              <w:t>）</w:t>
            </w:r>
          </w:p>
        </w:tc>
        <w:tc>
          <w:tcPr>
            <w:tcW w:w="1337" w:type="dxa"/>
            <w:vAlign w:val="top"/>
          </w:tcPr>
          <w:p>
            <w:pPr>
              <w:widowControl w:val="0"/>
              <w:kinsoku/>
              <w:overflowPunct w:val="0"/>
              <w:spacing w:before="144" w:line="298" w:lineRule="auto"/>
              <w:ind w:left="365" w:leftChars="0" w:right="242" w:rightChars="0" w:hanging="110" w:firstLineChars="0"/>
              <w:rPr>
                <w:rFonts w:ascii="宋体" w:hAnsi="宋体" w:eastAsia="宋体" w:cs="宋体"/>
                <w:color w:val="auto"/>
              </w:rPr>
            </w:pPr>
            <w:r>
              <w:rPr>
                <w:rFonts w:ascii="宋体" w:hAnsi="宋体" w:eastAsia="宋体" w:cs="宋体"/>
                <w:color w:val="auto"/>
                <w:spacing w:val="-2"/>
              </w:rPr>
              <w:t>影响程度</w:t>
            </w:r>
            <w:r>
              <w:rPr>
                <w:rFonts w:ascii="宋体" w:hAnsi="宋体" w:eastAsia="宋体" w:cs="宋体"/>
                <w:color w:val="auto"/>
                <w:spacing w:val="2"/>
              </w:rPr>
              <w:t xml:space="preserve"> </w:t>
            </w:r>
            <w:r>
              <w:rPr>
                <w:rFonts w:ascii="宋体" w:hAnsi="宋体" w:eastAsia="宋体" w:cs="宋体"/>
                <w:color w:val="auto"/>
                <w:spacing w:val="-6"/>
              </w:rPr>
              <w:t>（</w:t>
            </w:r>
            <w:r>
              <w:rPr>
                <w:rFonts w:ascii="Times New Roman" w:hAnsi="Times New Roman" w:eastAsia="Times New Roman" w:cs="Times New Roman"/>
                <w:b/>
                <w:bCs/>
                <w:color w:val="auto"/>
                <w:spacing w:val="-6"/>
              </w:rPr>
              <w:t>%</w:t>
            </w:r>
            <w:r>
              <w:rPr>
                <w:rFonts w:ascii="宋体" w:hAnsi="宋体" w:eastAsia="宋体" w:cs="宋体"/>
                <w:color w:val="auto"/>
                <w:spacing w:val="-6"/>
              </w:rPr>
              <w:t>）</w:t>
            </w:r>
            <w:r>
              <w:rPr>
                <w:rFonts w:ascii="宋体" w:hAnsi="宋体" w:eastAsia="宋体" w:cs="宋体"/>
                <w:color w:val="auto"/>
                <w:spacing w:val="1"/>
              </w:rPr>
              <w:t xml:space="preserve">  </w:t>
            </w:r>
            <w:r>
              <w:rPr>
                <w:rFonts w:ascii="宋体" w:hAnsi="宋体" w:eastAsia="宋体" w:cs="宋体"/>
                <w:color w:val="auto"/>
                <w:spacing w:val="2"/>
              </w:rPr>
              <w:t>（</w:t>
            </w:r>
            <w:r>
              <w:rPr>
                <w:rFonts w:ascii="Times New Roman" w:hAnsi="Times New Roman" w:eastAsia="Times New Roman" w:cs="Times New Roman"/>
                <w:b/>
                <w:bCs/>
                <w:color w:val="auto"/>
                <w:spacing w:val="2"/>
              </w:rPr>
              <w:t>Q</w:t>
            </w:r>
            <w:r>
              <w:rPr>
                <w:rFonts w:ascii="宋体" w:hAnsi="宋体" w:eastAsia="宋体" w:cs="宋体"/>
                <w:color w:val="auto"/>
                <w:spacing w:val="2"/>
              </w:rPr>
              <w:t>）</w:t>
            </w:r>
          </w:p>
        </w:tc>
        <w:tc>
          <w:tcPr>
            <w:tcW w:w="1223" w:type="dxa"/>
            <w:vAlign w:val="top"/>
          </w:tcPr>
          <w:p>
            <w:pPr>
              <w:widowControl w:val="0"/>
              <w:kinsoku/>
              <w:overflowPunct w:val="0"/>
              <w:spacing w:line="242" w:lineRule="auto"/>
              <w:rPr>
                <w:rFonts w:ascii="宋体"/>
                <w:color w:val="auto"/>
              </w:rPr>
            </w:pPr>
          </w:p>
          <w:p>
            <w:pPr>
              <w:widowControl w:val="0"/>
              <w:kinsoku/>
              <w:overflowPunct w:val="0"/>
              <w:spacing w:before="68" w:line="184" w:lineRule="auto"/>
              <w:ind w:firstLine="198"/>
              <w:rPr>
                <w:rFonts w:ascii="宋体" w:hAnsi="宋体" w:eastAsia="宋体" w:cs="宋体"/>
                <w:color w:val="auto"/>
              </w:rPr>
            </w:pPr>
            <w:r>
              <w:rPr>
                <w:rFonts w:ascii="宋体" w:hAnsi="宋体" w:eastAsia="宋体" w:cs="宋体"/>
                <w:color w:val="auto"/>
                <w:spacing w:val="-2"/>
              </w:rPr>
              <w:t>风险程度</w:t>
            </w:r>
          </w:p>
          <w:p>
            <w:pPr>
              <w:widowControl w:val="0"/>
              <w:kinsoku/>
              <w:overflowPunct w:val="0"/>
              <w:spacing w:before="191" w:line="184" w:lineRule="auto"/>
              <w:ind w:firstLine="337" w:firstLineChars="0"/>
              <w:rPr>
                <w:rFonts w:ascii="宋体" w:hAnsi="宋体" w:eastAsia="宋体" w:cs="宋体"/>
                <w:color w:val="auto"/>
              </w:rPr>
            </w:pPr>
            <w:r>
              <w:rPr>
                <w:rFonts w:ascii="宋体" w:hAnsi="宋体" w:eastAsia="宋体" w:cs="宋体"/>
                <w:color w:val="auto"/>
                <w:spacing w:val="-5"/>
              </w:rPr>
              <w:t>（</w:t>
            </w:r>
            <w:r>
              <w:rPr>
                <w:rFonts w:ascii="Times New Roman" w:hAnsi="Times New Roman" w:eastAsia="Times New Roman" w:cs="Times New Roman"/>
                <w:b/>
                <w:bCs/>
                <w:color w:val="auto"/>
                <w:spacing w:val="-5"/>
              </w:rPr>
              <w:t>R</w:t>
            </w:r>
            <w:r>
              <w:rPr>
                <w:rFonts w:ascii="宋体" w:hAnsi="宋体" w:eastAsia="宋体" w:cs="宋体"/>
                <w:color w:val="auto"/>
                <w:spacing w:val="-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765" w:type="dxa"/>
            <w:vAlign w:val="center"/>
          </w:tcPr>
          <w:p>
            <w:pPr>
              <w:jc w:val="center"/>
              <w:textAlignment w:val="center"/>
              <w:rPr>
                <w:rFonts w:ascii="Times New Roman" w:hAnsi="Times New Roman" w:eastAsia="Times New Roman" w:cs="Times New Roman"/>
                <w:color w:val="auto"/>
              </w:rPr>
            </w:pPr>
            <w:r>
              <w:rPr>
                <w:rFonts w:ascii="Times New Roman" w:hAnsi="Times New Roman" w:eastAsia="等线" w:cs="Times New Roman"/>
                <w:color w:val="auto"/>
                <w:lang w:bidi="ar"/>
              </w:rPr>
              <w:t>1</w:t>
            </w:r>
          </w:p>
        </w:tc>
        <w:tc>
          <w:tcPr>
            <w:tcW w:w="3626" w:type="dxa"/>
            <w:vAlign w:val="center"/>
          </w:tcPr>
          <w:p>
            <w:pPr>
              <w:jc w:val="center"/>
              <w:textAlignment w:val="center"/>
              <w:rPr>
                <w:rFonts w:ascii="宋体" w:hAnsi="宋体" w:eastAsia="宋体" w:cs="宋体"/>
                <w:color w:val="auto"/>
              </w:rPr>
            </w:pPr>
            <w:r>
              <w:rPr>
                <w:rFonts w:hint="eastAsia" w:ascii="宋体" w:hAnsi="宋体" w:eastAsia="宋体" w:cs="宋体"/>
                <w:color w:val="auto"/>
                <w:lang w:bidi="ar"/>
              </w:rPr>
              <w:t>项目规划和审批风险</w:t>
            </w:r>
          </w:p>
        </w:tc>
        <w:tc>
          <w:tcPr>
            <w:tcW w:w="1202"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37</w:t>
            </w:r>
          </w:p>
        </w:tc>
        <w:tc>
          <w:tcPr>
            <w:tcW w:w="1337"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44</w:t>
            </w:r>
          </w:p>
        </w:tc>
        <w:tc>
          <w:tcPr>
            <w:tcW w:w="1223"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0.1628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1" w:hRule="atLeast"/>
        </w:trPr>
        <w:tc>
          <w:tcPr>
            <w:tcW w:w="765" w:type="dxa"/>
            <w:vAlign w:val="center"/>
          </w:tcPr>
          <w:p>
            <w:pPr>
              <w:jc w:val="center"/>
              <w:textAlignment w:val="center"/>
              <w:rPr>
                <w:rFonts w:ascii="Times New Roman" w:hAnsi="Times New Roman" w:eastAsia="Times New Roman" w:cs="Times New Roman"/>
                <w:color w:val="auto"/>
              </w:rPr>
            </w:pPr>
            <w:r>
              <w:rPr>
                <w:rFonts w:ascii="Times New Roman" w:hAnsi="Times New Roman" w:eastAsia="等线" w:cs="Times New Roman"/>
                <w:color w:val="auto"/>
                <w:lang w:bidi="ar"/>
              </w:rPr>
              <w:t>2</w:t>
            </w:r>
          </w:p>
        </w:tc>
        <w:tc>
          <w:tcPr>
            <w:tcW w:w="3626" w:type="dxa"/>
            <w:vAlign w:val="center"/>
          </w:tcPr>
          <w:p>
            <w:pPr>
              <w:jc w:val="center"/>
              <w:textAlignment w:val="center"/>
              <w:rPr>
                <w:rFonts w:ascii="宋体" w:hAnsi="宋体" w:eastAsia="宋体" w:cs="宋体"/>
                <w:color w:val="auto"/>
              </w:rPr>
            </w:pPr>
            <w:r>
              <w:rPr>
                <w:rFonts w:hint="eastAsia" w:ascii="宋体" w:hAnsi="宋体" w:eastAsia="宋体" w:cs="宋体"/>
                <w:color w:val="auto"/>
                <w:lang w:bidi="ar"/>
              </w:rPr>
              <w:t>建设实施风险</w:t>
            </w:r>
          </w:p>
        </w:tc>
        <w:tc>
          <w:tcPr>
            <w:tcW w:w="1202"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71</w:t>
            </w:r>
          </w:p>
        </w:tc>
        <w:tc>
          <w:tcPr>
            <w:tcW w:w="1337"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78</w:t>
            </w:r>
          </w:p>
        </w:tc>
        <w:tc>
          <w:tcPr>
            <w:tcW w:w="1223"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0.5538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765" w:type="dxa"/>
            <w:vAlign w:val="center"/>
          </w:tcPr>
          <w:p>
            <w:pPr>
              <w:jc w:val="center"/>
              <w:textAlignment w:val="center"/>
              <w:rPr>
                <w:rFonts w:ascii="Times New Roman" w:hAnsi="Times New Roman" w:eastAsia="Times New Roman" w:cs="Times New Roman"/>
                <w:color w:val="auto"/>
              </w:rPr>
            </w:pPr>
            <w:r>
              <w:rPr>
                <w:rFonts w:ascii="Times New Roman" w:hAnsi="Times New Roman" w:eastAsia="等线" w:cs="Times New Roman"/>
                <w:color w:val="auto"/>
                <w:lang w:bidi="ar"/>
              </w:rPr>
              <w:t>3</w:t>
            </w:r>
          </w:p>
        </w:tc>
        <w:tc>
          <w:tcPr>
            <w:tcW w:w="3626" w:type="dxa"/>
            <w:vAlign w:val="center"/>
          </w:tcPr>
          <w:p>
            <w:pPr>
              <w:jc w:val="center"/>
              <w:textAlignment w:val="center"/>
              <w:rPr>
                <w:rFonts w:ascii="宋体" w:hAnsi="宋体" w:eastAsia="宋体" w:cs="宋体"/>
                <w:color w:val="auto"/>
              </w:rPr>
            </w:pPr>
            <w:r>
              <w:rPr>
                <w:rFonts w:hint="eastAsia" w:ascii="宋体" w:hAnsi="宋体" w:eastAsia="宋体" w:cs="宋体"/>
                <w:color w:val="auto"/>
                <w:lang w:bidi="ar"/>
              </w:rPr>
              <w:t>项目管理风险</w:t>
            </w:r>
          </w:p>
        </w:tc>
        <w:tc>
          <w:tcPr>
            <w:tcW w:w="1202"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58</w:t>
            </w:r>
          </w:p>
        </w:tc>
        <w:tc>
          <w:tcPr>
            <w:tcW w:w="1337"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61</w:t>
            </w:r>
          </w:p>
        </w:tc>
        <w:tc>
          <w:tcPr>
            <w:tcW w:w="1223"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0.3538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765" w:type="dxa"/>
            <w:vAlign w:val="center"/>
          </w:tcPr>
          <w:p>
            <w:pPr>
              <w:jc w:val="center"/>
              <w:textAlignment w:val="center"/>
              <w:rPr>
                <w:rFonts w:ascii="Times New Roman" w:hAnsi="Times New Roman" w:eastAsia="Times New Roman" w:cs="Times New Roman"/>
                <w:color w:val="auto"/>
              </w:rPr>
            </w:pPr>
            <w:r>
              <w:rPr>
                <w:rFonts w:ascii="Times New Roman" w:hAnsi="Times New Roman" w:eastAsia="等线" w:cs="Times New Roman"/>
                <w:color w:val="auto"/>
                <w:lang w:bidi="ar"/>
              </w:rPr>
              <w:t>4</w:t>
            </w:r>
          </w:p>
        </w:tc>
        <w:tc>
          <w:tcPr>
            <w:tcW w:w="3626" w:type="dxa"/>
            <w:vAlign w:val="center"/>
          </w:tcPr>
          <w:p>
            <w:pPr>
              <w:jc w:val="center"/>
              <w:textAlignment w:val="center"/>
              <w:rPr>
                <w:rFonts w:ascii="宋体" w:hAnsi="宋体" w:eastAsia="宋体" w:cs="宋体"/>
                <w:color w:val="auto"/>
                <w:sz w:val="20"/>
                <w:szCs w:val="20"/>
              </w:rPr>
            </w:pPr>
            <w:r>
              <w:rPr>
                <w:rFonts w:hint="eastAsia" w:ascii="宋体" w:hAnsi="宋体" w:eastAsia="宋体" w:cs="宋体"/>
                <w:color w:val="auto"/>
                <w:lang w:bidi="ar"/>
              </w:rPr>
              <w:t>资金保障风险</w:t>
            </w:r>
          </w:p>
        </w:tc>
        <w:tc>
          <w:tcPr>
            <w:tcW w:w="1202" w:type="dxa"/>
            <w:vAlign w:val="center"/>
          </w:tcPr>
          <w:p>
            <w:pPr>
              <w:jc w:val="center"/>
              <w:textAlignment w:val="center"/>
              <w:rPr>
                <w:rFonts w:hint="eastAsia" w:ascii="Times New Roman" w:hAnsi="Times New Roman" w:eastAsia="等线" w:cs="Times New Roman"/>
                <w:color w:val="auto"/>
                <w:sz w:val="19"/>
                <w:szCs w:val="19"/>
                <w:lang w:eastAsia="zh-CN" w:bidi="ar"/>
              </w:rPr>
            </w:pPr>
            <w:r>
              <w:rPr>
                <w:rFonts w:ascii="Times New Roman" w:hAnsi="Times New Roman" w:eastAsia="等线" w:cs="Times New Roman"/>
                <w:color w:val="auto"/>
                <w:sz w:val="19"/>
                <w:szCs w:val="19"/>
                <w:lang w:bidi="ar"/>
              </w:rPr>
              <w:t>3</w:t>
            </w:r>
            <w:r>
              <w:rPr>
                <w:rFonts w:hint="eastAsia" w:ascii="Times New Roman" w:hAnsi="Times New Roman" w:eastAsia="等线" w:cs="Times New Roman"/>
                <w:color w:val="auto"/>
                <w:sz w:val="19"/>
                <w:szCs w:val="19"/>
                <w:lang w:val="en-US" w:eastAsia="zh-CN" w:bidi="ar"/>
              </w:rPr>
              <w:t>9</w:t>
            </w:r>
          </w:p>
        </w:tc>
        <w:tc>
          <w:tcPr>
            <w:tcW w:w="1337"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41</w:t>
            </w:r>
          </w:p>
        </w:tc>
        <w:tc>
          <w:tcPr>
            <w:tcW w:w="1223" w:type="dxa"/>
            <w:vAlign w:val="center"/>
          </w:tcPr>
          <w:p>
            <w:pPr>
              <w:jc w:val="center"/>
              <w:textAlignment w:val="center"/>
              <w:rPr>
                <w:rFonts w:hint="default" w:ascii="Times New Roman" w:hAnsi="Times New Roman" w:eastAsia="等线" w:cs="Times New Roman"/>
                <w:color w:val="auto"/>
                <w:sz w:val="19"/>
                <w:szCs w:val="19"/>
                <w:lang w:val="en-US" w:eastAsia="zh-CN" w:bidi="ar"/>
              </w:rPr>
            </w:pPr>
            <w:r>
              <w:rPr>
                <w:rFonts w:ascii="Times New Roman" w:hAnsi="Times New Roman" w:eastAsia="等线" w:cs="Times New Roman"/>
                <w:color w:val="auto"/>
                <w:sz w:val="19"/>
                <w:szCs w:val="19"/>
                <w:lang w:bidi="ar"/>
              </w:rPr>
              <w:t>0.</w:t>
            </w:r>
            <w:r>
              <w:rPr>
                <w:rFonts w:hint="eastAsia" w:ascii="Times New Roman" w:hAnsi="Times New Roman" w:eastAsia="等线" w:cs="Times New Roman"/>
                <w:color w:val="auto"/>
                <w:sz w:val="19"/>
                <w:szCs w:val="19"/>
                <w:lang w:val="en-US" w:eastAsia="zh-CN" w:bidi="ar"/>
              </w:rPr>
              <w:t>1599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765" w:type="dxa"/>
            <w:vAlign w:val="center"/>
          </w:tcPr>
          <w:p>
            <w:pPr>
              <w:jc w:val="center"/>
              <w:textAlignment w:val="center"/>
              <w:rPr>
                <w:rFonts w:ascii="Times New Roman" w:hAnsi="Times New Roman" w:eastAsia="Times New Roman" w:cs="Times New Roman"/>
                <w:color w:val="auto"/>
              </w:rPr>
            </w:pPr>
            <w:r>
              <w:rPr>
                <w:rFonts w:ascii="Times New Roman" w:hAnsi="Times New Roman" w:eastAsia="等线" w:cs="Times New Roman"/>
                <w:color w:val="auto"/>
                <w:lang w:bidi="ar"/>
              </w:rPr>
              <w:t>5</w:t>
            </w:r>
          </w:p>
        </w:tc>
        <w:tc>
          <w:tcPr>
            <w:tcW w:w="3626" w:type="dxa"/>
            <w:vAlign w:val="center"/>
          </w:tcPr>
          <w:p>
            <w:pPr>
              <w:jc w:val="center"/>
              <w:textAlignment w:val="center"/>
              <w:rPr>
                <w:rFonts w:ascii="宋体" w:hAnsi="宋体" w:eastAsia="宋体" w:cs="宋体"/>
                <w:color w:val="auto"/>
              </w:rPr>
            </w:pPr>
            <w:r>
              <w:rPr>
                <w:rFonts w:hint="eastAsia" w:ascii="宋体" w:hAnsi="宋体" w:eastAsia="宋体" w:cs="宋体"/>
                <w:color w:val="auto"/>
                <w:highlight w:val="none"/>
                <w:lang w:eastAsia="zh-CN" w:bidi="ar"/>
              </w:rPr>
              <w:t>宏观经济社会环境风险</w:t>
            </w:r>
          </w:p>
        </w:tc>
        <w:tc>
          <w:tcPr>
            <w:tcW w:w="1202" w:type="dxa"/>
            <w:vAlign w:val="center"/>
          </w:tcPr>
          <w:p>
            <w:pPr>
              <w:jc w:val="center"/>
              <w:textAlignment w:val="center"/>
              <w:rPr>
                <w:rFonts w:ascii="Times New Roman" w:hAnsi="Times New Roman" w:eastAsia="宋体" w:cs="Times New Roman"/>
                <w:color w:val="auto"/>
                <w:sz w:val="19"/>
                <w:szCs w:val="19"/>
                <w:lang w:bidi="ar"/>
              </w:rPr>
            </w:pPr>
            <w:r>
              <w:rPr>
                <w:rFonts w:hint="eastAsia" w:ascii="Times New Roman" w:hAnsi="Times New Roman" w:eastAsia="等线" w:cs="Times New Roman"/>
                <w:color w:val="auto"/>
                <w:sz w:val="19"/>
                <w:szCs w:val="19"/>
                <w:highlight w:val="none"/>
                <w:lang w:val="en-US" w:eastAsia="zh-CN" w:bidi="ar"/>
              </w:rPr>
              <w:t>45</w:t>
            </w:r>
          </w:p>
        </w:tc>
        <w:tc>
          <w:tcPr>
            <w:tcW w:w="1337" w:type="dxa"/>
            <w:vAlign w:val="center"/>
          </w:tcPr>
          <w:p>
            <w:pPr>
              <w:jc w:val="center"/>
              <w:textAlignment w:val="center"/>
              <w:rPr>
                <w:rFonts w:ascii="Times New Roman" w:hAnsi="Times New Roman" w:eastAsia="宋体" w:cs="Times New Roman"/>
                <w:color w:val="auto"/>
                <w:sz w:val="19"/>
                <w:szCs w:val="19"/>
                <w:lang w:bidi="ar"/>
              </w:rPr>
            </w:pPr>
            <w:r>
              <w:rPr>
                <w:rFonts w:hint="eastAsia" w:ascii="Times New Roman" w:hAnsi="Times New Roman" w:eastAsia="等线" w:cs="Times New Roman"/>
                <w:color w:val="auto"/>
                <w:sz w:val="19"/>
                <w:szCs w:val="19"/>
                <w:highlight w:val="none"/>
                <w:lang w:val="en-US" w:eastAsia="zh-CN" w:bidi="ar"/>
              </w:rPr>
              <w:t>47</w:t>
            </w:r>
          </w:p>
        </w:tc>
        <w:tc>
          <w:tcPr>
            <w:tcW w:w="1223"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w:t>
            </w:r>
            <w:r>
              <w:rPr>
                <w:rFonts w:hint="eastAsia" w:ascii="Times New Roman" w:hAnsi="Times New Roman" w:eastAsia="等线" w:cs="Times New Roman"/>
                <w:color w:val="auto"/>
                <w:sz w:val="19"/>
                <w:szCs w:val="19"/>
                <w:highlight w:val="none"/>
                <w:lang w:val="en-US" w:eastAsia="zh-CN" w:bidi="ar"/>
              </w:rPr>
              <w:t>2115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765" w:type="dxa"/>
            <w:vAlign w:val="center"/>
          </w:tcPr>
          <w:p>
            <w:pPr>
              <w:jc w:val="center"/>
              <w:textAlignment w:val="center"/>
              <w:rPr>
                <w:rFonts w:ascii="Times New Roman" w:hAnsi="Times New Roman" w:eastAsia="Times New Roman" w:cs="Times New Roman"/>
                <w:color w:val="auto"/>
              </w:rPr>
            </w:pPr>
            <w:r>
              <w:rPr>
                <w:rFonts w:ascii="Times New Roman" w:hAnsi="Times New Roman" w:eastAsia="等线" w:cs="Times New Roman"/>
                <w:color w:val="auto"/>
                <w:lang w:bidi="ar"/>
              </w:rPr>
              <w:t>6</w:t>
            </w:r>
          </w:p>
        </w:tc>
        <w:tc>
          <w:tcPr>
            <w:tcW w:w="3626" w:type="dxa"/>
            <w:vAlign w:val="center"/>
          </w:tcPr>
          <w:p>
            <w:pPr>
              <w:jc w:val="center"/>
              <w:textAlignment w:val="center"/>
              <w:rPr>
                <w:rFonts w:ascii="宋体" w:hAnsi="宋体" w:eastAsia="宋体" w:cs="宋体"/>
                <w:color w:val="auto"/>
              </w:rPr>
            </w:pPr>
            <w:r>
              <w:rPr>
                <w:rFonts w:hint="eastAsia" w:ascii="宋体" w:hAnsi="宋体" w:eastAsia="宋体" w:cs="宋体"/>
                <w:color w:val="auto"/>
                <w:lang w:bidi="ar"/>
              </w:rPr>
              <w:t>生态环境影响风险</w:t>
            </w:r>
          </w:p>
        </w:tc>
        <w:tc>
          <w:tcPr>
            <w:tcW w:w="1202"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73</w:t>
            </w:r>
          </w:p>
        </w:tc>
        <w:tc>
          <w:tcPr>
            <w:tcW w:w="1337"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75</w:t>
            </w:r>
          </w:p>
        </w:tc>
        <w:tc>
          <w:tcPr>
            <w:tcW w:w="1223"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0.5475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1" w:hRule="atLeast"/>
        </w:trPr>
        <w:tc>
          <w:tcPr>
            <w:tcW w:w="765" w:type="dxa"/>
            <w:vAlign w:val="center"/>
          </w:tcPr>
          <w:p>
            <w:pPr>
              <w:jc w:val="center"/>
              <w:textAlignment w:val="center"/>
              <w:rPr>
                <w:rFonts w:ascii="Times New Roman" w:hAnsi="Times New Roman" w:eastAsia="宋体" w:cs="Times New Roman"/>
                <w:color w:val="auto"/>
              </w:rPr>
            </w:pPr>
            <w:r>
              <w:rPr>
                <w:rFonts w:ascii="Times New Roman" w:hAnsi="Times New Roman" w:eastAsia="等线" w:cs="Times New Roman"/>
                <w:color w:val="auto"/>
                <w:lang w:bidi="ar"/>
              </w:rPr>
              <w:t>7</w:t>
            </w:r>
          </w:p>
        </w:tc>
        <w:tc>
          <w:tcPr>
            <w:tcW w:w="3626" w:type="dxa"/>
            <w:vAlign w:val="center"/>
          </w:tcPr>
          <w:p>
            <w:pPr>
              <w:jc w:val="center"/>
              <w:textAlignment w:val="center"/>
              <w:rPr>
                <w:rFonts w:ascii="宋体" w:hAnsi="宋体" w:eastAsia="宋体" w:cs="宋体"/>
                <w:color w:val="auto"/>
              </w:rPr>
            </w:pPr>
            <w:r>
              <w:rPr>
                <w:rFonts w:hint="eastAsia" w:ascii="宋体" w:hAnsi="宋体" w:eastAsia="宋体" w:cs="宋体"/>
                <w:color w:val="auto"/>
                <w:lang w:bidi="ar"/>
              </w:rPr>
              <w:t>媒体舆情风险</w:t>
            </w:r>
          </w:p>
        </w:tc>
        <w:tc>
          <w:tcPr>
            <w:tcW w:w="1202"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36</w:t>
            </w:r>
          </w:p>
        </w:tc>
        <w:tc>
          <w:tcPr>
            <w:tcW w:w="1337"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38</w:t>
            </w:r>
          </w:p>
        </w:tc>
        <w:tc>
          <w:tcPr>
            <w:tcW w:w="1223"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0.1368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8153" w:type="dxa"/>
            <w:gridSpan w:val="5"/>
            <w:vAlign w:val="top"/>
          </w:tcPr>
          <w:p>
            <w:pPr>
              <w:widowControl w:val="0"/>
              <w:kinsoku/>
              <w:overflowPunct w:val="0"/>
              <w:spacing w:before="204" w:line="184" w:lineRule="auto"/>
              <w:ind w:firstLine="113"/>
              <w:rPr>
                <w:rFonts w:ascii="宋体" w:hAnsi="宋体" w:eastAsia="宋体" w:cs="宋体"/>
                <w:color w:val="auto"/>
                <w:spacing w:val="-9"/>
                <w:sz w:val="18"/>
                <w:szCs w:val="18"/>
              </w:rPr>
            </w:pPr>
            <w:r>
              <w:rPr>
                <w:rFonts w:ascii="宋体" w:hAnsi="宋体" w:eastAsia="宋体" w:cs="宋体"/>
                <w:color w:val="auto"/>
                <w:spacing w:val="-9"/>
                <w:w w:val="99"/>
                <w:sz w:val="18"/>
                <w:szCs w:val="18"/>
              </w:rPr>
              <w:t>注：</w:t>
            </w:r>
            <w:r>
              <w:rPr>
                <w:rFonts w:ascii="宋体" w:hAnsi="宋体" w:eastAsia="宋体" w:cs="宋体"/>
                <w:color w:val="auto"/>
                <w:spacing w:val="-9"/>
                <w:sz w:val="18"/>
                <w:szCs w:val="18"/>
              </w:rPr>
              <w:t xml:space="preserve"> 1 、风险因素权重作归一化处理。</w:t>
            </w:r>
          </w:p>
          <w:p>
            <w:pPr>
              <w:widowControl w:val="0"/>
              <w:kinsoku/>
              <w:overflowPunct w:val="0"/>
              <w:spacing w:before="169" w:line="402" w:lineRule="auto"/>
              <w:ind w:left="113" w:right="95" w:firstLine="360"/>
              <w:rPr>
                <w:rFonts w:ascii="宋体" w:hAnsi="宋体" w:eastAsia="宋体" w:cs="宋体"/>
                <w:color w:val="auto"/>
                <w:sz w:val="18"/>
                <w:szCs w:val="18"/>
              </w:rPr>
            </w:pPr>
            <w:r>
              <w:rPr>
                <w:rFonts w:ascii="Times New Roman" w:hAnsi="Times New Roman" w:eastAsia="Times New Roman" w:cs="Times New Roman"/>
                <w:color w:val="auto"/>
                <w:spacing w:val="-8"/>
                <w:sz w:val="18"/>
                <w:szCs w:val="18"/>
              </w:rPr>
              <w:t>2</w:t>
            </w:r>
            <w:r>
              <w:rPr>
                <w:rFonts w:ascii="宋体" w:hAnsi="宋体" w:eastAsia="宋体" w:cs="宋体"/>
                <w:color w:val="auto"/>
                <w:spacing w:val="-8"/>
                <w:sz w:val="18"/>
                <w:szCs w:val="18"/>
              </w:rPr>
              <w:t>、风险概率（</w:t>
            </w:r>
            <w:r>
              <w:rPr>
                <w:rFonts w:ascii="Times New Roman" w:hAnsi="Times New Roman" w:eastAsia="Times New Roman" w:cs="Times New Roman"/>
                <w:color w:val="auto"/>
                <w:spacing w:val="-8"/>
                <w:sz w:val="18"/>
                <w:szCs w:val="18"/>
              </w:rPr>
              <w:t>p</w:t>
            </w:r>
            <w:r>
              <w:rPr>
                <w:rFonts w:ascii="宋体" w:hAnsi="宋体" w:eastAsia="宋体" w:cs="宋体"/>
                <w:color w:val="auto"/>
                <w:spacing w:val="-36"/>
                <w:sz w:val="18"/>
                <w:szCs w:val="18"/>
              </w:rPr>
              <w:t>），</w:t>
            </w:r>
            <w:r>
              <w:rPr>
                <w:rFonts w:ascii="宋体" w:hAnsi="宋体" w:eastAsia="宋体" w:cs="宋体"/>
                <w:color w:val="auto"/>
                <w:spacing w:val="-8"/>
                <w:sz w:val="18"/>
                <w:szCs w:val="18"/>
              </w:rPr>
              <w:t>按照风险因素发生的可能性将概率划分为五个档次，很高（概率在</w:t>
            </w:r>
            <w:r>
              <w:rPr>
                <w:rFonts w:ascii="宋体" w:hAnsi="宋体" w:eastAsia="宋体" w:cs="宋体"/>
                <w:color w:val="auto"/>
                <w:spacing w:val="-33"/>
                <w:sz w:val="18"/>
                <w:szCs w:val="18"/>
              </w:rPr>
              <w:t xml:space="preserve"> </w:t>
            </w:r>
            <w:r>
              <w:rPr>
                <w:rFonts w:ascii="Times New Roman" w:hAnsi="Times New Roman" w:eastAsia="Times New Roman" w:cs="Times New Roman"/>
                <w:color w:val="auto"/>
                <w:spacing w:val="-8"/>
                <w:sz w:val="18"/>
                <w:szCs w:val="18"/>
              </w:rPr>
              <w:t>81%-</w:t>
            </w:r>
            <w:r>
              <w:rPr>
                <w:rFonts w:ascii="Times New Roman" w:hAnsi="Times New Roman" w:eastAsia="Times New Roman" w:cs="Times New Roman"/>
                <w:color w:val="auto"/>
                <w:spacing w:val="-24"/>
                <w:sz w:val="18"/>
                <w:szCs w:val="18"/>
              </w:rPr>
              <w:t xml:space="preserve"> </w:t>
            </w:r>
            <w:r>
              <w:rPr>
                <w:rFonts w:ascii="Times New Roman" w:hAnsi="Times New Roman" w:eastAsia="Times New Roman" w:cs="Times New Roman"/>
                <w:color w:val="auto"/>
                <w:spacing w:val="-8"/>
                <w:sz w:val="18"/>
                <w:szCs w:val="18"/>
              </w:rPr>
              <w:t>100%</w:t>
            </w:r>
            <w:r>
              <w:rPr>
                <w:rFonts w:ascii="宋体" w:hAnsi="宋体" w:eastAsia="宋体" w:cs="宋体"/>
                <w:color w:val="auto"/>
                <w:spacing w:val="-8"/>
                <w:sz w:val="18"/>
                <w:szCs w:val="18"/>
              </w:rPr>
              <w:t>）</w:t>
            </w:r>
            <w:r>
              <w:rPr>
                <w:rFonts w:ascii="宋体" w:hAnsi="宋体" w:eastAsia="宋体" w:cs="宋体"/>
                <w:color w:val="auto"/>
                <w:sz w:val="18"/>
                <w:szCs w:val="18"/>
              </w:rPr>
              <w:t xml:space="preserve"> </w:t>
            </w:r>
            <w:r>
              <w:rPr>
                <w:rFonts w:ascii="宋体" w:hAnsi="宋体" w:eastAsia="宋体" w:cs="宋体"/>
                <w:color w:val="auto"/>
                <w:spacing w:val="-9"/>
                <w:sz w:val="18"/>
                <w:szCs w:val="18"/>
              </w:rPr>
              <w:t>较高（概率在</w:t>
            </w:r>
            <w:r>
              <w:rPr>
                <w:rFonts w:ascii="宋体" w:hAnsi="宋体" w:eastAsia="宋体" w:cs="宋体"/>
                <w:color w:val="auto"/>
                <w:spacing w:val="-37"/>
                <w:sz w:val="18"/>
                <w:szCs w:val="18"/>
              </w:rPr>
              <w:t xml:space="preserve"> </w:t>
            </w:r>
            <w:r>
              <w:rPr>
                <w:rFonts w:ascii="Times New Roman" w:hAnsi="Times New Roman" w:eastAsia="Times New Roman" w:cs="Times New Roman"/>
                <w:color w:val="auto"/>
                <w:spacing w:val="-9"/>
                <w:sz w:val="18"/>
                <w:szCs w:val="18"/>
              </w:rPr>
              <w:t>61%-80%</w:t>
            </w:r>
            <w:r>
              <w:rPr>
                <w:rFonts w:ascii="宋体" w:hAnsi="宋体" w:eastAsia="宋体" w:cs="宋体"/>
                <w:color w:val="auto"/>
                <w:spacing w:val="-9"/>
                <w:sz w:val="18"/>
                <w:szCs w:val="18"/>
              </w:rPr>
              <w:t>）、中等（概率在</w:t>
            </w:r>
            <w:r>
              <w:rPr>
                <w:rFonts w:ascii="宋体" w:hAnsi="宋体" w:eastAsia="宋体" w:cs="宋体"/>
                <w:color w:val="auto"/>
                <w:spacing w:val="-39"/>
                <w:sz w:val="18"/>
                <w:szCs w:val="18"/>
              </w:rPr>
              <w:t xml:space="preserve"> </w:t>
            </w:r>
            <w:r>
              <w:rPr>
                <w:rFonts w:ascii="Times New Roman" w:hAnsi="Times New Roman" w:eastAsia="Times New Roman" w:cs="Times New Roman"/>
                <w:color w:val="auto"/>
                <w:spacing w:val="-9"/>
                <w:sz w:val="18"/>
                <w:szCs w:val="18"/>
              </w:rPr>
              <w:t>41%-60%</w:t>
            </w:r>
            <w:r>
              <w:rPr>
                <w:rFonts w:ascii="宋体" w:hAnsi="宋体" w:eastAsia="宋体" w:cs="宋体"/>
                <w:color w:val="auto"/>
                <w:spacing w:val="-9"/>
                <w:sz w:val="18"/>
                <w:szCs w:val="18"/>
              </w:rPr>
              <w:t>）、较低（概率在</w:t>
            </w:r>
            <w:r>
              <w:rPr>
                <w:rFonts w:ascii="宋体" w:hAnsi="宋体" w:eastAsia="宋体" w:cs="宋体"/>
                <w:color w:val="auto"/>
                <w:spacing w:val="-41"/>
                <w:sz w:val="18"/>
                <w:szCs w:val="18"/>
              </w:rPr>
              <w:t xml:space="preserve"> </w:t>
            </w:r>
            <w:r>
              <w:rPr>
                <w:rFonts w:ascii="Times New Roman" w:hAnsi="Times New Roman" w:eastAsia="Times New Roman" w:cs="Times New Roman"/>
                <w:color w:val="auto"/>
                <w:spacing w:val="-9"/>
                <w:sz w:val="18"/>
                <w:szCs w:val="18"/>
              </w:rPr>
              <w:t>21%-40%</w:t>
            </w:r>
            <w:r>
              <w:rPr>
                <w:rFonts w:ascii="宋体" w:hAnsi="宋体" w:eastAsia="宋体" w:cs="宋体"/>
                <w:color w:val="auto"/>
                <w:spacing w:val="-9"/>
                <w:sz w:val="18"/>
                <w:szCs w:val="18"/>
              </w:rPr>
              <w:t>）、很低（概率在</w:t>
            </w:r>
            <w:r>
              <w:rPr>
                <w:rFonts w:ascii="宋体" w:hAnsi="宋体" w:eastAsia="宋体" w:cs="宋体"/>
                <w:color w:val="auto"/>
                <w:spacing w:val="-38"/>
                <w:sz w:val="18"/>
                <w:szCs w:val="18"/>
              </w:rPr>
              <w:t xml:space="preserve"> </w:t>
            </w:r>
            <w:r>
              <w:rPr>
                <w:rFonts w:ascii="Times New Roman" w:hAnsi="Times New Roman" w:eastAsia="Times New Roman" w:cs="Times New Roman"/>
                <w:color w:val="auto"/>
                <w:spacing w:val="-9"/>
                <w:sz w:val="18"/>
                <w:szCs w:val="18"/>
              </w:rPr>
              <w:t>0-20%</w:t>
            </w:r>
            <w:r>
              <w:rPr>
                <w:rFonts w:ascii="宋体" w:hAnsi="宋体" w:eastAsia="宋体" w:cs="宋体"/>
                <w:color w:val="auto"/>
                <w:spacing w:val="-52"/>
                <w:sz w:val="18"/>
                <w:szCs w:val="18"/>
              </w:rPr>
              <w:t>）</w:t>
            </w:r>
            <w:r>
              <w:rPr>
                <w:rFonts w:ascii="宋体" w:hAnsi="宋体" w:eastAsia="宋体" w:cs="宋体"/>
                <w:color w:val="auto"/>
                <w:w w:val="101"/>
                <w:sz w:val="18"/>
                <w:szCs w:val="18"/>
              </w:rPr>
              <w:t xml:space="preserve"> </w:t>
            </w:r>
            <w:r>
              <w:rPr>
                <w:rFonts w:ascii="宋体" w:hAnsi="宋体" w:eastAsia="宋体" w:cs="宋体"/>
                <w:color w:val="auto"/>
                <w:spacing w:val="-1"/>
                <w:sz w:val="18"/>
                <w:szCs w:val="18"/>
              </w:rPr>
              <w:t>可依据经验或预测进行确定。</w:t>
            </w:r>
            <w:r>
              <w:rPr>
                <w:rFonts w:ascii="Times New Roman" w:hAnsi="Times New Roman" w:eastAsia="Times New Roman" w:cs="Times New Roman"/>
                <w:color w:val="auto"/>
                <w:spacing w:val="-1"/>
                <w:sz w:val="18"/>
                <w:szCs w:val="18"/>
              </w:rPr>
              <w:t>3</w:t>
            </w:r>
            <w:r>
              <w:rPr>
                <w:rFonts w:ascii="Times New Roman" w:hAnsi="Times New Roman" w:eastAsia="Times New Roman" w:cs="Times New Roman"/>
                <w:color w:val="auto"/>
                <w:spacing w:val="-24"/>
                <w:sz w:val="18"/>
                <w:szCs w:val="18"/>
              </w:rPr>
              <w:t xml:space="preserve"> </w:t>
            </w:r>
            <w:r>
              <w:rPr>
                <w:rFonts w:ascii="宋体" w:hAnsi="宋体" w:eastAsia="宋体" w:cs="宋体"/>
                <w:color w:val="auto"/>
                <w:spacing w:val="-1"/>
                <w:sz w:val="18"/>
                <w:szCs w:val="18"/>
              </w:rPr>
              <w:t>、影响程度（</w:t>
            </w:r>
            <w:r>
              <w:rPr>
                <w:rFonts w:ascii="Times New Roman" w:hAnsi="Times New Roman" w:eastAsia="Times New Roman" w:cs="Times New Roman"/>
                <w:color w:val="auto"/>
                <w:spacing w:val="-1"/>
                <w:sz w:val="18"/>
                <w:szCs w:val="18"/>
              </w:rPr>
              <w:t>q</w:t>
            </w:r>
            <w:r>
              <w:rPr>
                <w:rFonts w:ascii="宋体" w:hAnsi="宋体" w:eastAsia="宋体" w:cs="宋体"/>
                <w:color w:val="auto"/>
                <w:spacing w:val="12"/>
                <w:sz w:val="18"/>
                <w:szCs w:val="18"/>
              </w:rPr>
              <w:t>），</w:t>
            </w:r>
            <w:r>
              <w:rPr>
                <w:rFonts w:ascii="宋体" w:hAnsi="宋体" w:eastAsia="宋体" w:cs="宋体"/>
                <w:color w:val="auto"/>
                <w:spacing w:val="-1"/>
                <w:sz w:val="18"/>
                <w:szCs w:val="18"/>
              </w:rPr>
              <w:t>按照风险发生后对工程的影响大小，划分为五个影响等级，严重（定量判断</w:t>
            </w:r>
            <w:r>
              <w:rPr>
                <w:rFonts w:ascii="宋体" w:hAnsi="宋体" w:eastAsia="宋体" w:cs="宋体"/>
                <w:color w:val="auto"/>
                <w:sz w:val="18"/>
                <w:szCs w:val="18"/>
              </w:rPr>
              <w:t xml:space="preserve"> </w:t>
            </w:r>
            <w:r>
              <w:rPr>
                <w:rFonts w:ascii="宋体" w:hAnsi="宋体" w:eastAsia="宋体" w:cs="宋体"/>
                <w:color w:val="auto"/>
                <w:spacing w:val="-2"/>
                <w:sz w:val="18"/>
                <w:szCs w:val="18"/>
              </w:rPr>
              <w:t>标准</w:t>
            </w:r>
            <w:r>
              <w:rPr>
                <w:rFonts w:ascii="宋体" w:hAnsi="宋体" w:eastAsia="宋体" w:cs="宋体"/>
                <w:color w:val="auto"/>
                <w:spacing w:val="5"/>
                <w:sz w:val="18"/>
                <w:szCs w:val="18"/>
              </w:rPr>
              <w:t xml:space="preserve"> </w:t>
            </w:r>
            <w:r>
              <w:rPr>
                <w:rFonts w:ascii="Times New Roman" w:hAnsi="Times New Roman" w:eastAsia="Times New Roman" w:cs="Times New Roman"/>
                <w:color w:val="auto"/>
                <w:spacing w:val="-2"/>
                <w:sz w:val="18"/>
                <w:szCs w:val="18"/>
              </w:rPr>
              <w:t>81%-</w:t>
            </w:r>
            <w:r>
              <w:rPr>
                <w:rFonts w:ascii="Times New Roman" w:hAnsi="Times New Roman" w:eastAsia="Times New Roman" w:cs="Times New Roman"/>
                <w:color w:val="auto"/>
                <w:spacing w:val="-24"/>
                <w:sz w:val="18"/>
                <w:szCs w:val="18"/>
              </w:rPr>
              <w:t xml:space="preserve"> </w:t>
            </w:r>
            <w:r>
              <w:rPr>
                <w:rFonts w:ascii="Times New Roman" w:hAnsi="Times New Roman" w:eastAsia="Times New Roman" w:cs="Times New Roman"/>
                <w:color w:val="auto"/>
                <w:spacing w:val="-2"/>
                <w:sz w:val="18"/>
                <w:szCs w:val="18"/>
              </w:rPr>
              <w:t>100%</w:t>
            </w:r>
            <w:r>
              <w:rPr>
                <w:rFonts w:ascii="宋体" w:hAnsi="宋体" w:eastAsia="宋体" w:cs="宋体"/>
                <w:color w:val="auto"/>
                <w:spacing w:val="-2"/>
                <w:sz w:val="18"/>
                <w:szCs w:val="18"/>
              </w:rPr>
              <w:t>）、较大（定量判断标准</w:t>
            </w:r>
            <w:r>
              <w:rPr>
                <w:rFonts w:ascii="宋体" w:hAnsi="宋体" w:eastAsia="宋体" w:cs="宋体"/>
                <w:color w:val="auto"/>
                <w:spacing w:val="-37"/>
                <w:sz w:val="18"/>
                <w:szCs w:val="18"/>
              </w:rPr>
              <w:t xml:space="preserve"> </w:t>
            </w:r>
            <w:r>
              <w:rPr>
                <w:rFonts w:ascii="Times New Roman" w:hAnsi="Times New Roman" w:eastAsia="Times New Roman" w:cs="Times New Roman"/>
                <w:color w:val="auto"/>
                <w:spacing w:val="-2"/>
                <w:sz w:val="18"/>
                <w:szCs w:val="18"/>
              </w:rPr>
              <w:t>61%-80%</w:t>
            </w:r>
            <w:r>
              <w:rPr>
                <w:rFonts w:ascii="宋体" w:hAnsi="宋体" w:eastAsia="宋体" w:cs="宋体"/>
                <w:color w:val="auto"/>
                <w:spacing w:val="-2"/>
                <w:sz w:val="18"/>
                <w:szCs w:val="18"/>
              </w:rPr>
              <w:t>）、中等（定量判断标准</w:t>
            </w:r>
            <w:r>
              <w:rPr>
                <w:rFonts w:ascii="宋体" w:hAnsi="宋体" w:eastAsia="宋体" w:cs="宋体"/>
                <w:color w:val="auto"/>
                <w:spacing w:val="-44"/>
                <w:sz w:val="18"/>
                <w:szCs w:val="18"/>
              </w:rPr>
              <w:t xml:space="preserve"> </w:t>
            </w:r>
            <w:r>
              <w:rPr>
                <w:rFonts w:ascii="Times New Roman" w:hAnsi="Times New Roman" w:eastAsia="Times New Roman" w:cs="Times New Roman"/>
                <w:color w:val="auto"/>
                <w:spacing w:val="-2"/>
                <w:sz w:val="18"/>
                <w:szCs w:val="18"/>
              </w:rPr>
              <w:t>41%-60%</w:t>
            </w:r>
            <w:r>
              <w:rPr>
                <w:rFonts w:ascii="宋体" w:hAnsi="宋体" w:eastAsia="宋体" w:cs="宋体"/>
                <w:color w:val="auto"/>
                <w:spacing w:val="-2"/>
                <w:sz w:val="18"/>
                <w:szCs w:val="18"/>
              </w:rPr>
              <w:t>）、较小（定量</w:t>
            </w:r>
            <w:r>
              <w:rPr>
                <w:rFonts w:ascii="宋体" w:hAnsi="宋体" w:eastAsia="宋体" w:cs="宋体"/>
                <w:color w:val="auto"/>
                <w:sz w:val="18"/>
                <w:szCs w:val="18"/>
              </w:rPr>
              <w:t xml:space="preserve"> </w:t>
            </w:r>
            <w:r>
              <w:rPr>
                <w:rFonts w:ascii="宋体" w:hAnsi="宋体" w:eastAsia="宋体" w:cs="宋体"/>
                <w:color w:val="auto"/>
                <w:spacing w:val="-1"/>
                <w:sz w:val="18"/>
                <w:szCs w:val="18"/>
              </w:rPr>
              <w:t>判断标准</w:t>
            </w:r>
            <w:r>
              <w:rPr>
                <w:rFonts w:ascii="宋体" w:hAnsi="宋体" w:eastAsia="宋体" w:cs="宋体"/>
                <w:color w:val="auto"/>
                <w:spacing w:val="-28"/>
                <w:sz w:val="18"/>
                <w:szCs w:val="18"/>
              </w:rPr>
              <w:t xml:space="preserve"> </w:t>
            </w:r>
            <w:r>
              <w:rPr>
                <w:rFonts w:ascii="Times New Roman" w:hAnsi="Times New Roman" w:eastAsia="Times New Roman" w:cs="Times New Roman"/>
                <w:color w:val="auto"/>
                <w:spacing w:val="-1"/>
                <w:sz w:val="18"/>
                <w:szCs w:val="18"/>
              </w:rPr>
              <w:t>21%-40%</w:t>
            </w:r>
            <w:r>
              <w:rPr>
                <w:rFonts w:ascii="宋体" w:hAnsi="宋体" w:eastAsia="宋体" w:cs="宋体"/>
                <w:color w:val="auto"/>
                <w:spacing w:val="-1"/>
                <w:sz w:val="18"/>
                <w:szCs w:val="18"/>
              </w:rPr>
              <w:t>）、可忽略（定量判断标准</w:t>
            </w:r>
            <w:r>
              <w:rPr>
                <w:rFonts w:ascii="宋体" w:hAnsi="宋体" w:eastAsia="宋体" w:cs="宋体"/>
                <w:color w:val="auto"/>
                <w:spacing w:val="-38"/>
                <w:sz w:val="18"/>
                <w:szCs w:val="18"/>
              </w:rPr>
              <w:t xml:space="preserve"> </w:t>
            </w:r>
            <w:r>
              <w:rPr>
                <w:rFonts w:ascii="Times New Roman" w:hAnsi="Times New Roman" w:eastAsia="Times New Roman" w:cs="Times New Roman"/>
                <w:color w:val="auto"/>
                <w:spacing w:val="-1"/>
                <w:sz w:val="18"/>
                <w:szCs w:val="18"/>
              </w:rPr>
              <w:t>0-20%</w:t>
            </w:r>
            <w:r>
              <w:rPr>
                <w:rFonts w:ascii="宋体" w:hAnsi="宋体" w:eastAsia="宋体" w:cs="宋体"/>
                <w:color w:val="auto"/>
                <w:spacing w:val="-1"/>
                <w:sz w:val="18"/>
                <w:szCs w:val="18"/>
              </w:rPr>
              <w:t>）。</w:t>
            </w:r>
          </w:p>
          <w:p>
            <w:pPr>
              <w:widowControl w:val="0"/>
              <w:kinsoku/>
              <w:overflowPunct w:val="0"/>
              <w:spacing w:before="25" w:line="401" w:lineRule="exact"/>
              <w:ind w:firstLine="469"/>
              <w:rPr>
                <w:rFonts w:ascii="宋体" w:hAnsi="宋体" w:eastAsia="宋体" w:cs="宋体"/>
                <w:color w:val="auto"/>
                <w:sz w:val="18"/>
                <w:szCs w:val="18"/>
              </w:rPr>
            </w:pPr>
            <w:r>
              <w:rPr>
                <w:rFonts w:ascii="Times New Roman" w:hAnsi="Times New Roman" w:eastAsia="Times New Roman" w:cs="Times New Roman"/>
                <w:color w:val="auto"/>
                <w:spacing w:val="-4"/>
                <w:position w:val="16"/>
                <w:sz w:val="18"/>
                <w:szCs w:val="18"/>
              </w:rPr>
              <w:t>4</w:t>
            </w:r>
            <w:r>
              <w:rPr>
                <w:rFonts w:ascii="Times New Roman" w:hAnsi="Times New Roman" w:eastAsia="Times New Roman" w:cs="Times New Roman"/>
                <w:color w:val="auto"/>
                <w:spacing w:val="-23"/>
                <w:position w:val="16"/>
                <w:sz w:val="18"/>
                <w:szCs w:val="18"/>
              </w:rPr>
              <w:t xml:space="preserve"> </w:t>
            </w:r>
            <w:r>
              <w:rPr>
                <w:rFonts w:ascii="宋体" w:hAnsi="宋体" w:eastAsia="宋体" w:cs="宋体"/>
                <w:color w:val="auto"/>
                <w:spacing w:val="-4"/>
                <w:position w:val="16"/>
                <w:sz w:val="18"/>
                <w:szCs w:val="18"/>
              </w:rPr>
              <w:t>、风险程度（</w:t>
            </w:r>
            <w:r>
              <w:rPr>
                <w:rFonts w:ascii="Times New Roman" w:hAnsi="Times New Roman" w:eastAsia="Times New Roman" w:cs="Times New Roman"/>
                <w:color w:val="auto"/>
                <w:spacing w:val="-4"/>
                <w:position w:val="16"/>
                <w:sz w:val="18"/>
                <w:szCs w:val="18"/>
              </w:rPr>
              <w:t>R</w:t>
            </w:r>
            <w:r>
              <w:rPr>
                <w:rFonts w:ascii="宋体" w:hAnsi="宋体" w:eastAsia="宋体" w:cs="宋体"/>
                <w:color w:val="auto"/>
                <w:spacing w:val="11"/>
                <w:position w:val="16"/>
                <w:sz w:val="18"/>
                <w:szCs w:val="18"/>
              </w:rPr>
              <w:t>），</w:t>
            </w:r>
            <w:r>
              <w:rPr>
                <w:rFonts w:ascii="Times New Roman" w:hAnsi="Times New Roman" w:eastAsia="Times New Roman" w:cs="Times New Roman"/>
                <w:color w:val="auto"/>
                <w:spacing w:val="-4"/>
                <w:position w:val="16"/>
                <w:sz w:val="18"/>
                <w:szCs w:val="18"/>
              </w:rPr>
              <w:t>R1</w:t>
            </w:r>
            <w:r>
              <w:rPr>
                <w:rFonts w:ascii="Times New Roman" w:hAnsi="Times New Roman" w:eastAsia="Times New Roman" w:cs="Times New Roman"/>
                <w:color w:val="auto"/>
                <w:spacing w:val="-25"/>
                <w:position w:val="16"/>
                <w:sz w:val="18"/>
                <w:szCs w:val="18"/>
              </w:rPr>
              <w:t xml:space="preserve"> </w:t>
            </w:r>
            <w:r>
              <w:rPr>
                <w:rFonts w:ascii="宋体" w:hAnsi="宋体" w:eastAsia="宋体" w:cs="宋体"/>
                <w:color w:val="auto"/>
                <w:spacing w:val="-4"/>
                <w:position w:val="16"/>
                <w:sz w:val="18"/>
                <w:szCs w:val="18"/>
              </w:rPr>
              <w:t>、</w:t>
            </w:r>
            <w:r>
              <w:rPr>
                <w:rFonts w:ascii="Times New Roman" w:hAnsi="Times New Roman" w:eastAsia="Times New Roman" w:cs="Times New Roman"/>
                <w:color w:val="auto"/>
                <w:spacing w:val="-4"/>
                <w:position w:val="16"/>
                <w:sz w:val="18"/>
                <w:szCs w:val="18"/>
              </w:rPr>
              <w:t>R2</w:t>
            </w:r>
            <w:r>
              <w:rPr>
                <w:rFonts w:ascii="Times New Roman" w:hAnsi="Times New Roman" w:eastAsia="Times New Roman" w:cs="Times New Roman"/>
                <w:color w:val="auto"/>
                <w:spacing w:val="-24"/>
                <w:position w:val="16"/>
                <w:sz w:val="18"/>
                <w:szCs w:val="18"/>
              </w:rPr>
              <w:t xml:space="preserve"> </w:t>
            </w:r>
            <w:r>
              <w:rPr>
                <w:rFonts w:ascii="宋体" w:hAnsi="宋体" w:eastAsia="宋体" w:cs="宋体"/>
                <w:color w:val="auto"/>
                <w:spacing w:val="-4"/>
                <w:position w:val="16"/>
                <w:sz w:val="18"/>
                <w:szCs w:val="18"/>
              </w:rPr>
              <w:t>、</w:t>
            </w:r>
            <w:r>
              <w:rPr>
                <w:rFonts w:ascii="Times New Roman" w:hAnsi="Times New Roman" w:eastAsia="Times New Roman" w:cs="Times New Roman"/>
                <w:color w:val="auto"/>
                <w:spacing w:val="-4"/>
                <w:position w:val="16"/>
                <w:sz w:val="18"/>
                <w:szCs w:val="18"/>
              </w:rPr>
              <w:t>R3</w:t>
            </w:r>
            <w:r>
              <w:rPr>
                <w:rFonts w:ascii="Times New Roman" w:hAnsi="Times New Roman" w:eastAsia="Times New Roman" w:cs="Times New Roman"/>
                <w:color w:val="auto"/>
                <w:spacing w:val="-24"/>
                <w:position w:val="16"/>
                <w:sz w:val="18"/>
                <w:szCs w:val="18"/>
              </w:rPr>
              <w:t xml:space="preserve"> </w:t>
            </w:r>
            <w:r>
              <w:rPr>
                <w:rFonts w:ascii="宋体" w:hAnsi="宋体" w:eastAsia="宋体" w:cs="宋体"/>
                <w:color w:val="auto"/>
                <w:spacing w:val="-4"/>
                <w:position w:val="16"/>
                <w:sz w:val="18"/>
                <w:szCs w:val="18"/>
              </w:rPr>
              <w:t>、</w:t>
            </w:r>
            <w:r>
              <w:rPr>
                <w:rFonts w:ascii="Times New Roman" w:hAnsi="Times New Roman" w:eastAsia="Times New Roman" w:cs="Times New Roman"/>
                <w:color w:val="auto"/>
                <w:spacing w:val="-4"/>
                <w:position w:val="16"/>
                <w:sz w:val="18"/>
                <w:szCs w:val="18"/>
              </w:rPr>
              <w:t>R4</w:t>
            </w:r>
            <w:r>
              <w:rPr>
                <w:rFonts w:ascii="Times New Roman" w:hAnsi="Times New Roman" w:eastAsia="Times New Roman" w:cs="Times New Roman"/>
                <w:color w:val="auto"/>
                <w:spacing w:val="-24"/>
                <w:position w:val="16"/>
                <w:sz w:val="18"/>
                <w:szCs w:val="18"/>
              </w:rPr>
              <w:t xml:space="preserve"> </w:t>
            </w:r>
            <w:r>
              <w:rPr>
                <w:rFonts w:ascii="宋体" w:hAnsi="宋体" w:eastAsia="宋体" w:cs="宋体"/>
                <w:color w:val="auto"/>
                <w:spacing w:val="-4"/>
                <w:position w:val="16"/>
                <w:sz w:val="18"/>
                <w:szCs w:val="18"/>
              </w:rPr>
              <w:t>、</w:t>
            </w:r>
            <w:r>
              <w:rPr>
                <w:rFonts w:ascii="Times New Roman" w:hAnsi="Times New Roman" w:eastAsia="Times New Roman" w:cs="Times New Roman"/>
                <w:color w:val="auto"/>
                <w:spacing w:val="-4"/>
                <w:position w:val="16"/>
                <w:sz w:val="18"/>
                <w:szCs w:val="18"/>
              </w:rPr>
              <w:t>R5</w:t>
            </w:r>
            <w:r>
              <w:rPr>
                <w:rFonts w:ascii="Times New Roman" w:hAnsi="Times New Roman" w:eastAsia="Times New Roman" w:cs="Times New Roman"/>
                <w:color w:val="auto"/>
                <w:spacing w:val="21"/>
                <w:w w:val="101"/>
                <w:position w:val="16"/>
                <w:sz w:val="18"/>
                <w:szCs w:val="18"/>
              </w:rPr>
              <w:t xml:space="preserve"> </w:t>
            </w:r>
            <w:r>
              <w:rPr>
                <w:rFonts w:ascii="宋体" w:hAnsi="宋体" w:eastAsia="宋体" w:cs="宋体"/>
                <w:color w:val="auto"/>
                <w:spacing w:val="-4"/>
                <w:position w:val="16"/>
                <w:sz w:val="18"/>
                <w:szCs w:val="18"/>
              </w:rPr>
              <w:t>的具体数值根据该</w:t>
            </w:r>
            <w:r>
              <w:rPr>
                <w:rFonts w:hint="eastAsia" w:ascii="宋体" w:hAnsi="宋体" w:eastAsia="宋体" w:cs="宋体"/>
                <w:color w:val="auto"/>
                <w:spacing w:val="-4"/>
                <w:position w:val="16"/>
                <w:sz w:val="18"/>
                <w:szCs w:val="18"/>
              </w:rPr>
              <w:t>本项目</w:t>
            </w:r>
            <w:r>
              <w:rPr>
                <w:rFonts w:ascii="宋体" w:hAnsi="宋体" w:eastAsia="宋体" w:cs="宋体"/>
                <w:color w:val="auto"/>
                <w:spacing w:val="-4"/>
                <w:position w:val="16"/>
                <w:sz w:val="18"/>
                <w:szCs w:val="18"/>
              </w:rPr>
              <w:t>特点，结合</w:t>
            </w:r>
            <w:r>
              <w:rPr>
                <w:rFonts w:hint="eastAsia" w:ascii="宋体" w:hAnsi="宋体" w:eastAsia="宋体" w:cs="宋体"/>
                <w:color w:val="auto"/>
                <w:spacing w:val="-4"/>
                <w:position w:val="16"/>
                <w:sz w:val="18"/>
                <w:szCs w:val="18"/>
              </w:rPr>
              <w:t>本项目</w:t>
            </w:r>
            <w:r>
              <w:rPr>
                <w:rFonts w:ascii="宋体" w:hAnsi="宋体" w:eastAsia="宋体" w:cs="宋体"/>
                <w:color w:val="auto"/>
                <w:spacing w:val="-4"/>
                <w:position w:val="16"/>
                <w:sz w:val="18"/>
                <w:szCs w:val="18"/>
              </w:rPr>
              <w:t>所在</w:t>
            </w:r>
          </w:p>
          <w:p>
            <w:pPr>
              <w:widowControl w:val="0"/>
              <w:kinsoku/>
              <w:overflowPunct w:val="0"/>
              <w:spacing w:line="204" w:lineRule="auto"/>
              <w:ind w:firstLine="113"/>
              <w:rPr>
                <w:rFonts w:ascii="宋体" w:hAnsi="宋体" w:eastAsia="宋体" w:cs="宋体"/>
                <w:color w:val="auto"/>
                <w:sz w:val="18"/>
                <w:szCs w:val="18"/>
              </w:rPr>
            </w:pPr>
            <w:r>
              <w:rPr>
                <w:rFonts w:ascii="宋体" w:hAnsi="宋体" w:eastAsia="宋体" w:cs="宋体"/>
                <w:color w:val="auto"/>
                <w:spacing w:val="-4"/>
                <w:sz w:val="18"/>
                <w:szCs w:val="18"/>
              </w:rPr>
              <w:t>地的经济社会发展状况与</w:t>
            </w:r>
            <w:r>
              <w:rPr>
                <w:rFonts w:hint="eastAsia" w:ascii="宋体" w:hAnsi="宋体" w:eastAsia="宋体" w:cs="宋体"/>
                <w:color w:val="auto"/>
                <w:spacing w:val="-4"/>
                <w:sz w:val="18"/>
                <w:szCs w:val="18"/>
              </w:rPr>
              <w:t>本项目</w:t>
            </w:r>
            <w:r>
              <w:rPr>
                <w:rFonts w:ascii="宋体" w:hAnsi="宋体" w:eastAsia="宋体" w:cs="宋体"/>
                <w:color w:val="auto"/>
                <w:spacing w:val="-4"/>
                <w:sz w:val="18"/>
                <w:szCs w:val="18"/>
              </w:rPr>
              <w:t>适应性确定。可分为重大（定量判断标准为：</w:t>
            </w:r>
            <w:r>
              <w:rPr>
                <w:rFonts w:ascii="宋体" w:hAnsi="宋体" w:eastAsia="宋体" w:cs="宋体"/>
                <w:color w:val="auto"/>
                <w:spacing w:val="26"/>
                <w:sz w:val="18"/>
                <w:szCs w:val="18"/>
              </w:rPr>
              <w:t xml:space="preserve"> </w:t>
            </w:r>
            <w:r>
              <w:rPr>
                <w:rFonts w:ascii="Times New Roman" w:hAnsi="Times New Roman" w:eastAsia="Times New Roman" w:cs="Times New Roman"/>
                <w:color w:val="auto"/>
                <w:spacing w:val="-4"/>
                <w:sz w:val="18"/>
                <w:szCs w:val="18"/>
              </w:rPr>
              <w:t>R=p*q</w:t>
            </w:r>
            <w:r>
              <w:rPr>
                <w:rFonts w:ascii="宋体" w:hAnsi="宋体" w:eastAsia="宋体" w:cs="宋体"/>
                <w:color w:val="auto"/>
                <w:spacing w:val="-4"/>
                <w:sz w:val="18"/>
                <w:szCs w:val="18"/>
              </w:rPr>
              <w:t>＞</w:t>
            </w:r>
            <w:r>
              <w:rPr>
                <w:rFonts w:ascii="Times New Roman" w:hAnsi="Times New Roman" w:eastAsia="Times New Roman" w:cs="Times New Roman"/>
                <w:color w:val="auto"/>
                <w:spacing w:val="-4"/>
                <w:sz w:val="18"/>
                <w:szCs w:val="18"/>
              </w:rPr>
              <w:t>0.64</w:t>
            </w:r>
            <w:r>
              <w:rPr>
                <w:rFonts w:ascii="宋体" w:hAnsi="宋体" w:eastAsia="宋体" w:cs="宋体"/>
                <w:color w:val="auto"/>
                <w:spacing w:val="-4"/>
                <w:sz w:val="18"/>
                <w:szCs w:val="18"/>
              </w:rPr>
              <w:t>）、较大</w:t>
            </w:r>
          </w:p>
          <w:p>
            <w:pPr>
              <w:widowControl w:val="0"/>
              <w:kinsoku/>
              <w:overflowPunct w:val="0"/>
              <w:spacing w:before="187" w:line="346" w:lineRule="auto"/>
              <w:ind w:right="37" w:rightChars="0"/>
              <w:rPr>
                <w:rFonts w:ascii="宋体" w:hAnsi="宋体" w:eastAsia="宋体" w:cs="宋体"/>
                <w:color w:val="auto"/>
                <w:sz w:val="18"/>
                <w:szCs w:val="18"/>
              </w:rPr>
            </w:pPr>
            <w:r>
              <w:rPr>
                <w:rFonts w:ascii="宋体" w:hAnsi="宋体" w:eastAsia="宋体" w:cs="宋体"/>
                <w:color w:val="auto"/>
                <w:spacing w:val="-1"/>
                <w:sz w:val="18"/>
                <w:szCs w:val="18"/>
              </w:rPr>
              <w:t>（定量判断标准为</w:t>
            </w:r>
            <w:r>
              <w:rPr>
                <w:rFonts w:ascii="宋体" w:hAnsi="宋体" w:eastAsia="宋体" w:cs="宋体"/>
                <w:color w:val="auto"/>
                <w:spacing w:val="-24"/>
                <w:sz w:val="18"/>
                <w:szCs w:val="18"/>
              </w:rPr>
              <w:t xml:space="preserve"> </w:t>
            </w:r>
            <w:r>
              <w:rPr>
                <w:rFonts w:ascii="Times New Roman" w:hAnsi="Times New Roman" w:eastAsia="Times New Roman" w:cs="Times New Roman"/>
                <w:color w:val="auto"/>
                <w:spacing w:val="-1"/>
                <w:sz w:val="18"/>
                <w:szCs w:val="18"/>
              </w:rPr>
              <w:t>0.64≥R=p*q</w:t>
            </w:r>
            <w:r>
              <w:rPr>
                <w:rFonts w:ascii="宋体" w:hAnsi="宋体" w:eastAsia="宋体" w:cs="宋体"/>
                <w:color w:val="auto"/>
                <w:spacing w:val="-1"/>
                <w:sz w:val="18"/>
                <w:szCs w:val="18"/>
              </w:rPr>
              <w:t>＞</w:t>
            </w:r>
            <w:r>
              <w:rPr>
                <w:rFonts w:ascii="Times New Roman" w:hAnsi="Times New Roman" w:eastAsia="Times New Roman" w:cs="Times New Roman"/>
                <w:color w:val="auto"/>
                <w:spacing w:val="-1"/>
                <w:sz w:val="18"/>
                <w:szCs w:val="18"/>
              </w:rPr>
              <w:t>0.36</w:t>
            </w:r>
            <w:r>
              <w:rPr>
                <w:rFonts w:ascii="宋体" w:hAnsi="宋体" w:eastAsia="宋体" w:cs="宋体"/>
                <w:color w:val="auto"/>
                <w:spacing w:val="-1"/>
                <w:sz w:val="18"/>
                <w:szCs w:val="18"/>
              </w:rPr>
              <w:t>）、一般（定量判断标准为</w:t>
            </w:r>
            <w:r>
              <w:rPr>
                <w:rFonts w:ascii="宋体" w:hAnsi="宋体" w:eastAsia="宋体" w:cs="宋体"/>
                <w:color w:val="auto"/>
                <w:spacing w:val="-38"/>
                <w:sz w:val="18"/>
                <w:szCs w:val="18"/>
              </w:rPr>
              <w:t xml:space="preserve"> </w:t>
            </w:r>
            <w:r>
              <w:rPr>
                <w:rFonts w:ascii="Times New Roman" w:hAnsi="Times New Roman" w:eastAsia="Times New Roman" w:cs="Times New Roman"/>
                <w:color w:val="auto"/>
                <w:spacing w:val="-1"/>
                <w:sz w:val="18"/>
                <w:szCs w:val="18"/>
              </w:rPr>
              <w:t>0.36≥R=p*q</w:t>
            </w:r>
            <w:r>
              <w:rPr>
                <w:rFonts w:ascii="宋体" w:hAnsi="宋体" w:eastAsia="宋体" w:cs="宋体"/>
                <w:color w:val="auto"/>
                <w:spacing w:val="-1"/>
                <w:sz w:val="18"/>
                <w:szCs w:val="18"/>
              </w:rPr>
              <w:t>＞</w:t>
            </w:r>
            <w:r>
              <w:rPr>
                <w:rFonts w:ascii="Times New Roman" w:hAnsi="Times New Roman" w:eastAsia="Times New Roman" w:cs="Times New Roman"/>
                <w:color w:val="auto"/>
                <w:spacing w:val="-1"/>
                <w:sz w:val="18"/>
                <w:szCs w:val="18"/>
              </w:rPr>
              <w:t>0.</w:t>
            </w:r>
            <w:r>
              <w:rPr>
                <w:rFonts w:ascii="Times New Roman" w:hAnsi="Times New Roman" w:eastAsia="Times New Roman" w:cs="Times New Roman"/>
                <w:color w:val="auto"/>
                <w:spacing w:val="-24"/>
                <w:sz w:val="18"/>
                <w:szCs w:val="18"/>
              </w:rPr>
              <w:t xml:space="preserve"> </w:t>
            </w:r>
            <w:r>
              <w:rPr>
                <w:rFonts w:ascii="Times New Roman" w:hAnsi="Times New Roman" w:eastAsia="Times New Roman" w:cs="Times New Roman"/>
                <w:color w:val="auto"/>
                <w:spacing w:val="-1"/>
                <w:sz w:val="18"/>
                <w:szCs w:val="18"/>
              </w:rPr>
              <w:t>16</w:t>
            </w:r>
            <w:r>
              <w:rPr>
                <w:rFonts w:ascii="宋体" w:hAnsi="宋体" w:eastAsia="宋体" w:cs="宋体"/>
                <w:color w:val="auto"/>
                <w:spacing w:val="-1"/>
                <w:sz w:val="18"/>
                <w:szCs w:val="18"/>
              </w:rPr>
              <w:t>）</w:t>
            </w:r>
            <w:r>
              <w:rPr>
                <w:rFonts w:hint="eastAsia" w:ascii="宋体" w:hAnsi="宋体" w:eastAsia="宋体" w:cs="宋体"/>
                <w:color w:val="auto"/>
                <w:spacing w:val="-1"/>
                <w:sz w:val="18"/>
                <w:szCs w:val="18"/>
              </w:rPr>
              <w:t>、</w:t>
            </w:r>
            <w:r>
              <w:rPr>
                <w:rFonts w:ascii="宋体" w:hAnsi="宋体" w:eastAsia="宋体" w:cs="宋体"/>
                <w:color w:val="auto"/>
                <w:spacing w:val="-1"/>
                <w:sz w:val="18"/>
                <w:szCs w:val="18"/>
              </w:rPr>
              <w:t>较小（定量判</w:t>
            </w:r>
            <w:r>
              <w:rPr>
                <w:rFonts w:ascii="宋体" w:hAnsi="宋体" w:eastAsia="宋体" w:cs="宋体"/>
                <w:color w:val="auto"/>
                <w:sz w:val="18"/>
                <w:szCs w:val="18"/>
              </w:rPr>
              <w:t xml:space="preserve"> </w:t>
            </w:r>
            <w:r>
              <w:rPr>
                <w:rFonts w:ascii="宋体" w:hAnsi="宋体" w:eastAsia="宋体" w:cs="宋体"/>
                <w:color w:val="auto"/>
                <w:spacing w:val="-1"/>
                <w:sz w:val="18"/>
                <w:szCs w:val="18"/>
              </w:rPr>
              <w:t>断标准为</w:t>
            </w:r>
            <w:r>
              <w:rPr>
                <w:rFonts w:ascii="宋体" w:hAnsi="宋体" w:eastAsia="宋体" w:cs="宋体"/>
                <w:color w:val="auto"/>
                <w:spacing w:val="-37"/>
                <w:sz w:val="18"/>
                <w:szCs w:val="18"/>
              </w:rPr>
              <w:t xml:space="preserve"> </w:t>
            </w:r>
            <w:r>
              <w:rPr>
                <w:rFonts w:ascii="Times New Roman" w:hAnsi="Times New Roman" w:eastAsia="Times New Roman" w:cs="Times New Roman"/>
                <w:color w:val="auto"/>
                <w:spacing w:val="-1"/>
                <w:sz w:val="18"/>
                <w:szCs w:val="18"/>
              </w:rPr>
              <w:t>0.</w:t>
            </w:r>
            <w:r>
              <w:rPr>
                <w:rFonts w:ascii="Times New Roman" w:hAnsi="Times New Roman" w:eastAsia="Times New Roman" w:cs="Times New Roman"/>
                <w:color w:val="auto"/>
                <w:spacing w:val="-23"/>
                <w:sz w:val="18"/>
                <w:szCs w:val="18"/>
              </w:rPr>
              <w:t xml:space="preserve"> </w:t>
            </w:r>
            <w:r>
              <w:rPr>
                <w:rFonts w:ascii="Times New Roman" w:hAnsi="Times New Roman" w:eastAsia="Times New Roman" w:cs="Times New Roman"/>
                <w:color w:val="auto"/>
                <w:spacing w:val="-1"/>
                <w:sz w:val="18"/>
                <w:szCs w:val="18"/>
              </w:rPr>
              <w:t>16≥R=p*q</w:t>
            </w:r>
            <w:r>
              <w:rPr>
                <w:rFonts w:ascii="宋体" w:hAnsi="宋体" w:eastAsia="宋体" w:cs="宋体"/>
                <w:color w:val="auto"/>
                <w:spacing w:val="-1"/>
                <w:sz w:val="18"/>
                <w:szCs w:val="18"/>
              </w:rPr>
              <w:t>＞</w:t>
            </w:r>
            <w:r>
              <w:rPr>
                <w:rFonts w:ascii="Times New Roman" w:hAnsi="Times New Roman" w:eastAsia="Times New Roman" w:cs="Times New Roman"/>
                <w:color w:val="auto"/>
                <w:spacing w:val="-1"/>
                <w:sz w:val="18"/>
                <w:szCs w:val="18"/>
              </w:rPr>
              <w:t>0.04</w:t>
            </w:r>
            <w:r>
              <w:rPr>
                <w:rFonts w:ascii="宋体" w:hAnsi="宋体" w:eastAsia="宋体" w:cs="宋体"/>
                <w:color w:val="auto"/>
                <w:spacing w:val="-1"/>
                <w:sz w:val="18"/>
                <w:szCs w:val="18"/>
              </w:rPr>
              <w:t>）、微小（定量判断标准为</w:t>
            </w:r>
            <w:r>
              <w:rPr>
                <w:rFonts w:ascii="宋体" w:hAnsi="宋体" w:eastAsia="宋体" w:cs="宋体"/>
                <w:color w:val="auto"/>
                <w:spacing w:val="-40"/>
                <w:sz w:val="18"/>
                <w:szCs w:val="18"/>
              </w:rPr>
              <w:t xml:space="preserve"> </w:t>
            </w:r>
            <w:r>
              <w:rPr>
                <w:rFonts w:ascii="Times New Roman" w:hAnsi="Times New Roman" w:eastAsia="Times New Roman" w:cs="Times New Roman"/>
                <w:color w:val="auto"/>
                <w:spacing w:val="-1"/>
                <w:sz w:val="18"/>
                <w:szCs w:val="18"/>
              </w:rPr>
              <w:t>0.04≥R=p*q≥0</w:t>
            </w:r>
            <w:r>
              <w:rPr>
                <w:rFonts w:ascii="宋体" w:hAnsi="宋体" w:eastAsia="宋体" w:cs="宋体"/>
                <w:color w:val="auto"/>
                <w:spacing w:val="-1"/>
                <w:sz w:val="18"/>
                <w:szCs w:val="18"/>
              </w:rPr>
              <w:t>）五个等级。</w:t>
            </w:r>
          </w:p>
        </w:tc>
      </w:tr>
    </w:tbl>
    <w:p>
      <w:pPr>
        <w:rPr>
          <w:color w:val="auto"/>
        </w:rPr>
      </w:pPr>
    </w:p>
    <w:p>
      <w:pPr>
        <w:rPr>
          <w:color w:val="auto"/>
        </w:rPr>
      </w:pPr>
      <w:r>
        <w:rPr>
          <w:color w:val="auto"/>
        </w:rPr>
        <w:br w:type="page"/>
      </w:r>
    </w:p>
    <w:p>
      <w:pPr>
        <w:pStyle w:val="2"/>
        <w:ind w:firstLine="0" w:firstLineChars="0"/>
        <w:rPr>
          <w:color w:val="auto"/>
        </w:rPr>
        <w:sectPr>
          <w:type w:val="continuous"/>
          <w:pgSz w:w="11905" w:h="16838"/>
          <w:pgMar w:top="1440" w:right="1803" w:bottom="1440" w:left="1803" w:header="595" w:footer="703" w:gutter="0"/>
          <w:cols w:space="0" w:num="1"/>
        </w:sectPr>
      </w:pPr>
    </w:p>
    <w:p>
      <w:pPr>
        <w:pStyle w:val="2"/>
        <w:jc w:val="center"/>
        <w:rPr>
          <w:color w:val="auto"/>
        </w:rPr>
      </w:pPr>
      <w:r>
        <w:rPr>
          <w:rFonts w:hint="eastAsia" w:hAnsi="宋体" w:cs="宋体"/>
          <w:color w:val="auto"/>
          <w:szCs w:val="28"/>
        </w:rPr>
        <w:t>本项目</w:t>
      </w:r>
      <w:r>
        <w:rPr>
          <w:rFonts w:hAnsi="宋体" w:cs="宋体"/>
          <w:color w:val="auto"/>
          <w:szCs w:val="28"/>
        </w:rPr>
        <w:t>综合风险指数计算表（措施前）</w:t>
      </w:r>
    </w:p>
    <w:tbl>
      <w:tblPr>
        <w:tblStyle w:val="19"/>
        <w:tblW w:w="8186" w:type="dxa"/>
        <w:tblInd w:w="1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4"/>
        <w:gridCol w:w="703"/>
        <w:gridCol w:w="658"/>
        <w:gridCol w:w="612"/>
        <w:gridCol w:w="787"/>
        <w:gridCol w:w="827"/>
        <w:gridCol w:w="762"/>
        <w:gridCol w:w="12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604" w:type="dxa"/>
            <w:vMerge w:val="restart"/>
            <w:tcBorders>
              <w:bottom w:val="nil"/>
            </w:tcBorders>
            <w:vAlign w:val="center"/>
          </w:tcPr>
          <w:p>
            <w:pPr>
              <w:widowControl w:val="0"/>
              <w:kinsoku/>
              <w:overflowPunct w:val="0"/>
              <w:jc w:val="center"/>
              <w:textAlignment w:val="center"/>
              <w:rPr>
                <w:rFonts w:ascii="宋体" w:hAnsi="宋体" w:eastAsia="宋体" w:cs="宋体"/>
                <w:b/>
                <w:bCs/>
                <w:color w:val="auto"/>
              </w:rPr>
            </w:pPr>
            <w:r>
              <w:rPr>
                <w:rFonts w:hint="eastAsia" w:ascii="宋体" w:hAnsi="宋体" w:eastAsia="宋体" w:cs="宋体"/>
                <w:b/>
                <w:bCs/>
                <w:color w:val="auto"/>
                <w:lang w:bidi="ar"/>
              </w:rPr>
              <w:t>主要风险因素</w:t>
            </w:r>
          </w:p>
        </w:tc>
        <w:tc>
          <w:tcPr>
            <w:tcW w:w="703" w:type="dxa"/>
            <w:vMerge w:val="restart"/>
            <w:tcBorders>
              <w:bottom w:val="nil"/>
            </w:tcBorders>
            <w:vAlign w:val="center"/>
          </w:tcPr>
          <w:p>
            <w:pPr>
              <w:widowControl w:val="0"/>
              <w:kinsoku/>
              <w:overflowPunct w:val="0"/>
              <w:jc w:val="center"/>
              <w:textAlignment w:val="center"/>
              <w:rPr>
                <w:rFonts w:hint="eastAsia" w:ascii="宋体" w:hAnsi="宋体" w:eastAsia="宋体" w:cs="宋体"/>
                <w:b/>
                <w:bCs/>
                <w:color w:val="auto"/>
                <w:lang w:bidi="ar"/>
              </w:rPr>
            </w:pPr>
            <w:r>
              <w:rPr>
                <w:rFonts w:hint="eastAsia" w:ascii="宋体" w:hAnsi="宋体" w:eastAsia="宋体" w:cs="宋体"/>
                <w:b/>
                <w:bCs/>
                <w:color w:val="auto"/>
                <w:lang w:bidi="ar"/>
              </w:rPr>
              <w:t>权重</w:t>
            </w:r>
          </w:p>
          <w:p>
            <w:pPr>
              <w:widowControl w:val="0"/>
              <w:kinsoku/>
              <w:overflowPunct w:val="0"/>
              <w:jc w:val="center"/>
              <w:textAlignment w:val="center"/>
              <w:rPr>
                <w:rFonts w:ascii="宋体" w:hAnsi="宋体" w:eastAsia="宋体" w:cs="宋体"/>
                <w:b/>
                <w:bCs/>
                <w:color w:val="auto"/>
              </w:rPr>
            </w:pPr>
            <w:r>
              <w:rPr>
                <w:rFonts w:hint="eastAsia" w:ascii="宋体" w:hAnsi="宋体" w:eastAsia="宋体" w:cs="宋体"/>
                <w:b/>
                <w:bCs/>
                <w:color w:val="auto"/>
                <w:lang w:bidi="ar"/>
              </w:rPr>
              <w:t>（I）</w:t>
            </w:r>
          </w:p>
        </w:tc>
        <w:tc>
          <w:tcPr>
            <w:tcW w:w="3646" w:type="dxa"/>
            <w:gridSpan w:val="5"/>
            <w:vAlign w:val="center"/>
          </w:tcPr>
          <w:p>
            <w:pPr>
              <w:widowControl w:val="0"/>
              <w:kinsoku/>
              <w:overflowPunct w:val="0"/>
              <w:jc w:val="center"/>
              <w:textAlignment w:val="center"/>
              <w:rPr>
                <w:rFonts w:ascii="宋体" w:hAnsi="宋体" w:eastAsia="宋体" w:cs="宋体"/>
                <w:b/>
                <w:bCs/>
                <w:color w:val="auto"/>
              </w:rPr>
            </w:pPr>
            <w:r>
              <w:rPr>
                <w:rFonts w:hint="eastAsia" w:ascii="宋体" w:hAnsi="宋体" w:eastAsia="宋体" w:cs="宋体"/>
                <w:b/>
                <w:bCs/>
                <w:color w:val="auto"/>
                <w:lang w:bidi="ar"/>
              </w:rPr>
              <w:t>风险程度（</w:t>
            </w:r>
            <w:r>
              <w:rPr>
                <w:rFonts w:ascii="Times New Roman" w:hAnsi="Times New Roman" w:eastAsia="宋体" w:cs="Times New Roman"/>
                <w:b/>
                <w:bCs/>
                <w:color w:val="auto"/>
                <w:lang w:bidi="ar"/>
              </w:rPr>
              <w:t>R</w:t>
            </w:r>
            <w:r>
              <w:rPr>
                <w:rFonts w:hint="eastAsia" w:ascii="宋体" w:hAnsi="宋体" w:eastAsia="宋体" w:cs="宋体"/>
                <w:b/>
                <w:bCs/>
                <w:color w:val="auto"/>
                <w:lang w:bidi="ar"/>
              </w:rPr>
              <w:t>）</w:t>
            </w:r>
          </w:p>
        </w:tc>
        <w:tc>
          <w:tcPr>
            <w:tcW w:w="1233" w:type="dxa"/>
            <w:vMerge w:val="restart"/>
            <w:tcBorders>
              <w:bottom w:val="nil"/>
            </w:tcBorders>
            <w:vAlign w:val="center"/>
          </w:tcPr>
          <w:p>
            <w:pPr>
              <w:widowControl w:val="0"/>
              <w:kinsoku/>
              <w:overflowPunct w:val="0"/>
              <w:jc w:val="center"/>
              <w:textAlignment w:val="center"/>
              <w:rPr>
                <w:rFonts w:hint="eastAsia" w:ascii="宋体" w:hAnsi="宋体" w:eastAsia="宋体" w:cs="宋体"/>
                <w:b/>
                <w:bCs/>
                <w:color w:val="auto"/>
                <w:lang w:bidi="ar"/>
              </w:rPr>
            </w:pPr>
            <w:r>
              <w:rPr>
                <w:rFonts w:hint="eastAsia" w:ascii="宋体" w:hAnsi="宋体" w:eastAsia="宋体" w:cs="宋体"/>
                <w:b/>
                <w:bCs/>
                <w:color w:val="auto"/>
                <w:lang w:bidi="ar"/>
              </w:rPr>
              <w:t>风险指数</w:t>
            </w:r>
          </w:p>
          <w:p>
            <w:pPr>
              <w:widowControl w:val="0"/>
              <w:kinsoku/>
              <w:overflowPunct w:val="0"/>
              <w:jc w:val="center"/>
              <w:textAlignment w:val="center"/>
              <w:rPr>
                <w:rFonts w:ascii="宋体" w:hAnsi="宋体" w:eastAsia="宋体" w:cs="宋体"/>
                <w:b/>
                <w:bCs/>
                <w:color w:val="auto"/>
              </w:rPr>
            </w:pPr>
            <w:r>
              <w:rPr>
                <w:rFonts w:hint="eastAsia" w:ascii="宋体" w:hAnsi="宋体" w:eastAsia="宋体" w:cs="宋体"/>
                <w:b/>
                <w:bCs/>
                <w:color w:val="auto"/>
                <w:lang w:bidi="ar"/>
              </w:rPr>
              <w:t>（T=I×R）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2604" w:type="dxa"/>
            <w:vMerge w:val="continue"/>
            <w:tcBorders>
              <w:top w:val="nil"/>
            </w:tcBorders>
            <w:vAlign w:val="center"/>
          </w:tcPr>
          <w:p>
            <w:pPr>
              <w:widowControl w:val="0"/>
              <w:kinsoku/>
              <w:overflowPunct w:val="0"/>
              <w:jc w:val="center"/>
              <w:rPr>
                <w:rFonts w:ascii="宋体"/>
                <w:b/>
                <w:bCs/>
                <w:color w:val="auto"/>
              </w:rPr>
            </w:pPr>
          </w:p>
        </w:tc>
        <w:tc>
          <w:tcPr>
            <w:tcW w:w="703" w:type="dxa"/>
            <w:vMerge w:val="continue"/>
            <w:tcBorders>
              <w:top w:val="nil"/>
            </w:tcBorders>
            <w:vAlign w:val="center"/>
          </w:tcPr>
          <w:p>
            <w:pPr>
              <w:widowControl w:val="0"/>
              <w:kinsoku/>
              <w:overflowPunct w:val="0"/>
              <w:jc w:val="center"/>
              <w:rPr>
                <w:rFonts w:ascii="宋体"/>
                <w:b/>
                <w:bCs/>
                <w:color w:val="auto"/>
              </w:rPr>
            </w:pPr>
          </w:p>
        </w:tc>
        <w:tc>
          <w:tcPr>
            <w:tcW w:w="658" w:type="dxa"/>
            <w:vAlign w:val="center"/>
          </w:tcPr>
          <w:p>
            <w:pPr>
              <w:widowControl w:val="0"/>
              <w:kinsoku/>
              <w:overflowPunct w:val="0"/>
              <w:jc w:val="center"/>
              <w:textAlignment w:val="center"/>
              <w:rPr>
                <w:rFonts w:ascii="Times New Roman" w:hAnsi="Times New Roman" w:eastAsia="Times New Roman" w:cs="Times New Roman"/>
                <w:b/>
                <w:bCs/>
                <w:color w:val="auto"/>
              </w:rPr>
            </w:pPr>
            <w:r>
              <w:rPr>
                <w:rFonts w:hint="eastAsia" w:ascii="宋体" w:hAnsi="宋体" w:eastAsia="宋体" w:cs="宋体"/>
                <w:b/>
                <w:bCs/>
                <w:color w:val="auto"/>
                <w:lang w:bidi="ar"/>
              </w:rPr>
              <w:t>微小</w:t>
            </w:r>
          </w:p>
        </w:tc>
        <w:tc>
          <w:tcPr>
            <w:tcW w:w="612" w:type="dxa"/>
            <w:vAlign w:val="center"/>
          </w:tcPr>
          <w:p>
            <w:pPr>
              <w:widowControl w:val="0"/>
              <w:kinsoku/>
              <w:overflowPunct w:val="0"/>
              <w:jc w:val="center"/>
              <w:textAlignment w:val="center"/>
              <w:rPr>
                <w:rFonts w:ascii="Times New Roman" w:hAnsi="Times New Roman" w:eastAsia="Times New Roman" w:cs="Times New Roman"/>
                <w:b/>
                <w:bCs/>
                <w:color w:val="auto"/>
              </w:rPr>
            </w:pPr>
            <w:r>
              <w:rPr>
                <w:rFonts w:hint="eastAsia" w:ascii="宋体" w:hAnsi="宋体" w:eastAsia="宋体" w:cs="宋体"/>
                <w:b/>
                <w:bCs/>
                <w:color w:val="auto"/>
                <w:lang w:bidi="ar"/>
              </w:rPr>
              <w:t>较小</w:t>
            </w:r>
          </w:p>
        </w:tc>
        <w:tc>
          <w:tcPr>
            <w:tcW w:w="787" w:type="dxa"/>
            <w:vAlign w:val="center"/>
          </w:tcPr>
          <w:p>
            <w:pPr>
              <w:widowControl w:val="0"/>
              <w:kinsoku/>
              <w:overflowPunct w:val="0"/>
              <w:jc w:val="center"/>
              <w:textAlignment w:val="center"/>
              <w:rPr>
                <w:rFonts w:ascii="Times New Roman" w:hAnsi="Times New Roman" w:eastAsia="Times New Roman" w:cs="Times New Roman"/>
                <w:b/>
                <w:bCs/>
                <w:color w:val="auto"/>
              </w:rPr>
            </w:pPr>
            <w:r>
              <w:rPr>
                <w:rFonts w:hint="eastAsia" w:ascii="宋体" w:hAnsi="宋体" w:eastAsia="宋体" w:cs="宋体"/>
                <w:b/>
                <w:bCs/>
                <w:color w:val="auto"/>
                <w:lang w:bidi="ar"/>
              </w:rPr>
              <w:t>一般</w:t>
            </w:r>
          </w:p>
        </w:tc>
        <w:tc>
          <w:tcPr>
            <w:tcW w:w="827" w:type="dxa"/>
            <w:vAlign w:val="center"/>
          </w:tcPr>
          <w:p>
            <w:pPr>
              <w:widowControl w:val="0"/>
              <w:kinsoku/>
              <w:overflowPunct w:val="0"/>
              <w:jc w:val="center"/>
              <w:textAlignment w:val="center"/>
              <w:rPr>
                <w:rFonts w:ascii="Times New Roman" w:hAnsi="Times New Roman" w:eastAsia="Times New Roman" w:cs="Times New Roman"/>
                <w:b/>
                <w:bCs/>
                <w:color w:val="auto"/>
              </w:rPr>
            </w:pPr>
            <w:r>
              <w:rPr>
                <w:rFonts w:hint="eastAsia" w:ascii="宋体" w:hAnsi="宋体" w:eastAsia="宋体" w:cs="宋体"/>
                <w:b/>
                <w:bCs/>
                <w:color w:val="auto"/>
                <w:lang w:bidi="ar"/>
              </w:rPr>
              <w:t>较大</w:t>
            </w:r>
          </w:p>
        </w:tc>
        <w:tc>
          <w:tcPr>
            <w:tcW w:w="762" w:type="dxa"/>
            <w:vAlign w:val="center"/>
          </w:tcPr>
          <w:p>
            <w:pPr>
              <w:widowControl w:val="0"/>
              <w:kinsoku/>
              <w:overflowPunct w:val="0"/>
              <w:jc w:val="center"/>
              <w:textAlignment w:val="center"/>
              <w:rPr>
                <w:rFonts w:ascii="Times New Roman" w:hAnsi="Times New Roman" w:eastAsia="Times New Roman" w:cs="Times New Roman"/>
                <w:b/>
                <w:bCs/>
                <w:color w:val="auto"/>
              </w:rPr>
            </w:pPr>
            <w:r>
              <w:rPr>
                <w:rFonts w:hint="eastAsia" w:ascii="宋体" w:hAnsi="宋体" w:eastAsia="宋体" w:cs="宋体"/>
                <w:b/>
                <w:bCs/>
                <w:color w:val="auto"/>
                <w:lang w:bidi="ar"/>
              </w:rPr>
              <w:t>重大</w:t>
            </w:r>
          </w:p>
        </w:tc>
        <w:tc>
          <w:tcPr>
            <w:tcW w:w="1233" w:type="dxa"/>
            <w:vMerge w:val="continue"/>
            <w:tcBorders>
              <w:top w:val="nil"/>
            </w:tcBorders>
            <w:vAlign w:val="center"/>
          </w:tcPr>
          <w:p>
            <w:pPr>
              <w:widowControl w:val="0"/>
              <w:kinsoku/>
              <w:overflowPunct w:val="0"/>
              <w:jc w:val="center"/>
              <w:rPr>
                <w:rFonts w:ascii="宋体"/>
                <w:b/>
                <w:bCs/>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604" w:type="dxa"/>
            <w:vMerge w:val="continue"/>
            <w:vAlign w:val="center"/>
          </w:tcPr>
          <w:p>
            <w:pPr>
              <w:widowControl w:val="0"/>
              <w:kinsoku/>
              <w:overflowPunct w:val="0"/>
              <w:jc w:val="center"/>
              <w:rPr>
                <w:rFonts w:ascii="宋体" w:hAnsi="宋体" w:eastAsia="宋体" w:cs="宋体"/>
                <w:b/>
                <w:bCs/>
                <w:color w:val="auto"/>
              </w:rPr>
            </w:pPr>
          </w:p>
        </w:tc>
        <w:tc>
          <w:tcPr>
            <w:tcW w:w="703" w:type="dxa"/>
            <w:vMerge w:val="continue"/>
            <w:vAlign w:val="center"/>
          </w:tcPr>
          <w:p>
            <w:pPr>
              <w:widowControl w:val="0"/>
              <w:kinsoku/>
              <w:overflowPunct w:val="0"/>
              <w:jc w:val="center"/>
              <w:rPr>
                <w:rFonts w:ascii="Times New Roman" w:hAnsi="Times New Roman" w:eastAsia="宋体" w:cs="Times New Roman"/>
                <w:b/>
                <w:bCs/>
                <w:color w:val="auto"/>
                <w:sz w:val="19"/>
                <w:szCs w:val="19"/>
                <w:lang w:bidi="ar"/>
              </w:rPr>
            </w:pPr>
          </w:p>
        </w:tc>
        <w:tc>
          <w:tcPr>
            <w:tcW w:w="658" w:type="dxa"/>
            <w:vAlign w:val="center"/>
          </w:tcPr>
          <w:p>
            <w:pPr>
              <w:widowControl w:val="0"/>
              <w:kinsoku/>
              <w:overflowPunct w:val="0"/>
              <w:jc w:val="center"/>
              <w:textAlignment w:val="center"/>
              <w:rPr>
                <w:rFonts w:ascii="Times New Roman" w:hAnsi="Times New Roman" w:eastAsia="宋体" w:cs="Times New Roman"/>
                <w:b/>
                <w:bCs/>
                <w:color w:val="auto"/>
                <w:sz w:val="19"/>
                <w:szCs w:val="19"/>
                <w:lang w:bidi="ar"/>
              </w:rPr>
            </w:pPr>
            <w:r>
              <w:rPr>
                <w:rFonts w:ascii="Times New Roman" w:hAnsi="Times New Roman" w:eastAsia="宋体" w:cs="Times New Roman"/>
                <w:b/>
                <w:bCs/>
                <w:color w:val="auto"/>
                <w:lang w:bidi="ar"/>
              </w:rPr>
              <w:t>0.04</w:t>
            </w:r>
          </w:p>
        </w:tc>
        <w:tc>
          <w:tcPr>
            <w:tcW w:w="612" w:type="dxa"/>
            <w:vAlign w:val="center"/>
          </w:tcPr>
          <w:p>
            <w:pPr>
              <w:widowControl w:val="0"/>
              <w:kinsoku/>
              <w:overflowPunct w:val="0"/>
              <w:jc w:val="center"/>
              <w:textAlignment w:val="center"/>
              <w:rPr>
                <w:rFonts w:ascii="Times New Roman" w:hAnsi="Times New Roman" w:eastAsia="宋体" w:cs="Times New Roman"/>
                <w:b/>
                <w:bCs/>
                <w:color w:val="auto"/>
                <w:sz w:val="19"/>
                <w:szCs w:val="19"/>
                <w:lang w:bidi="ar"/>
              </w:rPr>
            </w:pPr>
            <w:r>
              <w:rPr>
                <w:rFonts w:ascii="Times New Roman" w:hAnsi="Times New Roman" w:eastAsia="宋体" w:cs="Times New Roman"/>
                <w:b/>
                <w:bCs/>
                <w:color w:val="auto"/>
                <w:lang w:bidi="ar"/>
              </w:rPr>
              <w:t>0.16</w:t>
            </w:r>
          </w:p>
        </w:tc>
        <w:tc>
          <w:tcPr>
            <w:tcW w:w="787" w:type="dxa"/>
            <w:vAlign w:val="center"/>
          </w:tcPr>
          <w:p>
            <w:pPr>
              <w:widowControl w:val="0"/>
              <w:kinsoku/>
              <w:overflowPunct w:val="0"/>
              <w:jc w:val="center"/>
              <w:textAlignment w:val="center"/>
              <w:rPr>
                <w:rFonts w:ascii="Times New Roman" w:hAnsi="Times New Roman" w:eastAsia="宋体" w:cs="Times New Roman"/>
                <w:b/>
                <w:bCs/>
                <w:color w:val="auto"/>
                <w:sz w:val="19"/>
                <w:szCs w:val="19"/>
                <w:lang w:bidi="ar"/>
              </w:rPr>
            </w:pPr>
            <w:r>
              <w:rPr>
                <w:rFonts w:ascii="Times New Roman" w:hAnsi="Times New Roman" w:eastAsia="宋体" w:cs="Times New Roman"/>
                <w:b/>
                <w:bCs/>
                <w:color w:val="auto"/>
                <w:lang w:bidi="ar"/>
              </w:rPr>
              <w:t>0.36</w:t>
            </w:r>
          </w:p>
        </w:tc>
        <w:tc>
          <w:tcPr>
            <w:tcW w:w="827" w:type="dxa"/>
            <w:vAlign w:val="center"/>
          </w:tcPr>
          <w:p>
            <w:pPr>
              <w:widowControl w:val="0"/>
              <w:kinsoku/>
              <w:overflowPunct w:val="0"/>
              <w:jc w:val="center"/>
              <w:textAlignment w:val="center"/>
              <w:rPr>
                <w:rFonts w:ascii="Times New Roman" w:hAnsi="Times New Roman" w:eastAsia="宋体" w:cs="Times New Roman"/>
                <w:b/>
                <w:bCs/>
                <w:color w:val="auto"/>
                <w:sz w:val="19"/>
                <w:szCs w:val="19"/>
                <w:lang w:bidi="ar"/>
              </w:rPr>
            </w:pPr>
            <w:r>
              <w:rPr>
                <w:rFonts w:ascii="Times New Roman" w:hAnsi="Times New Roman" w:eastAsia="宋体" w:cs="Times New Roman"/>
                <w:b/>
                <w:bCs/>
                <w:color w:val="auto"/>
                <w:lang w:bidi="ar"/>
              </w:rPr>
              <w:t>0.64</w:t>
            </w:r>
          </w:p>
        </w:tc>
        <w:tc>
          <w:tcPr>
            <w:tcW w:w="762" w:type="dxa"/>
            <w:vAlign w:val="center"/>
          </w:tcPr>
          <w:p>
            <w:pPr>
              <w:widowControl w:val="0"/>
              <w:kinsoku/>
              <w:overflowPunct w:val="0"/>
              <w:jc w:val="center"/>
              <w:textAlignment w:val="center"/>
              <w:rPr>
                <w:rFonts w:ascii="Times New Roman" w:hAnsi="Times New Roman" w:eastAsia="宋体" w:cs="Times New Roman"/>
                <w:b/>
                <w:bCs/>
                <w:color w:val="auto"/>
                <w:sz w:val="19"/>
                <w:szCs w:val="19"/>
                <w:lang w:bidi="ar"/>
              </w:rPr>
            </w:pPr>
            <w:r>
              <w:rPr>
                <w:rFonts w:ascii="Times New Roman" w:hAnsi="Times New Roman" w:eastAsia="宋体" w:cs="Times New Roman"/>
                <w:b/>
                <w:bCs/>
                <w:color w:val="auto"/>
                <w:lang w:bidi="ar"/>
              </w:rPr>
              <w:t>1</w:t>
            </w:r>
          </w:p>
        </w:tc>
        <w:tc>
          <w:tcPr>
            <w:tcW w:w="1233" w:type="dxa"/>
            <w:vMerge w:val="continue"/>
            <w:vAlign w:val="center"/>
          </w:tcPr>
          <w:p>
            <w:pPr>
              <w:widowControl w:val="0"/>
              <w:kinsoku/>
              <w:overflowPunct w:val="0"/>
              <w:jc w:val="center"/>
              <w:rPr>
                <w:rFonts w:ascii="Times New Roman" w:hAnsi="Times New Roman" w:eastAsia="宋体" w:cs="Times New Roman"/>
                <w:b/>
                <w:bCs/>
                <w:color w:val="auto"/>
                <w:sz w:val="19"/>
                <w:szCs w:val="19"/>
                <w:lang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5" w:hRule="atLeast"/>
        </w:trPr>
        <w:tc>
          <w:tcPr>
            <w:tcW w:w="2604" w:type="dxa"/>
            <w:vAlign w:val="center"/>
          </w:tcPr>
          <w:p>
            <w:pPr>
              <w:jc w:val="center"/>
              <w:textAlignment w:val="center"/>
              <w:rPr>
                <w:rFonts w:ascii="宋体" w:hAnsi="宋体" w:eastAsia="宋体" w:cs="宋体"/>
                <w:b/>
                <w:bCs/>
                <w:color w:val="auto"/>
              </w:rPr>
            </w:pPr>
            <w:r>
              <w:rPr>
                <w:rFonts w:hint="eastAsia" w:ascii="宋体" w:hAnsi="宋体" w:eastAsia="宋体" w:cs="宋体"/>
                <w:b/>
                <w:bCs/>
                <w:color w:val="auto"/>
                <w:lang w:bidi="ar"/>
              </w:rPr>
              <w:t>项目规划和审批风险</w:t>
            </w: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0.1</w:t>
            </w:r>
          </w:p>
        </w:tc>
        <w:tc>
          <w:tcPr>
            <w:tcW w:w="658" w:type="dxa"/>
            <w:vAlign w:val="center"/>
          </w:tcPr>
          <w:p>
            <w:pPr>
              <w:jc w:val="center"/>
              <w:rPr>
                <w:rFonts w:ascii="Times New Roman" w:hAnsi="Times New Roman" w:eastAsia="宋体" w:cs="Times New Roman"/>
                <w:b/>
                <w:bCs/>
                <w:color w:val="auto"/>
                <w:sz w:val="19"/>
                <w:szCs w:val="19"/>
                <w:lang w:bidi="ar"/>
              </w:rPr>
            </w:pPr>
          </w:p>
        </w:tc>
        <w:tc>
          <w:tcPr>
            <w:tcW w:w="612" w:type="dxa"/>
            <w:vAlign w:val="center"/>
          </w:tcPr>
          <w:p>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0.1628</w:t>
            </w:r>
          </w:p>
        </w:tc>
        <w:tc>
          <w:tcPr>
            <w:tcW w:w="787" w:type="dxa"/>
            <w:vAlign w:val="center"/>
          </w:tcPr>
          <w:p>
            <w:pPr>
              <w:jc w:val="center"/>
              <w:rPr>
                <w:rFonts w:ascii="Times New Roman" w:hAnsi="Times New Roman" w:eastAsia="宋体" w:cs="Times New Roman"/>
                <w:b/>
                <w:bCs/>
                <w:color w:val="auto"/>
                <w:sz w:val="19"/>
                <w:szCs w:val="19"/>
                <w:lang w:bidi="ar"/>
              </w:rPr>
            </w:pPr>
          </w:p>
        </w:tc>
        <w:tc>
          <w:tcPr>
            <w:tcW w:w="827" w:type="dxa"/>
            <w:vAlign w:val="center"/>
          </w:tcPr>
          <w:p>
            <w:pPr>
              <w:jc w:val="center"/>
              <w:rPr>
                <w:rFonts w:ascii="Times New Roman" w:hAnsi="Times New Roman" w:eastAsia="宋体" w:cs="Times New Roman"/>
                <w:b/>
                <w:bCs/>
                <w:color w:val="auto"/>
                <w:sz w:val="19"/>
                <w:szCs w:val="19"/>
                <w:lang w:bidi="ar"/>
              </w:rPr>
            </w:pPr>
          </w:p>
        </w:tc>
        <w:tc>
          <w:tcPr>
            <w:tcW w:w="762" w:type="dxa"/>
            <w:vAlign w:val="center"/>
          </w:tcPr>
          <w:p>
            <w:pPr>
              <w:jc w:val="center"/>
              <w:rPr>
                <w:rFonts w:ascii="Times New Roman" w:hAnsi="Times New Roman" w:eastAsia="宋体" w:cs="Times New Roman"/>
                <w:b/>
                <w:bCs/>
                <w:color w:val="auto"/>
                <w:sz w:val="19"/>
                <w:szCs w:val="19"/>
                <w:lang w:bidi="ar"/>
              </w:rPr>
            </w:pPr>
          </w:p>
        </w:tc>
        <w:tc>
          <w:tcPr>
            <w:tcW w:w="1233" w:type="dxa"/>
            <w:vAlign w:val="center"/>
          </w:tcPr>
          <w:p>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eastAsia" w:ascii="宋体" w:hAnsi="宋体" w:eastAsia="宋体" w:cs="宋体"/>
                <w:b/>
                <w:bCs/>
                <w:i w:val="0"/>
                <w:iCs w:val="0"/>
                <w:snapToGrid w:val="0"/>
                <w:color w:val="auto"/>
                <w:kern w:val="0"/>
                <w:sz w:val="22"/>
                <w:szCs w:val="22"/>
                <w:u w:val="none"/>
                <w:lang w:val="en-US" w:eastAsia="zh-CN" w:bidi="ar"/>
              </w:rPr>
              <w:t xml:space="preserve">0.0163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5" w:hRule="atLeast"/>
        </w:trPr>
        <w:tc>
          <w:tcPr>
            <w:tcW w:w="2604" w:type="dxa"/>
            <w:vAlign w:val="center"/>
          </w:tcPr>
          <w:p>
            <w:pPr>
              <w:jc w:val="center"/>
              <w:textAlignment w:val="center"/>
              <w:rPr>
                <w:rFonts w:ascii="宋体" w:hAnsi="宋体" w:eastAsia="宋体" w:cs="宋体"/>
                <w:b/>
                <w:bCs/>
                <w:color w:val="auto"/>
              </w:rPr>
            </w:pPr>
            <w:r>
              <w:rPr>
                <w:rFonts w:hint="eastAsia" w:ascii="宋体" w:hAnsi="宋体" w:eastAsia="宋体" w:cs="宋体"/>
                <w:b/>
                <w:bCs/>
                <w:color w:val="auto"/>
                <w:lang w:bidi="ar"/>
              </w:rPr>
              <w:t>建设实施风险</w:t>
            </w: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0.24</w:t>
            </w:r>
          </w:p>
        </w:tc>
        <w:tc>
          <w:tcPr>
            <w:tcW w:w="658" w:type="dxa"/>
            <w:vAlign w:val="center"/>
          </w:tcPr>
          <w:p>
            <w:pPr>
              <w:jc w:val="center"/>
              <w:rPr>
                <w:rFonts w:ascii="Times New Roman" w:hAnsi="Times New Roman" w:eastAsia="宋体" w:cs="Times New Roman"/>
                <w:b/>
                <w:bCs/>
                <w:color w:val="auto"/>
                <w:sz w:val="19"/>
                <w:szCs w:val="19"/>
                <w:lang w:bidi="ar"/>
              </w:rPr>
            </w:pPr>
          </w:p>
        </w:tc>
        <w:tc>
          <w:tcPr>
            <w:tcW w:w="612" w:type="dxa"/>
            <w:vAlign w:val="center"/>
          </w:tcPr>
          <w:p>
            <w:pPr>
              <w:jc w:val="center"/>
              <w:rPr>
                <w:rFonts w:ascii="Times New Roman" w:hAnsi="Times New Roman" w:eastAsia="宋体" w:cs="Times New Roman"/>
                <w:b/>
                <w:bCs/>
                <w:color w:val="auto"/>
                <w:sz w:val="19"/>
                <w:szCs w:val="19"/>
                <w:lang w:bidi="ar"/>
              </w:rPr>
            </w:pPr>
          </w:p>
        </w:tc>
        <w:tc>
          <w:tcPr>
            <w:tcW w:w="787" w:type="dxa"/>
            <w:vAlign w:val="center"/>
          </w:tcPr>
          <w:p>
            <w:pPr>
              <w:jc w:val="center"/>
              <w:rPr>
                <w:rFonts w:ascii="Times New Roman" w:hAnsi="Times New Roman" w:eastAsia="宋体" w:cs="Times New Roman"/>
                <w:b/>
                <w:bCs/>
                <w:color w:val="auto"/>
                <w:sz w:val="19"/>
                <w:szCs w:val="19"/>
                <w:lang w:bidi="ar"/>
              </w:rPr>
            </w:pPr>
          </w:p>
        </w:tc>
        <w:tc>
          <w:tcPr>
            <w:tcW w:w="827" w:type="dxa"/>
            <w:vAlign w:val="center"/>
          </w:tcPr>
          <w:p>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0.5538</w:t>
            </w:r>
          </w:p>
        </w:tc>
        <w:tc>
          <w:tcPr>
            <w:tcW w:w="762" w:type="dxa"/>
            <w:vAlign w:val="center"/>
          </w:tcPr>
          <w:p>
            <w:pPr>
              <w:jc w:val="center"/>
              <w:rPr>
                <w:rFonts w:ascii="Times New Roman" w:hAnsi="Times New Roman" w:eastAsia="宋体" w:cs="Times New Roman"/>
                <w:b/>
                <w:bCs/>
                <w:color w:val="auto"/>
                <w:sz w:val="19"/>
                <w:szCs w:val="19"/>
                <w:lang w:bidi="ar"/>
              </w:rPr>
            </w:pPr>
          </w:p>
        </w:tc>
        <w:tc>
          <w:tcPr>
            <w:tcW w:w="1233" w:type="dxa"/>
            <w:vAlign w:val="center"/>
          </w:tcPr>
          <w:p>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eastAsia" w:ascii="宋体" w:hAnsi="宋体" w:eastAsia="宋体" w:cs="宋体"/>
                <w:b/>
                <w:bCs/>
                <w:i w:val="0"/>
                <w:iCs w:val="0"/>
                <w:snapToGrid w:val="0"/>
                <w:color w:val="auto"/>
                <w:kern w:val="0"/>
                <w:sz w:val="22"/>
                <w:szCs w:val="22"/>
                <w:u w:val="none"/>
                <w:lang w:val="en-US" w:eastAsia="zh-CN" w:bidi="ar"/>
              </w:rPr>
              <w:t xml:space="preserve">0.1329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604" w:type="dxa"/>
            <w:vAlign w:val="center"/>
          </w:tcPr>
          <w:p>
            <w:pPr>
              <w:jc w:val="center"/>
              <w:textAlignment w:val="center"/>
              <w:rPr>
                <w:b/>
                <w:bCs/>
                <w:color w:val="auto"/>
              </w:rPr>
            </w:pPr>
            <w:r>
              <w:rPr>
                <w:rFonts w:hint="eastAsia" w:ascii="宋体" w:hAnsi="宋体" w:eastAsia="宋体" w:cs="宋体"/>
                <w:b/>
                <w:bCs/>
                <w:color w:val="auto"/>
                <w:lang w:bidi="ar"/>
              </w:rPr>
              <w:t>项目管理风险</w:t>
            </w: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0.16</w:t>
            </w:r>
          </w:p>
        </w:tc>
        <w:tc>
          <w:tcPr>
            <w:tcW w:w="658" w:type="dxa"/>
            <w:vAlign w:val="center"/>
          </w:tcPr>
          <w:p>
            <w:pPr>
              <w:jc w:val="center"/>
              <w:rPr>
                <w:rFonts w:ascii="Times New Roman" w:hAnsi="Times New Roman" w:eastAsia="宋体" w:cs="Times New Roman"/>
                <w:b/>
                <w:bCs/>
                <w:color w:val="auto"/>
                <w:sz w:val="19"/>
                <w:szCs w:val="19"/>
                <w:lang w:bidi="ar"/>
              </w:rPr>
            </w:pPr>
          </w:p>
        </w:tc>
        <w:tc>
          <w:tcPr>
            <w:tcW w:w="612" w:type="dxa"/>
            <w:vAlign w:val="center"/>
          </w:tcPr>
          <w:p>
            <w:pPr>
              <w:jc w:val="center"/>
              <w:rPr>
                <w:rFonts w:ascii="Times New Roman" w:hAnsi="Times New Roman" w:eastAsia="宋体" w:cs="Times New Roman"/>
                <w:b/>
                <w:bCs/>
                <w:color w:val="auto"/>
                <w:sz w:val="19"/>
                <w:szCs w:val="19"/>
                <w:lang w:bidi="ar"/>
              </w:rPr>
            </w:pPr>
          </w:p>
        </w:tc>
        <w:tc>
          <w:tcPr>
            <w:tcW w:w="787" w:type="dxa"/>
            <w:vAlign w:val="center"/>
          </w:tcPr>
          <w:p>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0.3538</w:t>
            </w:r>
          </w:p>
        </w:tc>
        <w:tc>
          <w:tcPr>
            <w:tcW w:w="827" w:type="dxa"/>
            <w:vAlign w:val="center"/>
          </w:tcPr>
          <w:p>
            <w:pPr>
              <w:jc w:val="center"/>
              <w:rPr>
                <w:rFonts w:ascii="Times New Roman" w:hAnsi="Times New Roman" w:eastAsia="宋体" w:cs="Times New Roman"/>
                <w:b/>
                <w:bCs/>
                <w:color w:val="auto"/>
                <w:sz w:val="19"/>
                <w:szCs w:val="19"/>
                <w:lang w:bidi="ar"/>
              </w:rPr>
            </w:pPr>
          </w:p>
        </w:tc>
        <w:tc>
          <w:tcPr>
            <w:tcW w:w="762" w:type="dxa"/>
            <w:vAlign w:val="center"/>
          </w:tcPr>
          <w:p>
            <w:pPr>
              <w:jc w:val="center"/>
              <w:rPr>
                <w:rFonts w:ascii="Times New Roman" w:hAnsi="Times New Roman" w:eastAsia="宋体" w:cs="Times New Roman"/>
                <w:b/>
                <w:bCs/>
                <w:color w:val="auto"/>
                <w:sz w:val="19"/>
                <w:szCs w:val="19"/>
                <w:lang w:bidi="ar"/>
              </w:rPr>
            </w:pPr>
          </w:p>
        </w:tc>
        <w:tc>
          <w:tcPr>
            <w:tcW w:w="1233" w:type="dxa"/>
            <w:vAlign w:val="center"/>
          </w:tcPr>
          <w:p>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eastAsia" w:ascii="宋体" w:hAnsi="宋体" w:eastAsia="宋体" w:cs="宋体"/>
                <w:b/>
                <w:bCs/>
                <w:i w:val="0"/>
                <w:iCs w:val="0"/>
                <w:snapToGrid w:val="0"/>
                <w:color w:val="auto"/>
                <w:kern w:val="0"/>
                <w:sz w:val="22"/>
                <w:szCs w:val="22"/>
                <w:u w:val="none"/>
                <w:lang w:val="en-US" w:eastAsia="zh-CN" w:bidi="ar"/>
              </w:rPr>
              <w:t xml:space="preserve">0.0566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2604" w:type="dxa"/>
            <w:vAlign w:val="center"/>
          </w:tcPr>
          <w:p>
            <w:pPr>
              <w:jc w:val="center"/>
              <w:textAlignment w:val="center"/>
              <w:rPr>
                <w:rFonts w:ascii="宋体" w:hAnsi="宋体" w:eastAsia="宋体" w:cs="宋体"/>
                <w:b/>
                <w:bCs/>
                <w:color w:val="auto"/>
              </w:rPr>
            </w:pPr>
            <w:r>
              <w:rPr>
                <w:rFonts w:hint="eastAsia" w:ascii="宋体" w:hAnsi="宋体" w:eastAsia="宋体" w:cs="宋体"/>
                <w:b/>
                <w:bCs/>
                <w:color w:val="auto"/>
                <w:lang w:bidi="ar"/>
              </w:rPr>
              <w:t>资金保障风险</w:t>
            </w: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0.07</w:t>
            </w:r>
          </w:p>
        </w:tc>
        <w:tc>
          <w:tcPr>
            <w:tcW w:w="658" w:type="dxa"/>
            <w:vAlign w:val="center"/>
          </w:tcPr>
          <w:p>
            <w:pPr>
              <w:jc w:val="center"/>
              <w:rPr>
                <w:rFonts w:ascii="Times New Roman" w:hAnsi="Times New Roman" w:eastAsia="宋体" w:cs="Times New Roman"/>
                <w:b/>
                <w:bCs/>
                <w:color w:val="auto"/>
                <w:sz w:val="19"/>
                <w:szCs w:val="19"/>
                <w:lang w:bidi="ar"/>
              </w:rPr>
            </w:pPr>
          </w:p>
        </w:tc>
        <w:tc>
          <w:tcPr>
            <w:tcW w:w="612" w:type="dxa"/>
            <w:vAlign w:val="center"/>
          </w:tcPr>
          <w:p>
            <w:pPr>
              <w:jc w:val="center"/>
              <w:textAlignment w:val="center"/>
              <w:rPr>
                <w:rFonts w:hint="default" w:ascii="Times New Roman" w:hAnsi="Times New Roman" w:eastAsia="等线" w:cs="Times New Roman"/>
                <w:b/>
                <w:bCs/>
                <w:color w:val="auto"/>
                <w:sz w:val="19"/>
                <w:szCs w:val="19"/>
                <w:lang w:val="en-US" w:eastAsia="zh-CN" w:bidi="ar"/>
              </w:rPr>
            </w:pPr>
            <w:r>
              <w:rPr>
                <w:rFonts w:ascii="Times New Roman" w:hAnsi="Times New Roman" w:eastAsia="等线" w:cs="Times New Roman"/>
                <w:b/>
                <w:bCs/>
                <w:color w:val="auto"/>
                <w:sz w:val="19"/>
                <w:szCs w:val="19"/>
                <w:lang w:bidi="ar"/>
              </w:rPr>
              <w:t>0.1</w:t>
            </w:r>
            <w:r>
              <w:rPr>
                <w:rFonts w:hint="eastAsia" w:ascii="Times New Roman" w:hAnsi="Times New Roman" w:eastAsia="等线" w:cs="Times New Roman"/>
                <w:b/>
                <w:bCs/>
                <w:color w:val="auto"/>
                <w:sz w:val="19"/>
                <w:szCs w:val="19"/>
                <w:lang w:val="en-US" w:eastAsia="zh-CN" w:bidi="ar"/>
              </w:rPr>
              <w:t>599</w:t>
            </w:r>
          </w:p>
        </w:tc>
        <w:tc>
          <w:tcPr>
            <w:tcW w:w="787" w:type="dxa"/>
            <w:vAlign w:val="center"/>
          </w:tcPr>
          <w:p>
            <w:pPr>
              <w:jc w:val="center"/>
              <w:rPr>
                <w:rFonts w:ascii="Times New Roman" w:hAnsi="Times New Roman" w:eastAsia="宋体" w:cs="Times New Roman"/>
                <w:b/>
                <w:bCs/>
                <w:color w:val="auto"/>
                <w:sz w:val="19"/>
                <w:szCs w:val="19"/>
                <w:lang w:bidi="ar"/>
              </w:rPr>
            </w:pPr>
          </w:p>
        </w:tc>
        <w:tc>
          <w:tcPr>
            <w:tcW w:w="827" w:type="dxa"/>
            <w:vAlign w:val="center"/>
          </w:tcPr>
          <w:p>
            <w:pPr>
              <w:jc w:val="center"/>
              <w:rPr>
                <w:rFonts w:ascii="Times New Roman" w:hAnsi="Times New Roman" w:eastAsia="宋体" w:cs="Times New Roman"/>
                <w:b/>
                <w:bCs/>
                <w:color w:val="auto"/>
                <w:sz w:val="19"/>
                <w:szCs w:val="19"/>
                <w:lang w:bidi="ar"/>
              </w:rPr>
            </w:pPr>
          </w:p>
        </w:tc>
        <w:tc>
          <w:tcPr>
            <w:tcW w:w="762" w:type="dxa"/>
            <w:vAlign w:val="center"/>
          </w:tcPr>
          <w:p>
            <w:pPr>
              <w:jc w:val="center"/>
              <w:rPr>
                <w:rFonts w:ascii="Times New Roman" w:hAnsi="Times New Roman" w:eastAsia="宋体" w:cs="Times New Roman"/>
                <w:b/>
                <w:bCs/>
                <w:color w:val="auto"/>
                <w:sz w:val="19"/>
                <w:szCs w:val="19"/>
                <w:lang w:bidi="ar"/>
              </w:rPr>
            </w:pPr>
          </w:p>
        </w:tc>
        <w:tc>
          <w:tcPr>
            <w:tcW w:w="1233"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19"/>
                <w:szCs w:val="19"/>
                <w:lang w:val="en-US" w:bidi="ar"/>
              </w:rPr>
            </w:pPr>
            <w:r>
              <w:rPr>
                <w:rFonts w:hint="eastAsia" w:ascii="宋体" w:hAnsi="宋体" w:eastAsia="宋体" w:cs="宋体"/>
                <w:b/>
                <w:bCs/>
                <w:i w:val="0"/>
                <w:iCs w:val="0"/>
                <w:snapToGrid w:val="0"/>
                <w:color w:val="auto"/>
                <w:kern w:val="0"/>
                <w:sz w:val="22"/>
                <w:szCs w:val="22"/>
                <w:u w:val="none"/>
                <w:lang w:val="en-US" w:eastAsia="zh-CN" w:bidi="ar"/>
              </w:rPr>
              <w:t>0.1119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2604" w:type="dxa"/>
            <w:vAlign w:val="center"/>
          </w:tcPr>
          <w:p>
            <w:pPr>
              <w:jc w:val="center"/>
              <w:textAlignment w:val="center"/>
              <w:rPr>
                <w:rFonts w:ascii="宋体" w:hAnsi="宋体" w:eastAsia="宋体" w:cs="宋体"/>
                <w:b/>
                <w:bCs/>
                <w:color w:val="auto"/>
              </w:rPr>
            </w:pPr>
            <w:r>
              <w:rPr>
                <w:rFonts w:hint="eastAsia" w:ascii="宋体" w:hAnsi="宋体" w:eastAsia="宋体" w:cs="宋体"/>
                <w:b/>
                <w:bCs/>
                <w:color w:val="auto"/>
                <w:lang w:bidi="ar"/>
              </w:rPr>
              <w:t>宏观经济社会环境风险</w:t>
            </w: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0.14</w:t>
            </w:r>
          </w:p>
        </w:tc>
        <w:tc>
          <w:tcPr>
            <w:tcW w:w="658" w:type="dxa"/>
            <w:vAlign w:val="center"/>
          </w:tcPr>
          <w:p>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 xml:space="preserve"> </w:t>
            </w:r>
          </w:p>
        </w:tc>
        <w:tc>
          <w:tcPr>
            <w:tcW w:w="612" w:type="dxa"/>
            <w:vAlign w:val="center"/>
          </w:tcPr>
          <w:p>
            <w:pPr>
              <w:jc w:val="center"/>
              <w:rPr>
                <w:rFonts w:ascii="Times New Roman" w:hAnsi="Times New Roman" w:eastAsia="宋体" w:cs="Times New Roman"/>
                <w:b/>
                <w:bCs/>
                <w:color w:val="auto"/>
                <w:sz w:val="19"/>
                <w:szCs w:val="19"/>
                <w:lang w:bidi="ar"/>
              </w:rPr>
            </w:pPr>
          </w:p>
        </w:tc>
        <w:tc>
          <w:tcPr>
            <w:tcW w:w="787" w:type="dxa"/>
            <w:vAlign w:val="center"/>
          </w:tcPr>
          <w:p>
            <w:pPr>
              <w:jc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0.</w:t>
            </w:r>
            <w:r>
              <w:rPr>
                <w:rFonts w:hint="eastAsia" w:ascii="Times New Roman" w:hAnsi="Times New Roman" w:eastAsia="等线" w:cs="Times New Roman"/>
                <w:b/>
                <w:bCs/>
                <w:color w:val="auto"/>
                <w:sz w:val="19"/>
                <w:szCs w:val="19"/>
                <w:lang w:val="en-US" w:eastAsia="zh-CN" w:bidi="ar"/>
              </w:rPr>
              <w:t>2115</w:t>
            </w:r>
          </w:p>
        </w:tc>
        <w:tc>
          <w:tcPr>
            <w:tcW w:w="827" w:type="dxa"/>
            <w:vAlign w:val="center"/>
          </w:tcPr>
          <w:p>
            <w:pPr>
              <w:jc w:val="center"/>
              <w:textAlignment w:val="center"/>
              <w:rPr>
                <w:rFonts w:ascii="Times New Roman" w:hAnsi="Times New Roman" w:eastAsia="宋体" w:cs="Times New Roman"/>
                <w:b/>
                <w:bCs/>
                <w:color w:val="auto"/>
                <w:sz w:val="19"/>
                <w:szCs w:val="19"/>
                <w:lang w:bidi="ar"/>
              </w:rPr>
            </w:pPr>
          </w:p>
        </w:tc>
        <w:tc>
          <w:tcPr>
            <w:tcW w:w="762" w:type="dxa"/>
            <w:vAlign w:val="center"/>
          </w:tcPr>
          <w:p>
            <w:pPr>
              <w:jc w:val="center"/>
              <w:rPr>
                <w:rFonts w:ascii="Times New Roman" w:hAnsi="Times New Roman" w:eastAsia="宋体" w:cs="Times New Roman"/>
                <w:b/>
                <w:bCs/>
                <w:color w:val="auto"/>
                <w:sz w:val="19"/>
                <w:szCs w:val="19"/>
                <w:lang w:bidi="ar"/>
              </w:rPr>
            </w:pPr>
          </w:p>
        </w:tc>
        <w:tc>
          <w:tcPr>
            <w:tcW w:w="1233" w:type="dxa"/>
            <w:vAlign w:val="center"/>
          </w:tcPr>
          <w:p>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eastAsia" w:ascii="宋体" w:hAnsi="宋体" w:eastAsia="宋体" w:cs="宋体"/>
                <w:b/>
                <w:bCs/>
                <w:i w:val="0"/>
                <w:iCs w:val="0"/>
                <w:snapToGrid w:val="0"/>
                <w:color w:val="auto"/>
                <w:kern w:val="0"/>
                <w:sz w:val="22"/>
                <w:szCs w:val="22"/>
                <w:u w:val="none"/>
                <w:lang w:val="en-US" w:eastAsia="zh-CN" w:bidi="ar"/>
              </w:rPr>
              <w:t xml:space="preserve">0.0296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2604" w:type="dxa"/>
            <w:vAlign w:val="center"/>
          </w:tcPr>
          <w:p>
            <w:pPr>
              <w:jc w:val="center"/>
              <w:textAlignment w:val="center"/>
              <w:rPr>
                <w:rFonts w:ascii="宋体" w:hAnsi="宋体" w:eastAsia="宋体" w:cs="宋体"/>
                <w:b/>
                <w:bCs/>
                <w:color w:val="auto"/>
              </w:rPr>
            </w:pPr>
            <w:r>
              <w:rPr>
                <w:rFonts w:hint="eastAsia" w:ascii="宋体" w:hAnsi="宋体" w:eastAsia="宋体" w:cs="宋体"/>
                <w:b/>
                <w:bCs/>
                <w:color w:val="auto"/>
                <w:lang w:bidi="ar"/>
              </w:rPr>
              <w:t>生态环境影响风险</w:t>
            </w: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 xml:space="preserve">0.23 </w:t>
            </w:r>
          </w:p>
        </w:tc>
        <w:tc>
          <w:tcPr>
            <w:tcW w:w="658" w:type="dxa"/>
            <w:vAlign w:val="center"/>
          </w:tcPr>
          <w:p>
            <w:pPr>
              <w:jc w:val="center"/>
              <w:rPr>
                <w:rFonts w:ascii="Times New Roman" w:hAnsi="Times New Roman" w:eastAsia="宋体" w:cs="Times New Roman"/>
                <w:b/>
                <w:bCs/>
                <w:color w:val="auto"/>
                <w:sz w:val="19"/>
                <w:szCs w:val="19"/>
                <w:lang w:bidi="ar"/>
              </w:rPr>
            </w:pPr>
          </w:p>
        </w:tc>
        <w:tc>
          <w:tcPr>
            <w:tcW w:w="612" w:type="dxa"/>
            <w:vAlign w:val="center"/>
          </w:tcPr>
          <w:p>
            <w:pPr>
              <w:jc w:val="center"/>
              <w:rPr>
                <w:rFonts w:ascii="Times New Roman" w:hAnsi="Times New Roman" w:eastAsia="宋体" w:cs="Times New Roman"/>
                <w:b/>
                <w:bCs/>
                <w:color w:val="auto"/>
                <w:sz w:val="19"/>
                <w:szCs w:val="19"/>
                <w:lang w:bidi="ar"/>
              </w:rPr>
            </w:pPr>
          </w:p>
        </w:tc>
        <w:tc>
          <w:tcPr>
            <w:tcW w:w="787" w:type="dxa"/>
            <w:vAlign w:val="center"/>
          </w:tcPr>
          <w:p>
            <w:pPr>
              <w:jc w:val="center"/>
              <w:rPr>
                <w:rFonts w:ascii="Times New Roman" w:hAnsi="Times New Roman" w:eastAsia="宋体" w:cs="Times New Roman"/>
                <w:b/>
                <w:bCs/>
                <w:color w:val="auto"/>
                <w:sz w:val="19"/>
                <w:szCs w:val="19"/>
                <w:lang w:bidi="ar"/>
              </w:rPr>
            </w:pPr>
          </w:p>
        </w:tc>
        <w:tc>
          <w:tcPr>
            <w:tcW w:w="827" w:type="dxa"/>
            <w:vAlign w:val="center"/>
          </w:tcPr>
          <w:p>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0.5475</w:t>
            </w:r>
          </w:p>
        </w:tc>
        <w:tc>
          <w:tcPr>
            <w:tcW w:w="762" w:type="dxa"/>
            <w:vAlign w:val="center"/>
          </w:tcPr>
          <w:p>
            <w:pPr>
              <w:jc w:val="center"/>
              <w:rPr>
                <w:rFonts w:ascii="Times New Roman" w:hAnsi="Times New Roman" w:eastAsia="宋体" w:cs="Times New Roman"/>
                <w:b/>
                <w:bCs/>
                <w:color w:val="auto"/>
                <w:sz w:val="19"/>
                <w:szCs w:val="19"/>
                <w:lang w:bidi="ar"/>
              </w:rPr>
            </w:pPr>
          </w:p>
        </w:tc>
        <w:tc>
          <w:tcPr>
            <w:tcW w:w="1233" w:type="dxa"/>
            <w:vAlign w:val="center"/>
          </w:tcPr>
          <w:p>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eastAsia" w:ascii="宋体" w:hAnsi="宋体" w:eastAsia="宋体" w:cs="宋体"/>
                <w:b/>
                <w:bCs/>
                <w:i w:val="0"/>
                <w:iCs w:val="0"/>
                <w:snapToGrid w:val="0"/>
                <w:color w:val="auto"/>
                <w:kern w:val="0"/>
                <w:sz w:val="22"/>
                <w:szCs w:val="22"/>
                <w:u w:val="none"/>
                <w:lang w:val="en-US" w:eastAsia="zh-CN" w:bidi="ar"/>
              </w:rPr>
              <w:t xml:space="preserve">0.1259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604" w:type="dxa"/>
            <w:vAlign w:val="center"/>
          </w:tcPr>
          <w:p>
            <w:pPr>
              <w:jc w:val="center"/>
              <w:textAlignment w:val="center"/>
              <w:rPr>
                <w:rFonts w:ascii="宋体" w:hAnsi="宋体" w:eastAsia="宋体" w:cs="宋体"/>
                <w:b/>
                <w:bCs/>
                <w:color w:val="auto"/>
              </w:rPr>
            </w:pPr>
            <w:r>
              <w:rPr>
                <w:rFonts w:hint="eastAsia" w:ascii="宋体" w:hAnsi="宋体" w:eastAsia="宋体" w:cs="宋体"/>
                <w:b/>
                <w:bCs/>
                <w:color w:val="auto"/>
                <w:lang w:bidi="ar"/>
              </w:rPr>
              <w:t>媒体舆情风险</w:t>
            </w: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0.06</w:t>
            </w:r>
          </w:p>
        </w:tc>
        <w:tc>
          <w:tcPr>
            <w:tcW w:w="658" w:type="dxa"/>
            <w:vAlign w:val="center"/>
          </w:tcPr>
          <w:p>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 xml:space="preserve"> </w:t>
            </w:r>
          </w:p>
        </w:tc>
        <w:tc>
          <w:tcPr>
            <w:tcW w:w="612" w:type="dxa"/>
            <w:vAlign w:val="center"/>
          </w:tcPr>
          <w:p>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0.1368</w:t>
            </w:r>
          </w:p>
        </w:tc>
        <w:tc>
          <w:tcPr>
            <w:tcW w:w="787" w:type="dxa"/>
            <w:vAlign w:val="center"/>
          </w:tcPr>
          <w:p>
            <w:pPr>
              <w:jc w:val="center"/>
              <w:rPr>
                <w:rFonts w:ascii="Times New Roman" w:hAnsi="Times New Roman" w:eastAsia="宋体" w:cs="Times New Roman"/>
                <w:b/>
                <w:bCs/>
                <w:color w:val="auto"/>
                <w:sz w:val="19"/>
                <w:szCs w:val="19"/>
                <w:lang w:bidi="ar"/>
              </w:rPr>
            </w:pPr>
          </w:p>
        </w:tc>
        <w:tc>
          <w:tcPr>
            <w:tcW w:w="827" w:type="dxa"/>
            <w:vAlign w:val="center"/>
          </w:tcPr>
          <w:p>
            <w:pPr>
              <w:jc w:val="center"/>
              <w:rPr>
                <w:rFonts w:ascii="Times New Roman" w:hAnsi="Times New Roman" w:eastAsia="宋体" w:cs="Times New Roman"/>
                <w:b/>
                <w:bCs/>
                <w:color w:val="auto"/>
                <w:sz w:val="19"/>
                <w:szCs w:val="19"/>
                <w:lang w:bidi="ar"/>
              </w:rPr>
            </w:pPr>
          </w:p>
        </w:tc>
        <w:tc>
          <w:tcPr>
            <w:tcW w:w="762" w:type="dxa"/>
            <w:vAlign w:val="center"/>
          </w:tcPr>
          <w:p>
            <w:pPr>
              <w:jc w:val="center"/>
              <w:rPr>
                <w:rFonts w:ascii="Times New Roman" w:hAnsi="Times New Roman" w:eastAsia="宋体" w:cs="Times New Roman"/>
                <w:b/>
                <w:bCs/>
                <w:color w:val="auto"/>
                <w:sz w:val="19"/>
                <w:szCs w:val="19"/>
                <w:lang w:bidi="ar"/>
              </w:rPr>
            </w:pPr>
          </w:p>
        </w:tc>
        <w:tc>
          <w:tcPr>
            <w:tcW w:w="1233" w:type="dxa"/>
            <w:vAlign w:val="center"/>
          </w:tcPr>
          <w:p>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eastAsia" w:ascii="宋体" w:hAnsi="宋体" w:eastAsia="宋体" w:cs="宋体"/>
                <w:b/>
                <w:bCs/>
                <w:i w:val="0"/>
                <w:iCs w:val="0"/>
                <w:snapToGrid w:val="0"/>
                <w:color w:val="auto"/>
                <w:kern w:val="0"/>
                <w:sz w:val="22"/>
                <w:szCs w:val="22"/>
                <w:u w:val="none"/>
                <w:lang w:val="en-US" w:eastAsia="zh-CN" w:bidi="ar"/>
              </w:rPr>
              <w:t xml:space="preserve">0.0082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8186" w:type="dxa"/>
            <w:gridSpan w:val="8"/>
          </w:tcPr>
          <w:p>
            <w:pPr>
              <w:spacing w:before="169" w:line="360" w:lineRule="exact"/>
              <w:ind w:left="113" w:right="95" w:firstLine="283"/>
              <w:rPr>
                <w:rFonts w:ascii="宋体" w:hAnsi="宋体" w:eastAsia="宋体" w:cs="宋体"/>
                <w:color w:val="auto"/>
                <w:spacing w:val="-1"/>
                <w:sz w:val="18"/>
                <w:szCs w:val="18"/>
              </w:rPr>
            </w:pPr>
            <w:r>
              <w:rPr>
                <w:rFonts w:ascii="宋体" w:hAnsi="宋体" w:eastAsia="宋体" w:cs="宋体"/>
                <w:color w:val="auto"/>
                <w:spacing w:val="-1"/>
                <w:sz w:val="18"/>
                <w:szCs w:val="18"/>
              </w:rPr>
              <w:t>注： 1 、风险因素权重作归一化处理。</w:t>
            </w:r>
          </w:p>
          <w:p>
            <w:pPr>
              <w:spacing w:before="169" w:line="360" w:lineRule="exact"/>
              <w:ind w:left="340" w:right="95"/>
              <w:rPr>
                <w:rFonts w:ascii="宋体" w:hAnsi="宋体" w:eastAsia="宋体" w:cs="宋体"/>
                <w:color w:val="auto"/>
                <w:spacing w:val="-1"/>
                <w:sz w:val="18"/>
                <w:szCs w:val="18"/>
              </w:rPr>
            </w:pPr>
            <w:r>
              <w:rPr>
                <w:rFonts w:hint="eastAsia" w:ascii="宋体" w:hAnsi="宋体" w:eastAsia="宋体" w:cs="宋体"/>
                <w:color w:val="auto"/>
                <w:spacing w:val="-1"/>
                <w:sz w:val="18"/>
                <w:szCs w:val="18"/>
              </w:rPr>
              <w:t>2、</w:t>
            </w:r>
            <w:r>
              <w:rPr>
                <w:rFonts w:ascii="宋体" w:hAnsi="宋体" w:eastAsia="宋体" w:cs="宋体"/>
                <w:color w:val="auto"/>
                <w:spacing w:val="-1"/>
                <w:sz w:val="18"/>
                <w:szCs w:val="18"/>
              </w:rPr>
              <w:t>风险概率（p），按照风险因素</w:t>
            </w:r>
            <w:r>
              <w:rPr>
                <w:rFonts w:ascii="宋体" w:hAnsi="宋体" w:eastAsia="宋体" w:cs="宋体"/>
                <w:color w:val="auto"/>
                <w:spacing w:val="-8"/>
                <w:sz w:val="18"/>
                <w:szCs w:val="18"/>
              </w:rPr>
              <w:t>发生的可能性将概率划分为五个档次，很高（概率在</w:t>
            </w:r>
            <w:r>
              <w:rPr>
                <w:rFonts w:ascii="宋体" w:hAnsi="宋体" w:eastAsia="宋体" w:cs="宋体"/>
                <w:color w:val="auto"/>
                <w:spacing w:val="-33"/>
                <w:sz w:val="18"/>
                <w:szCs w:val="18"/>
              </w:rPr>
              <w:t xml:space="preserve"> </w:t>
            </w:r>
            <w:r>
              <w:rPr>
                <w:rFonts w:ascii="Times New Roman" w:hAnsi="Times New Roman" w:eastAsia="Times New Roman" w:cs="Times New Roman"/>
                <w:color w:val="auto"/>
                <w:spacing w:val="-8"/>
                <w:sz w:val="18"/>
                <w:szCs w:val="18"/>
              </w:rPr>
              <w:t>81%-</w:t>
            </w:r>
            <w:r>
              <w:rPr>
                <w:rFonts w:ascii="Times New Roman" w:hAnsi="Times New Roman" w:eastAsia="Times New Roman" w:cs="Times New Roman"/>
                <w:color w:val="auto"/>
                <w:spacing w:val="-24"/>
                <w:sz w:val="18"/>
                <w:szCs w:val="18"/>
              </w:rPr>
              <w:t xml:space="preserve"> </w:t>
            </w:r>
            <w:r>
              <w:rPr>
                <w:rFonts w:ascii="Times New Roman" w:hAnsi="Times New Roman" w:eastAsia="Times New Roman" w:cs="Times New Roman"/>
                <w:color w:val="auto"/>
                <w:spacing w:val="-8"/>
                <w:sz w:val="18"/>
                <w:szCs w:val="18"/>
              </w:rPr>
              <w:t>100%</w:t>
            </w:r>
            <w:r>
              <w:rPr>
                <w:rFonts w:ascii="宋体" w:hAnsi="宋体" w:eastAsia="宋体" w:cs="宋体"/>
                <w:color w:val="auto"/>
                <w:spacing w:val="-9"/>
                <w:sz w:val="18"/>
                <w:szCs w:val="18"/>
              </w:rPr>
              <w:t>较高（概率在</w:t>
            </w:r>
            <w:r>
              <w:rPr>
                <w:rFonts w:ascii="宋体" w:hAnsi="宋体" w:eastAsia="宋体" w:cs="宋体"/>
                <w:color w:val="auto"/>
                <w:spacing w:val="-37"/>
                <w:sz w:val="18"/>
                <w:szCs w:val="18"/>
              </w:rPr>
              <w:t xml:space="preserve"> </w:t>
            </w:r>
            <w:r>
              <w:rPr>
                <w:rFonts w:ascii="Times New Roman" w:hAnsi="Times New Roman" w:eastAsia="Times New Roman" w:cs="Times New Roman"/>
                <w:color w:val="auto"/>
                <w:spacing w:val="-9"/>
                <w:sz w:val="18"/>
                <w:szCs w:val="18"/>
              </w:rPr>
              <w:t>61%-80%</w:t>
            </w:r>
            <w:r>
              <w:rPr>
                <w:rFonts w:ascii="宋体" w:hAnsi="宋体" w:eastAsia="宋体" w:cs="宋体"/>
                <w:color w:val="auto"/>
                <w:spacing w:val="-9"/>
                <w:sz w:val="18"/>
                <w:szCs w:val="18"/>
              </w:rPr>
              <w:t>）、中等（概率在</w:t>
            </w:r>
            <w:r>
              <w:rPr>
                <w:rFonts w:ascii="宋体" w:hAnsi="宋体" w:eastAsia="宋体" w:cs="宋体"/>
                <w:color w:val="auto"/>
                <w:spacing w:val="-39"/>
                <w:sz w:val="18"/>
                <w:szCs w:val="18"/>
              </w:rPr>
              <w:t xml:space="preserve"> </w:t>
            </w:r>
            <w:r>
              <w:rPr>
                <w:rFonts w:ascii="Times New Roman" w:hAnsi="Times New Roman" w:eastAsia="Times New Roman" w:cs="Times New Roman"/>
                <w:color w:val="auto"/>
                <w:spacing w:val="-9"/>
                <w:sz w:val="18"/>
                <w:szCs w:val="18"/>
              </w:rPr>
              <w:t>41%-60%</w:t>
            </w:r>
            <w:r>
              <w:rPr>
                <w:rFonts w:ascii="宋体" w:hAnsi="宋体" w:eastAsia="宋体" w:cs="宋体"/>
                <w:color w:val="auto"/>
                <w:spacing w:val="-9"/>
                <w:sz w:val="18"/>
                <w:szCs w:val="18"/>
              </w:rPr>
              <w:t>）、较低（概率在</w:t>
            </w:r>
            <w:r>
              <w:rPr>
                <w:rFonts w:ascii="宋体" w:hAnsi="宋体" w:eastAsia="宋体" w:cs="宋体"/>
                <w:color w:val="auto"/>
                <w:spacing w:val="-41"/>
                <w:sz w:val="18"/>
                <w:szCs w:val="18"/>
              </w:rPr>
              <w:t xml:space="preserve"> </w:t>
            </w:r>
            <w:r>
              <w:rPr>
                <w:rFonts w:ascii="Times New Roman" w:hAnsi="Times New Roman" w:eastAsia="Times New Roman" w:cs="Times New Roman"/>
                <w:color w:val="auto"/>
                <w:spacing w:val="-9"/>
                <w:sz w:val="18"/>
                <w:szCs w:val="18"/>
              </w:rPr>
              <w:t>21%-40%</w:t>
            </w:r>
            <w:r>
              <w:rPr>
                <w:rFonts w:ascii="宋体" w:hAnsi="宋体" w:eastAsia="宋体" w:cs="宋体"/>
                <w:color w:val="auto"/>
                <w:spacing w:val="-9"/>
                <w:sz w:val="18"/>
                <w:szCs w:val="18"/>
              </w:rPr>
              <w:t>）、很低（概率在</w:t>
            </w:r>
            <w:r>
              <w:rPr>
                <w:rFonts w:ascii="宋体" w:hAnsi="宋体" w:eastAsia="宋体" w:cs="宋体"/>
                <w:color w:val="auto"/>
                <w:spacing w:val="-38"/>
                <w:sz w:val="18"/>
                <w:szCs w:val="18"/>
              </w:rPr>
              <w:t xml:space="preserve"> </w:t>
            </w:r>
            <w:r>
              <w:rPr>
                <w:rFonts w:ascii="Times New Roman" w:hAnsi="Times New Roman" w:eastAsia="Times New Roman" w:cs="Times New Roman"/>
                <w:color w:val="auto"/>
                <w:spacing w:val="-9"/>
                <w:sz w:val="18"/>
                <w:szCs w:val="18"/>
              </w:rPr>
              <w:t>0-20%</w:t>
            </w:r>
            <w:r>
              <w:rPr>
                <w:rFonts w:ascii="宋体" w:hAnsi="宋体" w:eastAsia="宋体" w:cs="宋体"/>
                <w:color w:val="auto"/>
                <w:spacing w:val="-52"/>
                <w:sz w:val="18"/>
                <w:szCs w:val="18"/>
              </w:rPr>
              <w:t>）</w:t>
            </w:r>
            <w:r>
              <w:rPr>
                <w:rFonts w:ascii="宋体" w:hAnsi="宋体" w:eastAsia="宋体" w:cs="宋体"/>
                <w:color w:val="auto"/>
                <w:w w:val="101"/>
                <w:sz w:val="18"/>
                <w:szCs w:val="18"/>
              </w:rPr>
              <w:t xml:space="preserve"> </w:t>
            </w:r>
            <w:r>
              <w:rPr>
                <w:rFonts w:ascii="宋体" w:hAnsi="宋体" w:eastAsia="宋体" w:cs="宋体"/>
                <w:color w:val="auto"/>
                <w:spacing w:val="-1"/>
                <w:sz w:val="18"/>
                <w:szCs w:val="18"/>
              </w:rPr>
              <w:t>可依据经验或预测进行确定。</w:t>
            </w:r>
          </w:p>
          <w:p>
            <w:pPr>
              <w:spacing w:before="169" w:line="360" w:lineRule="exact"/>
              <w:ind w:left="340" w:right="95"/>
              <w:rPr>
                <w:rFonts w:ascii="宋体" w:hAnsi="宋体" w:eastAsia="宋体" w:cs="宋体"/>
                <w:color w:val="auto"/>
                <w:sz w:val="18"/>
                <w:szCs w:val="18"/>
              </w:rPr>
            </w:pPr>
            <w:r>
              <w:rPr>
                <w:rFonts w:ascii="Times New Roman" w:hAnsi="Times New Roman" w:eastAsia="Times New Roman" w:cs="Times New Roman"/>
                <w:color w:val="auto"/>
                <w:spacing w:val="-1"/>
                <w:sz w:val="18"/>
                <w:szCs w:val="18"/>
              </w:rPr>
              <w:t>3</w:t>
            </w:r>
            <w:r>
              <w:rPr>
                <w:rFonts w:ascii="Times New Roman" w:hAnsi="Times New Roman" w:eastAsia="Times New Roman" w:cs="Times New Roman"/>
                <w:color w:val="auto"/>
                <w:spacing w:val="-24"/>
                <w:sz w:val="18"/>
                <w:szCs w:val="18"/>
              </w:rPr>
              <w:t xml:space="preserve"> </w:t>
            </w:r>
            <w:r>
              <w:rPr>
                <w:rFonts w:ascii="宋体" w:hAnsi="宋体" w:eastAsia="宋体" w:cs="宋体"/>
                <w:color w:val="auto"/>
                <w:spacing w:val="-1"/>
                <w:sz w:val="18"/>
                <w:szCs w:val="18"/>
              </w:rPr>
              <w:t>、影响程度（</w:t>
            </w:r>
            <w:r>
              <w:rPr>
                <w:rFonts w:ascii="Times New Roman" w:hAnsi="Times New Roman" w:eastAsia="Times New Roman" w:cs="Times New Roman"/>
                <w:color w:val="auto"/>
                <w:spacing w:val="-1"/>
                <w:sz w:val="18"/>
                <w:szCs w:val="18"/>
              </w:rPr>
              <w:t>q</w:t>
            </w:r>
            <w:r>
              <w:rPr>
                <w:rFonts w:ascii="宋体" w:hAnsi="宋体" w:eastAsia="宋体" w:cs="宋体"/>
                <w:color w:val="auto"/>
                <w:spacing w:val="12"/>
                <w:sz w:val="18"/>
                <w:szCs w:val="18"/>
              </w:rPr>
              <w:t>），</w:t>
            </w:r>
            <w:r>
              <w:rPr>
                <w:rFonts w:ascii="宋体" w:hAnsi="宋体" w:eastAsia="宋体" w:cs="宋体"/>
                <w:color w:val="auto"/>
                <w:spacing w:val="-1"/>
                <w:sz w:val="18"/>
                <w:szCs w:val="18"/>
              </w:rPr>
              <w:t>按照风险发生后对工程的影响大小，划分为五个影响等级，严重（定量判断</w:t>
            </w:r>
            <w:r>
              <w:rPr>
                <w:rFonts w:ascii="宋体" w:hAnsi="宋体" w:eastAsia="宋体" w:cs="宋体"/>
                <w:color w:val="auto"/>
                <w:spacing w:val="-2"/>
                <w:sz w:val="18"/>
                <w:szCs w:val="18"/>
              </w:rPr>
              <w:t>标准</w:t>
            </w:r>
            <w:r>
              <w:rPr>
                <w:rFonts w:ascii="宋体" w:hAnsi="宋体" w:eastAsia="宋体" w:cs="宋体"/>
                <w:color w:val="auto"/>
                <w:spacing w:val="5"/>
                <w:sz w:val="18"/>
                <w:szCs w:val="18"/>
              </w:rPr>
              <w:t xml:space="preserve"> </w:t>
            </w:r>
            <w:r>
              <w:rPr>
                <w:rFonts w:ascii="Times New Roman" w:hAnsi="Times New Roman" w:eastAsia="Times New Roman" w:cs="Times New Roman"/>
                <w:color w:val="auto"/>
                <w:spacing w:val="-2"/>
                <w:sz w:val="18"/>
                <w:szCs w:val="18"/>
              </w:rPr>
              <w:t>81%-</w:t>
            </w:r>
            <w:r>
              <w:rPr>
                <w:rFonts w:ascii="Times New Roman" w:hAnsi="Times New Roman" w:eastAsia="Times New Roman" w:cs="Times New Roman"/>
                <w:color w:val="auto"/>
                <w:spacing w:val="-24"/>
                <w:sz w:val="18"/>
                <w:szCs w:val="18"/>
              </w:rPr>
              <w:t xml:space="preserve"> </w:t>
            </w:r>
            <w:r>
              <w:rPr>
                <w:rFonts w:ascii="Times New Roman" w:hAnsi="Times New Roman" w:eastAsia="Times New Roman" w:cs="Times New Roman"/>
                <w:color w:val="auto"/>
                <w:spacing w:val="-2"/>
                <w:sz w:val="18"/>
                <w:szCs w:val="18"/>
              </w:rPr>
              <w:t>100%</w:t>
            </w:r>
            <w:r>
              <w:rPr>
                <w:rFonts w:ascii="宋体" w:hAnsi="宋体" w:eastAsia="宋体" w:cs="宋体"/>
                <w:color w:val="auto"/>
                <w:spacing w:val="-2"/>
                <w:sz w:val="18"/>
                <w:szCs w:val="18"/>
              </w:rPr>
              <w:t>）、较大（定量判断标准</w:t>
            </w:r>
            <w:r>
              <w:rPr>
                <w:rFonts w:ascii="宋体" w:hAnsi="宋体" w:eastAsia="宋体" w:cs="宋体"/>
                <w:color w:val="auto"/>
                <w:spacing w:val="-37"/>
                <w:sz w:val="18"/>
                <w:szCs w:val="18"/>
              </w:rPr>
              <w:t xml:space="preserve"> </w:t>
            </w:r>
            <w:r>
              <w:rPr>
                <w:rFonts w:ascii="Times New Roman" w:hAnsi="Times New Roman" w:eastAsia="Times New Roman" w:cs="Times New Roman"/>
                <w:color w:val="auto"/>
                <w:spacing w:val="-2"/>
                <w:sz w:val="18"/>
                <w:szCs w:val="18"/>
              </w:rPr>
              <w:t>61%-80%</w:t>
            </w:r>
            <w:r>
              <w:rPr>
                <w:rFonts w:ascii="宋体" w:hAnsi="宋体" w:eastAsia="宋体" w:cs="宋体"/>
                <w:color w:val="auto"/>
                <w:spacing w:val="-2"/>
                <w:sz w:val="18"/>
                <w:szCs w:val="18"/>
              </w:rPr>
              <w:t>）、中等（定量判断标准</w:t>
            </w:r>
            <w:r>
              <w:rPr>
                <w:rFonts w:ascii="宋体" w:hAnsi="宋体" w:eastAsia="宋体" w:cs="宋体"/>
                <w:color w:val="auto"/>
                <w:spacing w:val="-44"/>
                <w:sz w:val="18"/>
                <w:szCs w:val="18"/>
              </w:rPr>
              <w:t xml:space="preserve"> </w:t>
            </w:r>
            <w:r>
              <w:rPr>
                <w:rFonts w:ascii="Times New Roman" w:hAnsi="Times New Roman" w:eastAsia="Times New Roman" w:cs="Times New Roman"/>
                <w:color w:val="auto"/>
                <w:spacing w:val="-2"/>
                <w:sz w:val="18"/>
                <w:szCs w:val="18"/>
              </w:rPr>
              <w:t>41%-60%</w:t>
            </w:r>
            <w:r>
              <w:rPr>
                <w:rFonts w:ascii="宋体" w:hAnsi="宋体" w:eastAsia="宋体" w:cs="宋体"/>
                <w:color w:val="auto"/>
                <w:spacing w:val="-2"/>
                <w:sz w:val="18"/>
                <w:szCs w:val="18"/>
              </w:rPr>
              <w:t>）、较小（定量</w:t>
            </w:r>
            <w:r>
              <w:rPr>
                <w:rFonts w:ascii="宋体" w:hAnsi="宋体" w:eastAsia="宋体" w:cs="宋体"/>
                <w:color w:val="auto"/>
                <w:spacing w:val="-1"/>
                <w:sz w:val="18"/>
                <w:szCs w:val="18"/>
              </w:rPr>
              <w:t>判断标准</w:t>
            </w:r>
            <w:r>
              <w:rPr>
                <w:rFonts w:ascii="宋体" w:hAnsi="宋体" w:eastAsia="宋体" w:cs="宋体"/>
                <w:color w:val="auto"/>
                <w:spacing w:val="-28"/>
                <w:sz w:val="18"/>
                <w:szCs w:val="18"/>
              </w:rPr>
              <w:t xml:space="preserve"> </w:t>
            </w:r>
            <w:r>
              <w:rPr>
                <w:rFonts w:ascii="Times New Roman" w:hAnsi="Times New Roman" w:eastAsia="Times New Roman" w:cs="Times New Roman"/>
                <w:color w:val="auto"/>
                <w:spacing w:val="-1"/>
                <w:sz w:val="18"/>
                <w:szCs w:val="18"/>
              </w:rPr>
              <w:t>21%-40%</w:t>
            </w:r>
            <w:r>
              <w:rPr>
                <w:rFonts w:ascii="宋体" w:hAnsi="宋体" w:eastAsia="宋体" w:cs="宋体"/>
                <w:color w:val="auto"/>
                <w:spacing w:val="-1"/>
                <w:sz w:val="18"/>
                <w:szCs w:val="18"/>
              </w:rPr>
              <w:t>）、可忽略（定量判断标准</w:t>
            </w:r>
            <w:r>
              <w:rPr>
                <w:rFonts w:ascii="宋体" w:hAnsi="宋体" w:eastAsia="宋体" w:cs="宋体"/>
                <w:color w:val="auto"/>
                <w:spacing w:val="-38"/>
                <w:sz w:val="18"/>
                <w:szCs w:val="18"/>
              </w:rPr>
              <w:t xml:space="preserve"> </w:t>
            </w:r>
            <w:r>
              <w:rPr>
                <w:rFonts w:ascii="Times New Roman" w:hAnsi="Times New Roman" w:eastAsia="Times New Roman" w:cs="Times New Roman"/>
                <w:color w:val="auto"/>
                <w:spacing w:val="-1"/>
                <w:sz w:val="18"/>
                <w:szCs w:val="18"/>
              </w:rPr>
              <w:t>0-20%</w:t>
            </w:r>
            <w:r>
              <w:rPr>
                <w:rFonts w:ascii="宋体" w:hAnsi="宋体" w:eastAsia="宋体" w:cs="宋体"/>
                <w:color w:val="auto"/>
                <w:spacing w:val="-1"/>
                <w:sz w:val="18"/>
                <w:szCs w:val="18"/>
              </w:rPr>
              <w:t>）。</w:t>
            </w:r>
          </w:p>
          <w:p>
            <w:pPr>
              <w:spacing w:before="169" w:line="360" w:lineRule="exact"/>
              <w:ind w:left="292" w:leftChars="139" w:right="95" w:firstLine="60" w:firstLineChars="34"/>
              <w:rPr>
                <w:rFonts w:ascii="楷体" w:hAnsi="楷体" w:eastAsia="楷体" w:cs="楷体"/>
                <w:color w:val="auto"/>
                <w:lang w:bidi="ar"/>
              </w:rPr>
            </w:pPr>
            <w:r>
              <w:rPr>
                <w:rFonts w:ascii="宋体" w:hAnsi="宋体" w:eastAsia="宋体" w:cs="宋体"/>
                <w:color w:val="auto"/>
                <w:spacing w:val="-1"/>
                <w:sz w:val="18"/>
                <w:szCs w:val="18"/>
              </w:rPr>
              <w:t>4</w:t>
            </w:r>
            <w:r>
              <w:rPr>
                <w:rFonts w:hint="eastAsia" w:ascii="宋体" w:hAnsi="宋体" w:eastAsia="宋体" w:cs="宋体"/>
                <w:color w:val="auto"/>
                <w:spacing w:val="-1"/>
                <w:sz w:val="18"/>
                <w:szCs w:val="18"/>
              </w:rPr>
              <w:t>、</w:t>
            </w:r>
            <w:r>
              <w:rPr>
                <w:rFonts w:ascii="宋体" w:hAnsi="宋体" w:eastAsia="宋体" w:cs="宋体"/>
                <w:color w:val="auto"/>
                <w:spacing w:val="-1"/>
                <w:sz w:val="18"/>
                <w:szCs w:val="18"/>
              </w:rPr>
              <w:t>风险程度（R），R1 、R2 、R3 、R4 、R5 的具体数值根据该</w:t>
            </w:r>
            <w:r>
              <w:rPr>
                <w:rFonts w:hint="eastAsia" w:ascii="宋体" w:hAnsi="宋体" w:eastAsia="宋体" w:cs="宋体"/>
                <w:color w:val="auto"/>
                <w:spacing w:val="-1"/>
                <w:sz w:val="18"/>
                <w:szCs w:val="18"/>
              </w:rPr>
              <w:t>土地征收</w:t>
            </w:r>
            <w:r>
              <w:rPr>
                <w:rFonts w:ascii="宋体" w:hAnsi="宋体" w:eastAsia="宋体" w:cs="宋体"/>
                <w:color w:val="auto"/>
                <w:spacing w:val="-1"/>
                <w:sz w:val="18"/>
                <w:szCs w:val="18"/>
              </w:rPr>
              <w:t>特点，结合</w:t>
            </w:r>
            <w:r>
              <w:rPr>
                <w:rFonts w:hint="eastAsia" w:ascii="宋体" w:hAnsi="宋体" w:eastAsia="宋体" w:cs="宋体"/>
                <w:color w:val="auto"/>
                <w:spacing w:val="-1"/>
                <w:sz w:val="18"/>
                <w:szCs w:val="18"/>
              </w:rPr>
              <w:t>土地征收</w:t>
            </w:r>
            <w:r>
              <w:rPr>
                <w:rFonts w:ascii="宋体" w:hAnsi="宋体" w:eastAsia="宋体" w:cs="宋体"/>
                <w:color w:val="auto"/>
                <w:spacing w:val="-1"/>
                <w:sz w:val="18"/>
                <w:szCs w:val="18"/>
              </w:rPr>
              <w:t>所在地的经济社会发展状况与</w:t>
            </w:r>
            <w:r>
              <w:rPr>
                <w:rFonts w:hint="eastAsia" w:ascii="宋体" w:hAnsi="宋体" w:eastAsia="宋体" w:cs="宋体"/>
                <w:color w:val="auto"/>
                <w:spacing w:val="-1"/>
                <w:sz w:val="18"/>
                <w:szCs w:val="18"/>
              </w:rPr>
              <w:t>土地征收</w:t>
            </w:r>
            <w:r>
              <w:rPr>
                <w:rFonts w:ascii="宋体" w:hAnsi="宋体" w:eastAsia="宋体" w:cs="宋体"/>
                <w:color w:val="auto"/>
                <w:spacing w:val="-1"/>
                <w:sz w:val="18"/>
                <w:szCs w:val="18"/>
              </w:rPr>
              <w:t>适应性确定。可分为重大（定量判断标准为： R=p*q＞0.64）较大（定量判断标准为 0.64≥R=p*q＞0.36）、一般（定量判断标准为 0.36≥R=p*q＞0. 16）</w:t>
            </w:r>
            <w:r>
              <w:rPr>
                <w:rFonts w:hint="eastAsia" w:ascii="宋体" w:hAnsi="宋体" w:eastAsia="宋体" w:cs="宋体"/>
                <w:color w:val="auto"/>
                <w:spacing w:val="-1"/>
                <w:sz w:val="18"/>
                <w:szCs w:val="18"/>
              </w:rPr>
              <w:t>、</w:t>
            </w:r>
            <w:r>
              <w:rPr>
                <w:rFonts w:ascii="宋体" w:hAnsi="宋体" w:eastAsia="宋体" w:cs="宋体"/>
                <w:color w:val="auto"/>
                <w:spacing w:val="-1"/>
                <w:sz w:val="18"/>
                <w:szCs w:val="18"/>
              </w:rPr>
              <w:t>较小（定量判 断标准为 0.16≥R=p*q＞0.04）、微小（定量判断标准为 0.04≥R=p*q≥0）五个等级</w:t>
            </w:r>
          </w:p>
        </w:tc>
      </w:tr>
    </w:tbl>
    <w:p>
      <w:pPr>
        <w:rPr>
          <w:color w:val="auto"/>
        </w:rPr>
      </w:pPr>
    </w:p>
    <w:p>
      <w:pPr>
        <w:spacing w:line="86" w:lineRule="exact"/>
        <w:rPr>
          <w:color w:val="auto"/>
        </w:rPr>
      </w:pPr>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结合该项目的单因素风险估计结果，对照评估依据中给出的用于该项目社会稳定风险分析的指标体系和评判标准，对本项目的初始社会稳定风险进行综合分析评估。</w:t>
      </w:r>
    </w:p>
    <w:p>
      <w:pPr>
        <w:spacing w:before="91" w:line="360" w:lineRule="auto"/>
        <w:ind w:firstLine="600" w:firstLineChars="200"/>
        <w:rPr>
          <w:rFonts w:ascii="仿宋" w:hAnsi="仿宋" w:eastAsia="仿宋" w:cs="仿宋"/>
          <w:color w:val="auto"/>
          <w:sz w:val="30"/>
          <w:szCs w:val="30"/>
        </w:rPr>
      </w:pPr>
    </w:p>
    <w:p>
      <w:pPr>
        <w:spacing w:before="91" w:line="360" w:lineRule="auto"/>
        <w:ind w:firstLine="600" w:firstLineChars="200"/>
        <w:rPr>
          <w:rFonts w:ascii="仿宋" w:hAnsi="仿宋" w:eastAsia="仿宋" w:cs="仿宋"/>
          <w:color w:val="auto"/>
          <w:sz w:val="30"/>
          <w:szCs w:val="30"/>
        </w:rPr>
      </w:pPr>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Ⅰ、总体评判</w:t>
      </w:r>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本次社会稳定风险调查的结果表明，该项目总体上获得了绝大多数群众的理解和支持，有少部分的群众对土地征收提出了一些意见和诉求。</w:t>
      </w:r>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Ⅱ、可能引发的风险事件</w:t>
      </w:r>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该项目实施后促进了当地经济发展。综合各方面因素，本报告认为不会发生较多人集体上访、请愿等严重风险事件。</w:t>
      </w:r>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Ⅲ、单因素风险程度评判</w:t>
      </w:r>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该本项目不存在重大单因素风险，三项较大单因素风险、二项一般单因素风险，三项较小单因素风险，属于中风险等级。</w:t>
      </w:r>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Ⅳ、综合风险指数</w:t>
      </w:r>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《分析报告》对该</w:t>
      </w:r>
      <w:r>
        <w:rPr>
          <w:rFonts w:hint="eastAsia" w:ascii="仿宋" w:hAnsi="仿宋" w:eastAsia="仿宋" w:cs="仿宋"/>
          <w:color w:val="auto"/>
          <w:sz w:val="30"/>
          <w:szCs w:val="30"/>
          <w:lang w:eastAsia="zh-CN"/>
        </w:rPr>
        <w:t>拟建项目</w:t>
      </w:r>
      <w:r>
        <w:rPr>
          <w:rFonts w:hint="eastAsia" w:ascii="仿宋" w:hAnsi="仿宋" w:eastAsia="仿宋" w:cs="仿宋"/>
          <w:color w:val="auto"/>
          <w:sz w:val="30"/>
          <w:szCs w:val="30"/>
        </w:rPr>
        <w:t>识别的主要风险因素采用定性和定量相结合的方法，对风险概率、影响程度和风险程度进行了分析，经计算综合风险指数为0.</w:t>
      </w:r>
      <w:r>
        <w:rPr>
          <w:rFonts w:hint="eastAsia" w:ascii="仿宋" w:hAnsi="仿宋" w:eastAsia="仿宋" w:cs="仿宋"/>
          <w:color w:val="auto"/>
          <w:sz w:val="30"/>
          <w:szCs w:val="30"/>
          <w:lang w:val="en-US" w:eastAsia="zh-CN"/>
        </w:rPr>
        <w:t>4814</w:t>
      </w:r>
      <w:r>
        <w:rPr>
          <w:rFonts w:hint="eastAsia" w:ascii="仿宋" w:hAnsi="仿宋" w:eastAsia="仿宋" w:cs="仿宋"/>
          <w:color w:val="auto"/>
          <w:sz w:val="30"/>
          <w:szCs w:val="30"/>
        </w:rPr>
        <w:t>。</w:t>
      </w:r>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我公司根据评估过程中对风险因素的重新归纳和识别，重新进行了风险估计，采用风险指数计算的风险综合评价方法，计算得出该拟</w:t>
      </w:r>
      <w:r>
        <w:rPr>
          <w:rFonts w:hint="eastAsia" w:ascii="仿宋" w:hAnsi="仿宋" w:eastAsia="仿宋" w:cs="仿宋"/>
          <w:color w:val="auto"/>
          <w:sz w:val="30"/>
          <w:szCs w:val="30"/>
          <w:lang w:eastAsia="zh-CN"/>
        </w:rPr>
        <w:t>设项目</w:t>
      </w:r>
      <w:r>
        <w:rPr>
          <w:rFonts w:hint="eastAsia" w:ascii="仿宋" w:hAnsi="仿宋" w:eastAsia="仿宋" w:cs="仿宋"/>
          <w:color w:val="auto"/>
          <w:sz w:val="30"/>
          <w:szCs w:val="30"/>
        </w:rPr>
        <w:t>综合风险指数为0.</w:t>
      </w:r>
      <w:r>
        <w:rPr>
          <w:rFonts w:hint="eastAsia" w:ascii="仿宋" w:hAnsi="仿宋" w:eastAsia="仿宋" w:cs="仿宋"/>
          <w:color w:val="auto"/>
          <w:sz w:val="30"/>
          <w:szCs w:val="30"/>
          <w:lang w:val="en-US" w:eastAsia="zh-CN"/>
        </w:rPr>
        <w:t>4814</w:t>
      </w:r>
      <w:r>
        <w:rPr>
          <w:rFonts w:hint="eastAsia" w:ascii="仿宋" w:hAnsi="仿宋" w:eastAsia="仿宋" w:cs="仿宋"/>
          <w:color w:val="auto"/>
          <w:sz w:val="30"/>
          <w:szCs w:val="30"/>
        </w:rPr>
        <w:t>，相关的风险权重是根据社会稳定风险分析调查结果反馈，结合其他同类项目的经验反馈得到。</w:t>
      </w:r>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综上所述，从总体评判标准、可能引发风险参与人数、单因素风险 程度、综合风险指数等角度综合判断，该项目的初始风险等级为中风险。</w:t>
      </w:r>
    </w:p>
    <w:p>
      <w:pPr>
        <w:pStyle w:val="2"/>
        <w:ind w:firstLine="751"/>
        <w:rPr>
          <w:rFonts w:hAnsi="宋体" w:cs="宋体"/>
          <w:color w:val="auto"/>
          <w:spacing w:val="-3"/>
          <w:szCs w:val="28"/>
        </w:rPr>
        <w:sectPr>
          <w:headerReference r:id="rId12" w:type="default"/>
          <w:pgSz w:w="11905" w:h="16838"/>
          <w:pgMar w:top="1440" w:right="1803" w:bottom="1440" w:left="1803" w:header="595" w:footer="703" w:gutter="0"/>
          <w:cols w:space="0" w:num="1"/>
        </w:sectPr>
      </w:pPr>
    </w:p>
    <w:p>
      <w:pPr>
        <w:pStyle w:val="4"/>
        <w:spacing w:line="560" w:lineRule="exact"/>
        <w:rPr>
          <w:rFonts w:ascii="宋体" w:hAnsi="宋体" w:eastAsia="宋体" w:cs="宋体"/>
          <w:color w:val="auto"/>
          <w:szCs w:val="32"/>
        </w:rPr>
      </w:pPr>
      <w:bookmarkStart w:id="45" w:name="_bookmark10"/>
      <w:bookmarkEnd w:id="45"/>
      <w:bookmarkStart w:id="46" w:name="_Toc28943"/>
      <w:r>
        <w:rPr>
          <w:rFonts w:hint="eastAsia" w:ascii="宋体" w:hAnsi="宋体" w:eastAsia="宋体" w:cs="宋体"/>
          <w:color w:val="auto"/>
          <w:szCs w:val="32"/>
        </w:rPr>
        <w:t>（四）风险防范和化解措施的评估</w:t>
      </w:r>
      <w:bookmarkEnd w:id="46"/>
    </w:p>
    <w:p>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 xml:space="preserve">应高度重视各个阶段可能引起的社会稳定性风险，针对本项目特点，明确风险控制节点和时间，真正把本项目社会稳定风险化解在萌芽状态，最大限度地减少不和谐因素，尽可能消减本项目对村民及各类组织的负面影响。     </w:t>
      </w:r>
    </w:p>
    <w:p>
      <w:pPr>
        <w:pStyle w:val="4"/>
        <w:keepNext w:val="0"/>
        <w:keepLines w:val="0"/>
        <w:widowControl w:val="0"/>
        <w:kinsoku/>
        <w:overflowPunct w:val="0"/>
        <w:spacing w:line="560" w:lineRule="exact"/>
        <w:ind w:firstLine="643" w:firstLineChars="200"/>
        <w:rPr>
          <w:rFonts w:ascii="宋体"/>
          <w:color w:val="auto"/>
          <w:sz w:val="21"/>
        </w:rPr>
      </w:pPr>
      <w:bookmarkStart w:id="47" w:name="_Toc5518"/>
      <w:bookmarkStart w:id="48" w:name="_Toc12903"/>
      <w:r>
        <w:rPr>
          <w:rFonts w:hint="eastAsia" w:ascii="宋体" w:hAnsi="宋体" w:eastAsia="宋体" w:cs="宋体"/>
          <w:color w:val="auto"/>
          <w:szCs w:val="32"/>
        </w:rPr>
        <w:t>一、项目规划和审批风险防范和化解措施</w:t>
      </w:r>
      <w:bookmarkEnd w:id="47"/>
      <w:bookmarkEnd w:id="48"/>
    </w:p>
    <w:p>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严格按基本建设程序开展项目审批报批工作，确保本项目规划和审批依法合规；</w:t>
      </w:r>
      <w:bookmarkStart w:id="49" w:name="_bookmark27"/>
      <w:bookmarkEnd w:id="49"/>
      <w:r>
        <w:rPr>
          <w:rFonts w:hint="eastAsia" w:ascii="仿宋" w:hAnsi="仿宋" w:eastAsia="仿宋" w:cs="仿宋"/>
          <w:color w:val="auto"/>
          <w:sz w:val="30"/>
          <w:szCs w:val="30"/>
        </w:rPr>
        <w:t>严格按基本程序办理前期所需相关许可手续；选择具备相应资质、信誉度高施工企业，明确采取防止风险发生的措施；依据《中华人民共和国环境影响评价法》相关内容要求，按程序做好环评审批工作；依据相关政策法规要求，按程序做好项目投资资金的审批事宜；依据区级项目审批要求，严格按程序做好项目立项审批工作。</w:t>
      </w:r>
    </w:p>
    <w:p>
      <w:pPr>
        <w:pStyle w:val="4"/>
        <w:keepNext w:val="0"/>
        <w:keepLines w:val="0"/>
        <w:widowControl w:val="0"/>
        <w:kinsoku/>
        <w:overflowPunct w:val="0"/>
        <w:spacing w:line="560" w:lineRule="exact"/>
        <w:ind w:firstLine="643" w:firstLineChars="200"/>
        <w:rPr>
          <w:rFonts w:hint="eastAsia" w:ascii="宋体" w:hAnsi="宋体" w:eastAsia="宋体" w:cs="宋体"/>
          <w:color w:val="auto"/>
          <w:szCs w:val="32"/>
        </w:rPr>
      </w:pPr>
      <w:bookmarkStart w:id="50" w:name="_Toc20454"/>
      <w:bookmarkStart w:id="51" w:name="_Toc24802"/>
      <w:r>
        <w:rPr>
          <w:rFonts w:hint="eastAsia" w:ascii="宋体" w:hAnsi="宋体" w:eastAsia="宋体" w:cs="宋体"/>
          <w:color w:val="auto"/>
          <w:szCs w:val="32"/>
        </w:rPr>
        <w:t>二、建设实施风险防范和化解措施</w:t>
      </w:r>
      <w:bookmarkEnd w:id="50"/>
      <w:bookmarkEnd w:id="51"/>
    </w:p>
    <w:p>
      <w:pPr>
        <w:widowControl w:val="0"/>
        <w:kinsoku/>
        <w:overflowPunct w:val="0"/>
        <w:spacing w:before="91"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1.施工前征求相关部门的意见，施工操作必须严格按照各部门的要求进行。</w:t>
      </w:r>
    </w:p>
    <w:p>
      <w:pPr>
        <w:widowControl w:val="0"/>
        <w:kinsoku/>
        <w:overflowPunct w:val="0"/>
        <w:spacing w:before="91"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2.建立良好的沟通机制和安全应急预案，一旦发生险情，立刻停止施工并有序组织疏散人流，并及时与相关单位协调解决。</w:t>
      </w:r>
    </w:p>
    <w:p>
      <w:pPr>
        <w:widowControl w:val="0"/>
        <w:kinsoku/>
        <w:overflowPunct w:val="0"/>
        <w:spacing w:before="91"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3.施工前做好管线拆改移的告示工作，对施工期间可能遇到的临时断水断电等情况向周边群众做出解释，并积极接纳群众的意见。</w:t>
      </w:r>
    </w:p>
    <w:p>
      <w:pPr>
        <w:widowControl w:val="0"/>
        <w:kinsoku/>
        <w:overflowPunct w:val="0"/>
        <w:spacing w:before="91"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4.与涉及本项目的相关部门建立良好的沟通协调机制，并提前就项目实施方案进行充分沟通，确保施工技术完善、施工人员安全。</w:t>
      </w:r>
    </w:p>
    <w:p>
      <w:pPr>
        <w:pStyle w:val="4"/>
        <w:keepNext w:val="0"/>
        <w:keepLines w:val="0"/>
        <w:widowControl w:val="0"/>
        <w:kinsoku/>
        <w:overflowPunct w:val="0"/>
        <w:spacing w:line="560" w:lineRule="exact"/>
        <w:ind w:firstLine="643" w:firstLineChars="200"/>
        <w:rPr>
          <w:rFonts w:hint="eastAsia" w:ascii="宋体" w:hAnsi="宋体" w:eastAsia="宋体" w:cs="宋体"/>
          <w:color w:val="auto"/>
          <w:szCs w:val="32"/>
        </w:rPr>
      </w:pPr>
      <w:bookmarkStart w:id="52" w:name="_Toc25743"/>
      <w:bookmarkStart w:id="53" w:name="_Toc24912"/>
      <w:r>
        <w:rPr>
          <w:rFonts w:hint="eastAsia" w:ascii="宋体" w:hAnsi="宋体" w:eastAsia="宋体" w:cs="宋体"/>
          <w:color w:val="auto"/>
          <w:szCs w:val="32"/>
        </w:rPr>
        <w:t>三、项目管理风险防范和化解措施</w:t>
      </w:r>
      <w:bookmarkEnd w:id="52"/>
      <w:bookmarkEnd w:id="53"/>
    </w:p>
    <w:p>
      <w:pPr>
        <w:widowControl w:val="0"/>
        <w:kinsoku/>
        <w:overflowPunct w:val="0"/>
        <w:spacing w:before="91"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建设单位负责协调监督本项目的工期安排、人员安排、建设时序等建设实施安排，制定合理可行的施工安全保障措施。</w:t>
      </w:r>
    </w:p>
    <w:p>
      <w:pPr>
        <w:widowControl w:val="0"/>
        <w:kinsoku/>
        <w:overflowPunct w:val="0"/>
        <w:spacing w:before="91"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各街道办事处要协助建设单位做好工程项目管理的宣传工作，及时反馈采纳村民的合理诉求。</w:t>
      </w:r>
    </w:p>
    <w:p>
      <w:pPr>
        <w:pStyle w:val="4"/>
        <w:keepNext w:val="0"/>
        <w:keepLines w:val="0"/>
        <w:widowControl w:val="0"/>
        <w:kinsoku/>
        <w:overflowPunct w:val="0"/>
        <w:spacing w:line="560" w:lineRule="exact"/>
        <w:ind w:firstLine="643" w:firstLineChars="200"/>
        <w:rPr>
          <w:rFonts w:hint="eastAsia" w:ascii="宋体" w:hAnsi="宋体" w:eastAsia="宋体" w:cs="宋体"/>
          <w:color w:val="auto"/>
          <w:szCs w:val="32"/>
        </w:rPr>
      </w:pPr>
      <w:bookmarkStart w:id="54" w:name="_Toc27123"/>
      <w:bookmarkStart w:id="55" w:name="_Toc12761"/>
      <w:r>
        <w:rPr>
          <w:rFonts w:hint="eastAsia" w:ascii="宋体" w:hAnsi="宋体" w:eastAsia="宋体" w:cs="宋体"/>
          <w:color w:val="auto"/>
          <w:szCs w:val="32"/>
        </w:rPr>
        <w:t>四、资金保障风险防范和化解措施</w:t>
      </w:r>
      <w:bookmarkEnd w:id="54"/>
      <w:bookmarkEnd w:id="55"/>
    </w:p>
    <w:p>
      <w:pPr>
        <w:widowControl w:val="0"/>
        <w:kinsoku/>
        <w:overflowPunct w:val="0"/>
        <w:spacing w:line="360" w:lineRule="auto"/>
        <w:ind w:firstLine="576" w:firstLineChars="200"/>
        <w:jc w:val="both"/>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highlight w:val="none"/>
          <w:lang w:eastAsia="zh-CN"/>
        </w:rPr>
        <w:t>2022年历城区“四好农村路”建设项目</w:t>
      </w:r>
      <w:r>
        <w:rPr>
          <w:rFonts w:hint="eastAsia" w:ascii="仿宋" w:hAnsi="仿宋" w:eastAsia="仿宋" w:cs="仿宋"/>
          <w:color w:val="auto"/>
          <w:spacing w:val="-6"/>
          <w:sz w:val="30"/>
          <w:szCs w:val="30"/>
          <w:highlight w:val="none"/>
        </w:rPr>
        <w:t>总投资14684万元，除上级补助外的剩余资金由区财政和街办按7:3的比例共同承担。</w:t>
      </w:r>
      <w:r>
        <w:rPr>
          <w:rFonts w:hint="eastAsia" w:ascii="仿宋" w:hAnsi="仿宋" w:eastAsia="仿宋" w:cs="仿宋"/>
          <w:color w:val="auto"/>
          <w:spacing w:val="-6"/>
          <w:sz w:val="30"/>
          <w:szCs w:val="30"/>
        </w:rPr>
        <w:t>由于投资资金数额大,流量大等特征,决定了在资金管理过程中应保障资金的安全性。</w:t>
      </w:r>
    </w:p>
    <w:p>
      <w:pPr>
        <w:widowControl w:val="0"/>
        <w:kinsoku/>
        <w:overflowPunct w:val="0"/>
        <w:spacing w:line="360" w:lineRule="auto"/>
        <w:ind w:firstLine="576" w:firstLineChars="200"/>
        <w:jc w:val="both"/>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资金的发放一定要及时到位，避免拖延或被截留，确保发放到位。将</w:t>
      </w:r>
      <w:r>
        <w:rPr>
          <w:rFonts w:hint="eastAsia" w:ascii="仿宋" w:hAnsi="仿宋" w:eastAsia="仿宋" w:cs="仿宋"/>
          <w:color w:val="auto"/>
          <w:sz w:val="30"/>
          <w:szCs w:val="30"/>
        </w:rPr>
        <w:t>由于支付程序不透明、</w:t>
      </w:r>
      <w:r>
        <w:rPr>
          <w:rFonts w:hint="eastAsia" w:ascii="仿宋" w:hAnsi="仿宋" w:eastAsia="仿宋" w:cs="仿宋"/>
          <w:color w:val="auto"/>
          <w:spacing w:val="-6"/>
          <w:sz w:val="30"/>
          <w:szCs w:val="30"/>
        </w:rPr>
        <w:t>不公正引发的社会稳定风险因素降到最低。</w:t>
      </w:r>
    </w:p>
    <w:p>
      <w:pPr>
        <w:pStyle w:val="4"/>
        <w:keepNext w:val="0"/>
        <w:keepLines w:val="0"/>
        <w:widowControl w:val="0"/>
        <w:kinsoku/>
        <w:overflowPunct w:val="0"/>
        <w:spacing w:line="560" w:lineRule="exact"/>
        <w:ind w:firstLine="643" w:firstLineChars="200"/>
        <w:rPr>
          <w:rFonts w:hint="eastAsia" w:ascii="宋体" w:hAnsi="宋体" w:eastAsia="宋体" w:cs="宋体"/>
          <w:color w:val="auto"/>
          <w:szCs w:val="32"/>
          <w:highlight w:val="none"/>
        </w:rPr>
      </w:pPr>
      <w:bookmarkStart w:id="56" w:name="_Toc9311"/>
      <w:bookmarkStart w:id="57" w:name="_Toc10864"/>
    </w:p>
    <w:p>
      <w:pPr>
        <w:pStyle w:val="4"/>
        <w:keepNext w:val="0"/>
        <w:keepLines w:val="0"/>
        <w:widowControl w:val="0"/>
        <w:kinsoku/>
        <w:overflowPunct w:val="0"/>
        <w:spacing w:line="560" w:lineRule="exact"/>
        <w:ind w:firstLine="643" w:firstLineChars="200"/>
        <w:rPr>
          <w:rFonts w:hint="eastAsia" w:ascii="宋体" w:hAnsi="宋体" w:eastAsia="宋体" w:cs="宋体"/>
          <w:color w:val="auto"/>
          <w:szCs w:val="32"/>
          <w:highlight w:val="none"/>
        </w:rPr>
      </w:pPr>
      <w:r>
        <w:rPr>
          <w:rFonts w:hint="eastAsia" w:ascii="宋体" w:hAnsi="宋体" w:eastAsia="宋体" w:cs="宋体"/>
          <w:color w:val="auto"/>
          <w:szCs w:val="32"/>
          <w:highlight w:val="none"/>
        </w:rPr>
        <w:t>五、宏观经济社会环境风险</w:t>
      </w:r>
      <w:bookmarkEnd w:id="56"/>
      <w:bookmarkEnd w:id="57"/>
    </w:p>
    <w:p>
      <w:pPr>
        <w:widowControl w:val="0"/>
        <w:kinsoku/>
        <w:overflowPunct w:val="0"/>
        <w:spacing w:before="91" w:line="360" w:lineRule="auto"/>
        <w:ind w:firstLine="561"/>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1、建立健全与周边村民的沟通渠道，保证收到意见迅速反馈并解决。</w:t>
      </w:r>
    </w:p>
    <w:p>
      <w:pPr>
        <w:widowControl w:val="0"/>
        <w:kinsoku/>
        <w:overflowPunct w:val="0"/>
        <w:spacing w:before="91" w:line="360" w:lineRule="auto"/>
        <w:ind w:firstLine="561"/>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2</w:t>
      </w:r>
      <w:r>
        <w:rPr>
          <w:rFonts w:hint="eastAsia" w:ascii="仿宋" w:hAnsi="仿宋" w:eastAsia="仿宋" w:cs="仿宋"/>
          <w:color w:val="auto"/>
          <w:sz w:val="30"/>
          <w:szCs w:val="30"/>
          <w:highlight w:val="none"/>
        </w:rPr>
        <w:t>.制定应急预案，保证迅速、有序、有效地控制群体性事件的规模和影响。</w:t>
      </w:r>
    </w:p>
    <w:p>
      <w:pPr>
        <w:widowControl w:val="0"/>
        <w:kinsoku/>
        <w:overflowPunct w:val="0"/>
        <w:spacing w:before="91" w:line="360" w:lineRule="auto"/>
        <w:ind w:firstLine="600" w:firstLineChars="200"/>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3.</w:t>
      </w:r>
      <w:r>
        <w:rPr>
          <w:rFonts w:hint="eastAsia" w:ascii="仿宋" w:hAnsi="仿宋" w:eastAsia="仿宋" w:cs="仿宋"/>
          <w:color w:val="auto"/>
          <w:sz w:val="30"/>
          <w:szCs w:val="30"/>
          <w:highlight w:val="none"/>
        </w:rPr>
        <w:t>各街道办要协助建设单位做好政策宣传工作，做好村民意见疏导，协助解决村民与建设单位之间的纠纷。</w:t>
      </w:r>
    </w:p>
    <w:p>
      <w:pPr>
        <w:pStyle w:val="2"/>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600" w:firstLineChars="200"/>
        <w:textAlignment w:val="baseline"/>
        <w:rPr>
          <w:rFonts w:hint="eastAsia" w:ascii="仿宋" w:hAnsi="仿宋" w:eastAsia="仿宋" w:cs="仿宋"/>
          <w:snapToGrid w:val="0"/>
          <w:color w:val="auto"/>
          <w:sz w:val="30"/>
          <w:szCs w:val="30"/>
          <w:highlight w:val="none"/>
          <w:lang w:val="en-US" w:eastAsia="zh-CN" w:bidi="ar-SA"/>
        </w:rPr>
      </w:pPr>
      <w:r>
        <w:rPr>
          <w:rFonts w:hint="eastAsia" w:ascii="仿宋" w:hAnsi="仿宋" w:eastAsia="仿宋" w:cs="仿宋"/>
          <w:color w:val="auto"/>
          <w:sz w:val="30"/>
          <w:szCs w:val="30"/>
          <w:highlight w:val="none"/>
          <w:lang w:val="en-US" w:eastAsia="zh-CN"/>
        </w:rPr>
        <w:t>4.</w:t>
      </w:r>
      <w:r>
        <w:rPr>
          <w:rFonts w:hint="eastAsia" w:ascii="仿宋" w:hAnsi="仿宋" w:eastAsia="仿宋" w:cs="仿宋"/>
          <w:snapToGrid w:val="0"/>
          <w:color w:val="auto"/>
          <w:sz w:val="30"/>
          <w:szCs w:val="30"/>
          <w:highlight w:val="none"/>
          <w:lang w:val="en-US" w:eastAsia="zh-CN" w:bidi="ar-SA"/>
        </w:rPr>
        <w:t>随着项目的进行，货车、危险废物运输车辆众多，为避免由于路线规划不合理，出现违章、增加道路交通运行量等情况的发生，动工前要预先规划好路线，同时与交通主管部门提前协调沟通到位。</w:t>
      </w:r>
    </w:p>
    <w:p>
      <w:pPr>
        <w:pStyle w:val="2"/>
        <w:keepNext w:val="0"/>
        <w:keepLines w:val="0"/>
        <w:pageBreakBefore w:val="0"/>
        <w:widowControl w:val="0"/>
        <w:kinsoku/>
        <w:wordWrap/>
        <w:overflowPunct w:val="0"/>
        <w:topLinePunct w:val="0"/>
        <w:autoSpaceDE w:val="0"/>
        <w:autoSpaceDN w:val="0"/>
        <w:bidi w:val="0"/>
        <w:adjustRightInd w:val="0"/>
        <w:snapToGrid w:val="0"/>
        <w:ind w:left="0" w:leftChars="0" w:firstLine="600" w:firstLineChars="200"/>
        <w:rPr>
          <w:rFonts w:hint="eastAsia" w:ascii="仿宋" w:hAnsi="仿宋" w:eastAsia="仿宋" w:cs="仿宋"/>
          <w:snapToGrid w:val="0"/>
          <w:color w:val="auto"/>
          <w:sz w:val="30"/>
          <w:szCs w:val="30"/>
          <w:highlight w:val="none"/>
          <w:lang w:val="en-US" w:eastAsia="zh-CN" w:bidi="ar-SA"/>
        </w:rPr>
      </w:pPr>
      <w:r>
        <w:rPr>
          <w:rFonts w:hint="eastAsia" w:ascii="仿宋" w:hAnsi="仿宋" w:eastAsia="仿宋" w:cs="仿宋"/>
          <w:snapToGrid w:val="0"/>
          <w:color w:val="auto"/>
          <w:sz w:val="30"/>
          <w:szCs w:val="30"/>
          <w:highlight w:val="none"/>
          <w:lang w:val="en-US" w:eastAsia="zh-CN" w:bidi="ar-SA"/>
        </w:rPr>
        <w:t>5.首先应要求入驻施工团队根据相关政策制定环境保护方案，解决污染源头维护周边村民生活环境。其次，根据相关疫情防控措施，应要求进出人员佩戴口罩，进出施工区需测量体温同时出示健康码、场所码，积极配合防疫攻坚战，积极响应政府号召。</w:t>
      </w:r>
    </w:p>
    <w:p>
      <w:pPr>
        <w:pStyle w:val="2"/>
        <w:rPr>
          <w:rFonts w:hint="eastAsia"/>
          <w:color w:val="auto"/>
        </w:rPr>
      </w:pPr>
    </w:p>
    <w:p>
      <w:pPr>
        <w:pStyle w:val="4"/>
        <w:keepNext w:val="0"/>
        <w:keepLines w:val="0"/>
        <w:widowControl w:val="0"/>
        <w:kinsoku/>
        <w:overflowPunct w:val="0"/>
        <w:spacing w:line="560" w:lineRule="exact"/>
        <w:ind w:left="420" w:leftChars="200"/>
        <w:rPr>
          <w:rFonts w:hint="eastAsia" w:ascii="宋体" w:hAnsi="宋体" w:eastAsia="宋体" w:cs="宋体"/>
          <w:color w:val="auto"/>
          <w:szCs w:val="32"/>
        </w:rPr>
      </w:pPr>
      <w:bookmarkStart w:id="58" w:name="_Toc8962"/>
      <w:bookmarkStart w:id="59" w:name="_Toc5956"/>
      <w:r>
        <w:rPr>
          <w:rFonts w:hint="eastAsia" w:ascii="宋体" w:hAnsi="宋体" w:eastAsia="宋体" w:cs="宋体"/>
          <w:color w:val="auto"/>
          <w:szCs w:val="32"/>
        </w:rPr>
        <w:t>六、生态环境影响风险防范和化解措施</w:t>
      </w:r>
      <w:bookmarkEnd w:id="58"/>
      <w:bookmarkEnd w:id="59"/>
    </w:p>
    <w:p>
      <w:pPr>
        <w:widowControl w:val="0"/>
        <w:kinsoku/>
        <w:overflowPunct w:val="0"/>
        <w:spacing w:before="91" w:line="360" w:lineRule="auto"/>
        <w:ind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rPr>
        <w:t>1、施工期过程管理措施</w:t>
      </w:r>
    </w:p>
    <w:p>
      <w:pPr>
        <w:widowControl w:val="0"/>
        <w:kinsoku/>
        <w:overflowPunct w:val="0"/>
        <w:spacing w:before="91" w:line="360" w:lineRule="auto"/>
        <w:ind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rPr>
        <w:t>施工过程中要严格控制作业带，边线两侧设置隔离措施，严禁人员、设备超出作业带活动，禁止在保护区范围堆放施工机具、施工材料等；在施工期间，合理选择泥浆池位置，加强施工管理，设警示牌，不得将废弃泥浆、施工废水、生活垃圾、施工机械产生的废弃物等</w:t>
      </w:r>
      <w:r>
        <w:rPr>
          <w:rFonts w:hint="eastAsia" w:ascii="仿宋" w:hAnsi="仿宋" w:eastAsia="仿宋" w:cs="仿宋"/>
          <w:color w:val="auto"/>
          <w:sz w:val="30"/>
          <w:szCs w:val="30"/>
          <w:lang w:eastAsia="zh-CN"/>
        </w:rPr>
        <w:t>随意排放</w:t>
      </w:r>
      <w:r>
        <w:rPr>
          <w:rFonts w:hint="eastAsia" w:ascii="仿宋" w:hAnsi="仿宋" w:eastAsia="仿宋" w:cs="仿宋"/>
          <w:color w:val="auto"/>
          <w:sz w:val="30"/>
          <w:szCs w:val="30"/>
        </w:rPr>
        <w:t>；施工结束后及时对临时占地进行植被恢复，清理垃圾，根据因地制宜原则合理恢复场地；运行期，加大巡线频次，最大限度地控制事故的发生；加强应急预案建设。在管道运行过程中，制定泄漏事故专项应急预案。加强应急预案的培训和演练，使预案真正发挥作用。</w:t>
      </w:r>
    </w:p>
    <w:p>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2、施工期污染防治措施</w:t>
      </w:r>
    </w:p>
    <w:p>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（1）水污染防治措施</w:t>
      </w:r>
    </w:p>
    <w:p>
      <w:pPr>
        <w:pStyle w:val="2"/>
        <w:rPr>
          <w:rFonts w:hint="eastAsia" w:ascii="仿宋" w:hAnsi="仿宋" w:eastAsia="仿宋" w:cs="仿宋"/>
          <w:snapToGrid w:val="0"/>
          <w:color w:val="auto"/>
          <w:sz w:val="30"/>
          <w:szCs w:val="30"/>
          <w:lang w:val="en-US" w:eastAsia="zh-CN" w:bidi="ar-SA"/>
        </w:rPr>
      </w:pPr>
      <w:r>
        <w:rPr>
          <w:rFonts w:hint="eastAsia" w:ascii="仿宋" w:hAnsi="仿宋" w:eastAsia="仿宋" w:cs="仿宋"/>
          <w:snapToGrid w:val="0"/>
          <w:color w:val="auto"/>
          <w:sz w:val="30"/>
          <w:szCs w:val="30"/>
          <w:lang w:val="en-US" w:eastAsia="zh-CN" w:bidi="ar-SA"/>
        </w:rPr>
        <w:t>通过对公路工程中各项因素对水环境的影响分析，造成水污染通常是由于保护措施和施工工艺操作不规范造成的，通过严格的管理可以有效的减小和避免这一现象。例如在桥梁基础施工中采用沉淀循环技术这种新工艺可以很大程度的减少钻孔过程中的泥渣对水体造成影响，隧道施工中做好地质超前预测，判断地下水的位置;预制场、拌合站设置完善的污水处理措施等。</w:t>
      </w:r>
    </w:p>
    <w:p>
      <w:pPr>
        <w:pStyle w:val="2"/>
        <w:rPr>
          <w:rFonts w:hint="eastAsia" w:ascii="仿宋" w:hAnsi="仿宋" w:eastAsia="仿宋" w:cs="仿宋"/>
          <w:snapToGrid w:val="0"/>
          <w:color w:val="auto"/>
          <w:sz w:val="30"/>
          <w:szCs w:val="30"/>
          <w:lang w:val="en-US" w:eastAsia="zh-CN" w:bidi="ar-SA"/>
        </w:rPr>
      </w:pPr>
      <w:r>
        <w:rPr>
          <w:rFonts w:hint="eastAsia" w:ascii="仿宋" w:hAnsi="仿宋" w:eastAsia="仿宋" w:cs="仿宋"/>
          <w:snapToGrid w:val="0"/>
          <w:color w:val="auto"/>
          <w:sz w:val="30"/>
          <w:szCs w:val="30"/>
          <w:lang w:val="en-US" w:eastAsia="zh-CN" w:bidi="ar-SA"/>
        </w:rPr>
        <w:t>常用的水污染防治措施有现场的污水在经过沉淀池除去悬浮物，吸附油污，中和处理PH值后，才能排入公共水环境，经过二次沉淀后才能排入市政排水管网或者用作洒水降尘；设置截水墙、截水沟等措施将污染水封闭在一定范围内；在污染水中加人化学解毒剂，破坏有机化合物，促进降解；将已经污染的地下水抽出做净化处理，加速地下水的水质恢复。现场气焊产生的污水不能倾倒，要用专门的容器集中存放处理；生活用餐人数在100人以上时要有简易的隔油池，有害的废物不能用于地下填筑，以免污染地下水。</w:t>
      </w:r>
    </w:p>
    <w:p>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（2）废气的防治措施</w:t>
      </w:r>
    </w:p>
    <w:p>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对于施工生产过程中机械设备所产生的尾气、拆除阀室产生的扬尘、旧管道回收油品过程产生的烃类废气，该类源一般位于野外，具有排放量小、间歇性、短期性和流动性的特点，该类废气源对局部地区的环境影响较轻，不会造成太大的影响。施工单位对施工机械、车辆要定期保养，确保其处于良好的运行状态，使燃料能够充分燃烧，尽可能降低尾气的排放。</w:t>
      </w:r>
    </w:p>
    <w:p>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对于施工过程中产生的扬尘，采取定期清洗运输车辆和对作业面和土堆酒水的措施，使其保持一定湿度，作业带两侧设置围挡，降低施工期的粉尘散发量:加强料堆、土堆的防尘措施，设置围挡或设置专门库房堆放水泥等易散落的材料，并尽量减少搬运环节。大风天禁止施工作业，同时散体材料装卸必须采取防风遮挡等降尘措施。</w:t>
      </w:r>
    </w:p>
    <w:p>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（3）噪声的防治措施</w:t>
      </w:r>
    </w:p>
    <w:p>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施工中尽可能使用低噪声的施工机械，合理规划交通运输路线，适当降低车速，并严格控制作业时间，防止夜间发生噪声扰民现象:当需要连续施工时，在噪声源周围设置防护设施，尽可能降低对周边环境的影响。施工噪声是暂时的，施工结束后噪声即消失，对环境的影响也随之消失。</w:t>
      </w:r>
    </w:p>
    <w:p>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（4）固体废弃物</w:t>
      </w:r>
    </w:p>
    <w:p>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在施工现场设立定点垃圾堆放处，收集施工人员的生活垃圾，依托当地职能部门及时清运:施工队租住宾馆产生的生活垃圾依托市政垃圾回收处理。</w:t>
      </w:r>
    </w:p>
    <w:p>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在施工现场设立定点废料处，分类堆放，尽量重复利用，不能回收利用的依托当地职能部门及时有偿清运。</w:t>
      </w:r>
    </w:p>
    <w:p>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施工过程产生废弃土石方，尽量平衡处理，合理利用。</w:t>
      </w:r>
    </w:p>
    <w:p>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对于定向钻穿越工程产生的膨润土废泥浆，大部分都能回收再利用，不能回收的委托具有资质的单位进行固化处理，在当地环保部门指导下定点挖坑填埋或运至垃圾处理厂处理，同时恢复地表地貌。</w:t>
      </w:r>
    </w:p>
    <w:p>
      <w:pPr>
        <w:pStyle w:val="4"/>
        <w:keepNext w:val="0"/>
        <w:keepLines w:val="0"/>
        <w:widowControl w:val="0"/>
        <w:kinsoku/>
        <w:overflowPunct w:val="0"/>
        <w:spacing w:line="560" w:lineRule="exact"/>
        <w:ind w:firstLine="643" w:firstLineChars="200"/>
        <w:rPr>
          <w:rFonts w:hint="eastAsia" w:ascii="宋体" w:hAnsi="宋体" w:eastAsia="宋体" w:cs="宋体"/>
          <w:color w:val="auto"/>
          <w:szCs w:val="32"/>
        </w:rPr>
      </w:pPr>
      <w:bookmarkStart w:id="60" w:name="_Toc28540"/>
      <w:bookmarkStart w:id="61" w:name="_Toc4683"/>
      <w:r>
        <w:rPr>
          <w:rFonts w:hint="eastAsia" w:ascii="宋体" w:hAnsi="宋体" w:eastAsia="宋体" w:cs="宋体"/>
          <w:color w:val="auto"/>
          <w:szCs w:val="32"/>
        </w:rPr>
        <w:t>七、媒体舆情风险防范和化解措施</w:t>
      </w:r>
      <w:bookmarkEnd w:id="60"/>
      <w:bookmarkEnd w:id="61"/>
    </w:p>
    <w:p>
      <w:pPr>
        <w:widowControl w:val="0"/>
        <w:kinsoku/>
        <w:overflowPunct w:val="0"/>
        <w:spacing w:before="91" w:line="360" w:lineRule="auto"/>
        <w:ind w:right="119" w:firstLine="624" w:firstLineChars="200"/>
        <w:rPr>
          <w:rFonts w:hint="eastAsia" w:ascii="仿宋" w:hAnsi="仿宋" w:eastAsia="仿宋" w:cs="仿宋"/>
          <w:color w:val="auto"/>
          <w:sz w:val="30"/>
          <w:szCs w:val="30"/>
        </w:rPr>
      </w:pPr>
      <w:r>
        <w:rPr>
          <w:rFonts w:hint="eastAsia" w:ascii="仿宋" w:hAnsi="仿宋" w:eastAsia="仿宋" w:cs="仿宋"/>
          <w:color w:val="auto"/>
          <w:spacing w:val="6"/>
          <w:sz w:val="30"/>
          <w:szCs w:val="30"/>
        </w:rPr>
        <w:t>本项目立项阶段，通过网站等对本项目进行公示宣传。</w:t>
      </w:r>
      <w:r>
        <w:rPr>
          <w:rFonts w:hint="eastAsia" w:ascii="仿宋" w:hAnsi="仿宋" w:eastAsia="仿宋" w:cs="仿宋"/>
          <w:color w:val="auto"/>
          <w:sz w:val="30"/>
          <w:szCs w:val="30"/>
        </w:rPr>
        <w:t>通过前期调查，本项目得到大多数相关利益群体的支持。</w:t>
      </w:r>
      <w:r>
        <w:rPr>
          <w:rFonts w:hint="eastAsia" w:ascii="仿宋" w:hAnsi="仿宋" w:eastAsia="仿宋" w:cs="仿宋"/>
          <w:color w:val="auto"/>
          <w:spacing w:val="6"/>
          <w:sz w:val="30"/>
          <w:szCs w:val="30"/>
        </w:rPr>
        <w:t>本项目出现负面舆论的概率较低。</w:t>
      </w:r>
    </w:p>
    <w:p>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媒体舆情风险防范和化解措施如下：</w:t>
      </w:r>
    </w:p>
    <w:p>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1.重视民情民意，加强网络舆情监测和舆情风险评估。健全完善舆情监控机制，实时掌握舆情动态，适时合理处置。</w:t>
      </w:r>
    </w:p>
    <w:p>
      <w:pPr>
        <w:widowControl w:val="0"/>
        <w:kinsoku/>
        <w:overflowPunct w:val="0"/>
        <w:spacing w:before="91" w:line="360" w:lineRule="auto"/>
        <w:ind w:right="119" w:firstLine="624"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2.建立健全网络公关预警应急机制。应特别注意少数人员借媒体恶意炒作，运用各种媒体有组织性夸大工程的负面影</w:t>
      </w:r>
      <w:r>
        <w:rPr>
          <w:rFonts w:hint="eastAsia" w:ascii="仿宋" w:hAnsi="仿宋" w:eastAsia="仿宋" w:cs="仿宋"/>
          <w:color w:val="auto"/>
          <w:spacing w:val="-6"/>
          <w:sz w:val="30"/>
          <w:szCs w:val="30"/>
        </w:rPr>
        <w:t>响，有意曲解政策，提高群众期望值，煽动群众闹事，以期达到自己的目的。对这类情况，要制立处置预案，依法打击。</w:t>
      </w:r>
    </w:p>
    <w:p>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3.及时、主动公开信息。加强与村民的沟通和对话， 深入了解他们对项目的认知程度和变化情况，及时捕捉公众对项目的认知偏差，并采取有效引导机制进行纠正。</w:t>
      </w:r>
    </w:p>
    <w:p>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4.掌控信息源，掌握主导权。加强与当地基层政府、社区等基层组织的联系，构建畅通、常效的沟通机制。</w:t>
      </w:r>
    </w:p>
    <w:p>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5.抢占舆论制高点。建立有效的舆情引导机制，利用媒体主动正面引导。</w:t>
      </w:r>
    </w:p>
    <w:p>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 xml:space="preserve">6.增强舆论引导的有效性。加强与新闻媒体的沟通联系，不断提升善待媒体、善用媒体的能力和水平。                        </w:t>
      </w:r>
    </w:p>
    <w:p>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7.加强宣传。通过电视、广播、报纸等多种新闻媒体，继续加强项目的宣传，舆论先行，宣传该项目对社会长远利益及地方经济发展的正面影响。</w:t>
      </w:r>
    </w:p>
    <w:p>
      <w:pPr>
        <w:pStyle w:val="4"/>
        <w:spacing w:line="560" w:lineRule="exact"/>
        <w:ind w:firstLine="643" w:firstLineChars="200"/>
        <w:rPr>
          <w:rFonts w:ascii="宋体" w:hAnsi="宋体" w:eastAsia="宋体" w:cs="宋体"/>
          <w:color w:val="auto"/>
          <w:szCs w:val="32"/>
        </w:rPr>
      </w:pPr>
      <w:bookmarkStart w:id="62" w:name="_Toc14213"/>
      <w:r>
        <w:rPr>
          <w:rFonts w:hint="eastAsia" w:ascii="宋体" w:hAnsi="宋体" w:eastAsia="宋体" w:cs="宋体"/>
          <w:color w:val="auto"/>
          <w:szCs w:val="32"/>
        </w:rPr>
        <w:t>(五)后期风险防范和化解措施的工作</w:t>
      </w:r>
      <w:bookmarkEnd w:id="62"/>
    </w:p>
    <w:p>
      <w:pPr>
        <w:pStyle w:val="5"/>
        <w:spacing w:line="560" w:lineRule="exact"/>
        <w:ind w:firstLine="600" w:firstLineChars="200"/>
        <w:rPr>
          <w:b w:val="0"/>
          <w:bCs w:val="0"/>
          <w:color w:val="auto"/>
          <w:sz w:val="30"/>
          <w:szCs w:val="30"/>
        </w:rPr>
      </w:pPr>
      <w:bookmarkStart w:id="63" w:name="_Toc4249"/>
      <w:r>
        <w:rPr>
          <w:rFonts w:hint="eastAsia"/>
          <w:b w:val="0"/>
          <w:bCs w:val="0"/>
          <w:color w:val="auto"/>
          <w:sz w:val="30"/>
          <w:szCs w:val="30"/>
        </w:rPr>
        <w:t>1、重视社会稳定风险防范化解措施</w:t>
      </w:r>
      <w:bookmarkEnd w:id="63"/>
    </w:p>
    <w:p>
      <w:pPr>
        <w:pStyle w:val="2"/>
        <w:ind w:firstLine="576" w:firstLineChars="200"/>
        <w:rPr>
          <w:rFonts w:ascii="仿宋" w:hAnsi="仿宋" w:eastAsia="仿宋" w:cs="仿宋"/>
          <w:color w:val="auto"/>
          <w:sz w:val="30"/>
          <w:szCs w:val="30"/>
        </w:rPr>
      </w:pPr>
      <w:r>
        <w:rPr>
          <w:rFonts w:hint="eastAsia" w:ascii="仿宋" w:hAnsi="仿宋" w:eastAsia="仿宋" w:cs="仿宋"/>
          <w:color w:val="auto"/>
          <w:spacing w:val="-6"/>
          <w:sz w:val="30"/>
          <w:szCs w:val="30"/>
        </w:rPr>
        <w:t>在该项目的社会稳定风险分析调查中，为了降低风险，</w:t>
      </w:r>
      <w:r>
        <w:rPr>
          <w:rFonts w:hint="eastAsia" w:ascii="仿宋" w:hAnsi="仿宋" w:eastAsia="仿宋" w:cs="仿宋"/>
          <w:color w:val="auto"/>
          <w:sz w:val="30"/>
          <w:szCs w:val="30"/>
        </w:rPr>
        <w:t>提出若干社会稳定风险防范化解措施；在该</w:t>
      </w:r>
      <w:r>
        <w:rPr>
          <w:rFonts w:hint="eastAsia" w:ascii="仿宋" w:hAnsi="仿宋" w:eastAsia="仿宋" w:cs="仿宋"/>
          <w:color w:val="auto"/>
          <w:spacing w:val="-6"/>
          <w:sz w:val="30"/>
          <w:szCs w:val="30"/>
        </w:rPr>
        <w:t>项目</w:t>
      </w:r>
      <w:r>
        <w:rPr>
          <w:rFonts w:hint="eastAsia" w:ascii="仿宋" w:hAnsi="仿宋" w:eastAsia="仿宋" w:cs="仿宋"/>
          <w:color w:val="auto"/>
          <w:sz w:val="30"/>
          <w:szCs w:val="30"/>
        </w:rPr>
        <w:t>的社会稳定风险评估报告中，对社会稳定风险分析调查中提出的风险防范化解措施进行评估、补充和完善。社会稳定风险评估报告一经政府有关部门审查通过，其中提出的相关社会稳定风险防范化解措施就应落到实处，切忌“评而不用” 。</w:t>
      </w:r>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 xml:space="preserve"> 因此，在此之前，项目承建方应仔细的对分析调查和社会稳定风险评估报告提出的社会稳定风险防范化解措施予以仔细研究，并与相关文件编制单位及时沟通，确保风险防范化解措施合法、合理，经济技术可行、有效。</w:t>
      </w:r>
    </w:p>
    <w:p>
      <w:pPr>
        <w:pStyle w:val="5"/>
        <w:spacing w:line="560" w:lineRule="exact"/>
        <w:ind w:firstLine="600" w:firstLineChars="200"/>
        <w:rPr>
          <w:b w:val="0"/>
          <w:bCs w:val="0"/>
          <w:color w:val="auto"/>
          <w:sz w:val="30"/>
          <w:szCs w:val="30"/>
        </w:rPr>
      </w:pPr>
      <w:bookmarkStart w:id="64" w:name="_Toc18436"/>
      <w:r>
        <w:rPr>
          <w:rFonts w:hint="eastAsia"/>
          <w:b w:val="0"/>
          <w:bCs w:val="0"/>
          <w:color w:val="auto"/>
          <w:sz w:val="30"/>
          <w:szCs w:val="30"/>
        </w:rPr>
        <w:t>2、建立维稳联动机制，制定相关应急预案</w:t>
      </w:r>
      <w:bookmarkEnd w:id="64"/>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根据相关维稳经验，化解社会稳定风险的最好办法是施工单位与政府相关部门一起建立维稳联动机制，协同落实防范化解措施。建议建设单位建立健全社会稳定风险的应急处置预案并与当地政府社会稳定风险应急处置预案相衔接。对于应急处置预案应遵循的原则如下：</w:t>
      </w:r>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（1）结合项目承建方单位的工作实际情况，制定维稳工作应急预案；</w:t>
      </w:r>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pacing w:val="-6"/>
          <w:sz w:val="30"/>
          <w:szCs w:val="30"/>
        </w:rPr>
        <w:t>2）预防为主。建立健全矛盾纠纷排查调处机制，做到早发现、早报告、早控制、早解决，将问题解决在土地征收前，</w:t>
      </w:r>
      <w:r>
        <w:rPr>
          <w:rFonts w:hint="eastAsia" w:ascii="仿宋" w:hAnsi="仿宋" w:eastAsia="仿宋" w:cs="仿宋"/>
          <w:color w:val="auto"/>
          <w:sz w:val="30"/>
          <w:szCs w:val="30"/>
        </w:rPr>
        <w:t>把矛盾化解在萌芽状态；</w:t>
      </w:r>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（3）建立土地征收快速反应机制，一旦发现问题，及时上报、及时处理，做到反应快速，应对正确，不使矛盾扩大化</w:t>
      </w:r>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（4）建立维稳工作组织结构及职责，明确维稳工作指挥机构的总指挥和主要负责人等；</w:t>
      </w:r>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（5）依靠群众、群防群治，处置过程中自始至终要依靠群众，要充分发挥群众的作用；统一领导、谁主管、谁负责，密切配合处置好社会稳定风险事件；</w:t>
      </w:r>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（6）与当地政府密切配合，明确与当地政府的维稳接洽等。</w:t>
      </w:r>
    </w:p>
    <w:p>
      <w:pPr>
        <w:pStyle w:val="5"/>
        <w:spacing w:line="560" w:lineRule="exact"/>
        <w:ind w:firstLine="600" w:firstLineChars="200"/>
        <w:rPr>
          <w:b w:val="0"/>
          <w:bCs w:val="0"/>
          <w:color w:val="auto"/>
          <w:sz w:val="30"/>
          <w:szCs w:val="30"/>
        </w:rPr>
      </w:pPr>
      <w:bookmarkStart w:id="65" w:name="_Toc17146"/>
      <w:r>
        <w:rPr>
          <w:rFonts w:hint="eastAsia"/>
          <w:b w:val="0"/>
          <w:bCs w:val="0"/>
          <w:color w:val="auto"/>
          <w:sz w:val="30"/>
          <w:szCs w:val="30"/>
        </w:rPr>
        <w:t>3、落实措施后的风险等级确定</w:t>
      </w:r>
      <w:bookmarkEnd w:id="65"/>
    </w:p>
    <w:p>
      <w:pPr>
        <w:pStyle w:val="2"/>
        <w:ind w:firstLine="813"/>
        <w:rPr>
          <w:rFonts w:ascii="仿宋" w:hAnsi="仿宋" w:eastAsia="仿宋" w:cs="仿宋"/>
          <w:color w:val="auto"/>
          <w:sz w:val="30"/>
          <w:szCs w:val="30"/>
        </w:rPr>
      </w:pPr>
      <w:r>
        <w:rPr>
          <w:rFonts w:hint="eastAsia" w:ascii="仿宋" w:hAnsi="仿宋" w:eastAsia="仿宋" w:cs="仿宋"/>
          <w:color w:val="auto"/>
          <w:sz w:val="30"/>
          <w:szCs w:val="30"/>
        </w:rPr>
        <w:t>风险等级确定是在充分考虑风险防范和化解措施后，对该项目风险等级的判断。本项目的风险防范和化解措施在充分考虑该项目的特点、环境和项目所在地已发生过的风险事件特征的基础上提出，具有较强的针对性、可行性和有效性。</w:t>
      </w:r>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“评估报告”提出，该土地征收落实各项风险防范和化解措施后，综合风险指数可由采取措施前的0.</w:t>
      </w:r>
      <w:r>
        <w:rPr>
          <w:rFonts w:hint="eastAsia" w:ascii="仿宋" w:hAnsi="仿宋" w:eastAsia="仿宋" w:cs="仿宋"/>
          <w:color w:val="auto"/>
          <w:sz w:val="30"/>
          <w:szCs w:val="30"/>
          <w:lang w:val="en-US" w:eastAsia="zh-CN"/>
        </w:rPr>
        <w:t>3796</w:t>
      </w:r>
      <w:r>
        <w:rPr>
          <w:rFonts w:hint="eastAsia" w:ascii="仿宋" w:hAnsi="仿宋" w:eastAsia="仿宋" w:cs="仿宋"/>
          <w:color w:val="auto"/>
          <w:sz w:val="30"/>
          <w:szCs w:val="30"/>
        </w:rPr>
        <w:t>降为0.</w:t>
      </w:r>
      <w:r>
        <w:rPr>
          <w:rFonts w:hint="eastAsia" w:ascii="仿宋" w:hAnsi="仿宋" w:eastAsia="仿宋" w:cs="仿宋"/>
          <w:color w:val="auto"/>
          <w:sz w:val="30"/>
          <w:szCs w:val="30"/>
          <w:lang w:val="en-US" w:eastAsia="zh-CN"/>
        </w:rPr>
        <w:t>1752</w:t>
      </w:r>
      <w:r>
        <w:rPr>
          <w:rFonts w:hint="eastAsia" w:ascii="仿宋" w:hAnsi="仿宋" w:eastAsia="仿宋" w:cs="仿宋"/>
          <w:color w:val="auto"/>
          <w:sz w:val="30"/>
          <w:szCs w:val="30"/>
        </w:rPr>
        <w:t>。</w:t>
      </w:r>
    </w:p>
    <w:p>
      <w:pPr>
        <w:pStyle w:val="2"/>
        <w:rPr>
          <w:color w:val="auto"/>
        </w:rPr>
      </w:pPr>
    </w:p>
    <w:p>
      <w:pPr>
        <w:spacing w:before="91" w:line="360" w:lineRule="auto"/>
        <w:ind w:right="119"/>
        <w:jc w:val="center"/>
        <w:rPr>
          <w:color w:val="auto"/>
        </w:rPr>
      </w:pPr>
      <w:r>
        <w:rPr>
          <w:rFonts w:hint="eastAsia" w:ascii="仿宋" w:hAnsi="仿宋" w:eastAsia="仿宋" w:cs="仿宋"/>
          <w:color w:val="auto"/>
          <w:sz w:val="30"/>
          <w:szCs w:val="30"/>
        </w:rPr>
        <w:t>主要风险因素和程度汇总表（采取措施后）</w:t>
      </w:r>
    </w:p>
    <w:tbl>
      <w:tblPr>
        <w:tblStyle w:val="19"/>
        <w:tblpPr w:leftFromText="180" w:rightFromText="180" w:vertAnchor="text" w:horzAnchor="page" w:tblpX="2282" w:tblpY="150"/>
        <w:tblOverlap w:val="never"/>
        <w:tblW w:w="722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2756"/>
        <w:gridCol w:w="1177"/>
        <w:gridCol w:w="1310"/>
        <w:gridCol w:w="14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99" w:type="dxa"/>
            <w:vAlign w:val="center"/>
          </w:tcPr>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highlight w:val="none"/>
                <w:lang w:bidi="ar"/>
              </w:rPr>
              <w:t>序号</w:t>
            </w:r>
          </w:p>
        </w:tc>
        <w:tc>
          <w:tcPr>
            <w:tcW w:w="2756" w:type="dxa"/>
            <w:vAlign w:val="center"/>
          </w:tcPr>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highlight w:val="none"/>
                <w:lang w:bidi="ar"/>
              </w:rPr>
              <w:t>风险因素（</w:t>
            </w:r>
            <w:r>
              <w:rPr>
                <w:rStyle w:val="29"/>
                <w:rFonts w:eastAsia="宋体"/>
                <w:color w:val="auto"/>
                <w:highlight w:val="none"/>
                <w:lang w:bidi="ar"/>
              </w:rPr>
              <w:t>W</w:t>
            </w:r>
            <w:r>
              <w:rPr>
                <w:rFonts w:hint="eastAsia" w:ascii="宋体" w:hAnsi="宋体" w:eastAsia="宋体" w:cs="宋体"/>
                <w:color w:val="auto"/>
                <w:highlight w:val="none"/>
                <w:lang w:bidi="ar"/>
              </w:rPr>
              <w:t>）</w:t>
            </w:r>
          </w:p>
        </w:tc>
        <w:tc>
          <w:tcPr>
            <w:tcW w:w="1177" w:type="dxa"/>
            <w:vAlign w:val="center"/>
          </w:tcPr>
          <w:p>
            <w:pPr>
              <w:widowControl w:val="0"/>
              <w:kinsoku/>
              <w:overflowPunct w:val="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风险概率（%）</w:t>
            </w:r>
          </w:p>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highlight w:val="none"/>
                <w:lang w:bidi="ar"/>
              </w:rPr>
              <w:t>（P）</w:t>
            </w:r>
          </w:p>
        </w:tc>
        <w:tc>
          <w:tcPr>
            <w:tcW w:w="1310" w:type="dxa"/>
            <w:vAlign w:val="center"/>
          </w:tcPr>
          <w:p>
            <w:pPr>
              <w:widowControl w:val="0"/>
              <w:kinsoku/>
              <w:overflowPunct w:val="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影响程度（%）</w:t>
            </w:r>
          </w:p>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highlight w:val="none"/>
                <w:lang w:bidi="ar"/>
              </w:rPr>
              <w:t>（Q）</w:t>
            </w:r>
          </w:p>
        </w:tc>
        <w:tc>
          <w:tcPr>
            <w:tcW w:w="1484" w:type="dxa"/>
            <w:vAlign w:val="center"/>
          </w:tcPr>
          <w:p>
            <w:pPr>
              <w:widowControl w:val="0"/>
              <w:kinsoku/>
              <w:overflowPunct w:val="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风险程度</w:t>
            </w:r>
          </w:p>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highlight w:val="none"/>
                <w:lang w:bidi="ar"/>
              </w:rPr>
              <w:t>（R）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99" w:type="dxa"/>
            <w:vAlign w:val="center"/>
          </w:tcPr>
          <w:p>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1</w:t>
            </w:r>
          </w:p>
        </w:tc>
        <w:tc>
          <w:tcPr>
            <w:tcW w:w="2756" w:type="dxa"/>
            <w:vAlign w:val="center"/>
          </w:tcPr>
          <w:p>
            <w:pPr>
              <w:jc w:val="center"/>
              <w:textAlignment w:val="center"/>
              <w:rPr>
                <w:rFonts w:ascii="宋体" w:hAnsi="宋体" w:eastAsia="宋体" w:cs="宋体"/>
                <w:color w:val="auto"/>
              </w:rPr>
            </w:pPr>
            <w:r>
              <w:rPr>
                <w:rFonts w:hint="eastAsia" w:ascii="宋体" w:hAnsi="宋体" w:eastAsia="宋体" w:cs="宋体"/>
                <w:color w:val="auto"/>
                <w:highlight w:val="none"/>
                <w:lang w:bidi="ar"/>
              </w:rPr>
              <w:t>项目规划和审批风险</w:t>
            </w:r>
          </w:p>
        </w:tc>
        <w:tc>
          <w:tcPr>
            <w:tcW w:w="1177"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15</w:t>
            </w:r>
          </w:p>
        </w:tc>
        <w:tc>
          <w:tcPr>
            <w:tcW w:w="1310"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21</w:t>
            </w:r>
          </w:p>
        </w:tc>
        <w:tc>
          <w:tcPr>
            <w:tcW w:w="1484"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0.0315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6" w:hRule="atLeast"/>
        </w:trPr>
        <w:tc>
          <w:tcPr>
            <w:tcW w:w="499" w:type="dxa"/>
            <w:vAlign w:val="center"/>
          </w:tcPr>
          <w:p>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2</w:t>
            </w:r>
          </w:p>
        </w:tc>
        <w:tc>
          <w:tcPr>
            <w:tcW w:w="2756" w:type="dxa"/>
            <w:vAlign w:val="center"/>
          </w:tcPr>
          <w:p>
            <w:pPr>
              <w:jc w:val="center"/>
              <w:textAlignment w:val="center"/>
              <w:rPr>
                <w:rFonts w:ascii="宋体" w:hAnsi="宋体" w:eastAsia="宋体" w:cs="宋体"/>
                <w:color w:val="auto"/>
              </w:rPr>
            </w:pPr>
            <w:r>
              <w:rPr>
                <w:rFonts w:hint="eastAsia" w:ascii="宋体" w:hAnsi="宋体" w:eastAsia="宋体" w:cs="宋体"/>
                <w:color w:val="auto"/>
                <w:highlight w:val="none"/>
                <w:lang w:bidi="ar"/>
              </w:rPr>
              <w:t>建设实施风险</w:t>
            </w:r>
          </w:p>
        </w:tc>
        <w:tc>
          <w:tcPr>
            <w:tcW w:w="1177"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54</w:t>
            </w:r>
          </w:p>
        </w:tc>
        <w:tc>
          <w:tcPr>
            <w:tcW w:w="1310"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58</w:t>
            </w:r>
          </w:p>
        </w:tc>
        <w:tc>
          <w:tcPr>
            <w:tcW w:w="1484"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0.3132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99" w:type="dxa"/>
            <w:vAlign w:val="center"/>
          </w:tcPr>
          <w:p>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3</w:t>
            </w:r>
          </w:p>
        </w:tc>
        <w:tc>
          <w:tcPr>
            <w:tcW w:w="2756" w:type="dxa"/>
            <w:vAlign w:val="center"/>
          </w:tcPr>
          <w:p>
            <w:pPr>
              <w:jc w:val="center"/>
              <w:textAlignment w:val="center"/>
              <w:rPr>
                <w:rFonts w:ascii="宋体" w:hAnsi="宋体" w:eastAsia="宋体" w:cs="宋体"/>
                <w:color w:val="auto"/>
              </w:rPr>
            </w:pPr>
            <w:r>
              <w:rPr>
                <w:rFonts w:hint="eastAsia" w:ascii="宋体" w:hAnsi="宋体" w:eastAsia="宋体" w:cs="宋体"/>
                <w:color w:val="auto"/>
                <w:highlight w:val="none"/>
                <w:lang w:bidi="ar"/>
              </w:rPr>
              <w:t>项目管理风险</w:t>
            </w:r>
          </w:p>
        </w:tc>
        <w:tc>
          <w:tcPr>
            <w:tcW w:w="1177"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35</w:t>
            </w:r>
          </w:p>
        </w:tc>
        <w:tc>
          <w:tcPr>
            <w:tcW w:w="1310"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37</w:t>
            </w:r>
          </w:p>
        </w:tc>
        <w:tc>
          <w:tcPr>
            <w:tcW w:w="1484"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0.1295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99" w:type="dxa"/>
            <w:vAlign w:val="center"/>
          </w:tcPr>
          <w:p>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4</w:t>
            </w:r>
          </w:p>
        </w:tc>
        <w:tc>
          <w:tcPr>
            <w:tcW w:w="2756" w:type="dxa"/>
            <w:vAlign w:val="center"/>
          </w:tcPr>
          <w:p>
            <w:pPr>
              <w:jc w:val="center"/>
              <w:textAlignment w:val="center"/>
              <w:rPr>
                <w:rFonts w:ascii="Times New Roman" w:hAnsi="Times New Roman" w:eastAsia="Times New Roman" w:cs="Times New Roman"/>
                <w:color w:val="auto"/>
              </w:rPr>
            </w:pPr>
            <w:r>
              <w:rPr>
                <w:rFonts w:hint="eastAsia" w:ascii="宋体" w:hAnsi="宋体" w:eastAsia="宋体" w:cs="宋体"/>
                <w:color w:val="auto"/>
                <w:highlight w:val="none"/>
                <w:lang w:bidi="ar"/>
              </w:rPr>
              <w:t>资金保障风险</w:t>
            </w:r>
          </w:p>
        </w:tc>
        <w:tc>
          <w:tcPr>
            <w:tcW w:w="1177"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18</w:t>
            </w:r>
          </w:p>
        </w:tc>
        <w:tc>
          <w:tcPr>
            <w:tcW w:w="1310"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19</w:t>
            </w:r>
          </w:p>
        </w:tc>
        <w:tc>
          <w:tcPr>
            <w:tcW w:w="1484"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0.0342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499" w:type="dxa"/>
            <w:vAlign w:val="center"/>
          </w:tcPr>
          <w:p>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5</w:t>
            </w:r>
          </w:p>
        </w:tc>
        <w:tc>
          <w:tcPr>
            <w:tcW w:w="2756" w:type="dxa"/>
            <w:vAlign w:val="center"/>
          </w:tcPr>
          <w:p>
            <w:pPr>
              <w:jc w:val="center"/>
              <w:textAlignment w:val="center"/>
              <w:rPr>
                <w:rFonts w:ascii="宋体" w:hAnsi="宋体" w:eastAsia="宋体" w:cs="宋体"/>
                <w:color w:val="auto"/>
              </w:rPr>
            </w:pPr>
            <w:r>
              <w:rPr>
                <w:rFonts w:hint="eastAsia" w:ascii="宋体" w:hAnsi="宋体" w:eastAsia="宋体" w:cs="宋体"/>
                <w:color w:val="auto"/>
                <w:highlight w:val="none"/>
                <w:lang w:bidi="ar"/>
              </w:rPr>
              <w:t>宏观经济社会环境风险</w:t>
            </w:r>
          </w:p>
        </w:tc>
        <w:tc>
          <w:tcPr>
            <w:tcW w:w="1177" w:type="dxa"/>
            <w:vAlign w:val="center"/>
          </w:tcPr>
          <w:p>
            <w:pPr>
              <w:jc w:val="center"/>
              <w:textAlignment w:val="center"/>
              <w:rPr>
                <w:rFonts w:ascii="Times New Roman" w:hAnsi="Times New Roman" w:eastAsia="宋体" w:cs="Times New Roman"/>
                <w:color w:val="auto"/>
                <w:sz w:val="19"/>
                <w:szCs w:val="19"/>
                <w:lang w:bidi="ar"/>
              </w:rPr>
            </w:pPr>
            <w:r>
              <w:rPr>
                <w:rFonts w:hint="eastAsia" w:ascii="Times New Roman" w:hAnsi="Times New Roman" w:eastAsia="等线" w:cs="Times New Roman"/>
                <w:color w:val="auto"/>
                <w:sz w:val="19"/>
                <w:szCs w:val="19"/>
                <w:highlight w:val="none"/>
                <w:lang w:val="en-US" w:eastAsia="zh-CN" w:bidi="ar"/>
              </w:rPr>
              <w:t>30</w:t>
            </w:r>
          </w:p>
        </w:tc>
        <w:tc>
          <w:tcPr>
            <w:tcW w:w="1310" w:type="dxa"/>
            <w:vAlign w:val="center"/>
          </w:tcPr>
          <w:p>
            <w:pPr>
              <w:jc w:val="center"/>
              <w:textAlignment w:val="center"/>
              <w:rPr>
                <w:rFonts w:ascii="Times New Roman" w:hAnsi="Times New Roman" w:eastAsia="宋体" w:cs="Times New Roman"/>
                <w:color w:val="auto"/>
                <w:sz w:val="19"/>
                <w:szCs w:val="19"/>
                <w:lang w:bidi="ar"/>
              </w:rPr>
            </w:pPr>
            <w:r>
              <w:rPr>
                <w:rFonts w:hint="eastAsia" w:ascii="Times New Roman" w:hAnsi="Times New Roman" w:eastAsia="等线" w:cs="Times New Roman"/>
                <w:color w:val="auto"/>
                <w:sz w:val="19"/>
                <w:szCs w:val="19"/>
                <w:highlight w:val="none"/>
                <w:lang w:val="en-US" w:eastAsia="zh-CN" w:bidi="ar"/>
              </w:rPr>
              <w:t>34</w:t>
            </w:r>
          </w:p>
        </w:tc>
        <w:tc>
          <w:tcPr>
            <w:tcW w:w="1484"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w:t>
            </w:r>
            <w:r>
              <w:rPr>
                <w:rFonts w:hint="eastAsia" w:ascii="Times New Roman" w:hAnsi="Times New Roman" w:eastAsia="等线" w:cs="Times New Roman"/>
                <w:color w:val="auto"/>
                <w:sz w:val="19"/>
                <w:szCs w:val="19"/>
                <w:highlight w:val="none"/>
                <w:lang w:val="en-US" w:eastAsia="zh-CN" w:bidi="ar"/>
              </w:rPr>
              <w:t>1020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99" w:type="dxa"/>
            <w:vAlign w:val="center"/>
          </w:tcPr>
          <w:p>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6</w:t>
            </w:r>
          </w:p>
        </w:tc>
        <w:tc>
          <w:tcPr>
            <w:tcW w:w="2756" w:type="dxa"/>
            <w:vAlign w:val="center"/>
          </w:tcPr>
          <w:p>
            <w:pPr>
              <w:jc w:val="center"/>
              <w:textAlignment w:val="center"/>
              <w:rPr>
                <w:rFonts w:ascii="宋体" w:hAnsi="宋体" w:eastAsia="宋体" w:cs="宋体"/>
                <w:color w:val="auto"/>
              </w:rPr>
            </w:pPr>
            <w:r>
              <w:rPr>
                <w:rFonts w:hint="eastAsia" w:ascii="宋体" w:hAnsi="宋体" w:eastAsia="宋体" w:cs="宋体"/>
                <w:color w:val="auto"/>
                <w:highlight w:val="none"/>
                <w:lang w:bidi="ar"/>
              </w:rPr>
              <w:t>生态环境影响风险</w:t>
            </w:r>
          </w:p>
        </w:tc>
        <w:tc>
          <w:tcPr>
            <w:tcW w:w="1177"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58</w:t>
            </w:r>
          </w:p>
        </w:tc>
        <w:tc>
          <w:tcPr>
            <w:tcW w:w="1310"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60</w:t>
            </w:r>
          </w:p>
        </w:tc>
        <w:tc>
          <w:tcPr>
            <w:tcW w:w="1484" w:type="dxa"/>
            <w:vAlign w:val="center"/>
          </w:tcPr>
          <w:p>
            <w:pPr>
              <w:jc w:val="center"/>
              <w:textAlignment w:val="center"/>
              <w:rPr>
                <w:rFonts w:hint="eastAsia" w:ascii="Times New Roman" w:hAnsi="Times New Roman" w:eastAsia="等线" w:cs="Times New Roman"/>
                <w:color w:val="auto"/>
                <w:sz w:val="19"/>
                <w:szCs w:val="19"/>
                <w:lang w:val="en-US" w:eastAsia="zh-CN" w:bidi="ar"/>
              </w:rPr>
            </w:pPr>
            <w:r>
              <w:rPr>
                <w:rFonts w:ascii="Times New Roman" w:hAnsi="Times New Roman" w:eastAsia="等线" w:cs="Times New Roman"/>
                <w:color w:val="auto"/>
                <w:sz w:val="19"/>
                <w:szCs w:val="19"/>
                <w:highlight w:val="none"/>
                <w:lang w:bidi="ar"/>
              </w:rPr>
              <w:t>0.348</w:t>
            </w:r>
            <w:r>
              <w:rPr>
                <w:rFonts w:hint="eastAsia" w:ascii="Times New Roman" w:hAnsi="Times New Roman" w:eastAsia="等线" w:cs="Times New Roman"/>
                <w:color w:val="auto"/>
                <w:sz w:val="19"/>
                <w:szCs w:val="19"/>
                <w:highlight w:val="none"/>
                <w:lang w:val="en-US" w:eastAsia="zh-CN" w:bidi="ar"/>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499" w:type="dxa"/>
            <w:vAlign w:val="center"/>
          </w:tcPr>
          <w:p>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7</w:t>
            </w:r>
          </w:p>
        </w:tc>
        <w:tc>
          <w:tcPr>
            <w:tcW w:w="2756" w:type="dxa"/>
            <w:vAlign w:val="center"/>
          </w:tcPr>
          <w:p>
            <w:pPr>
              <w:jc w:val="center"/>
              <w:textAlignment w:val="center"/>
              <w:rPr>
                <w:rFonts w:ascii="宋体" w:hAnsi="宋体" w:eastAsia="宋体" w:cs="宋体"/>
                <w:color w:val="auto"/>
              </w:rPr>
            </w:pPr>
            <w:r>
              <w:rPr>
                <w:rFonts w:hint="eastAsia" w:ascii="宋体" w:hAnsi="宋体" w:eastAsia="宋体" w:cs="宋体"/>
                <w:color w:val="auto"/>
                <w:highlight w:val="none"/>
                <w:lang w:bidi="ar"/>
              </w:rPr>
              <w:t>媒体舆情风险</w:t>
            </w:r>
          </w:p>
        </w:tc>
        <w:tc>
          <w:tcPr>
            <w:tcW w:w="1177"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18</w:t>
            </w:r>
          </w:p>
        </w:tc>
        <w:tc>
          <w:tcPr>
            <w:tcW w:w="1310" w:type="dxa"/>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20</w:t>
            </w:r>
          </w:p>
        </w:tc>
        <w:tc>
          <w:tcPr>
            <w:tcW w:w="1484" w:type="dxa"/>
            <w:vAlign w:val="center"/>
          </w:tcPr>
          <w:p>
            <w:pPr>
              <w:jc w:val="center"/>
              <w:textAlignment w:val="center"/>
              <w:rPr>
                <w:rFonts w:hint="default" w:ascii="Times New Roman" w:hAnsi="Times New Roman" w:eastAsia="等线" w:cs="Times New Roman"/>
                <w:color w:val="auto"/>
                <w:sz w:val="19"/>
                <w:szCs w:val="19"/>
                <w:lang w:val="en-US" w:eastAsia="zh-CN" w:bidi="ar"/>
              </w:rPr>
            </w:pPr>
            <w:r>
              <w:rPr>
                <w:rFonts w:ascii="Times New Roman" w:hAnsi="Times New Roman" w:eastAsia="等线" w:cs="Times New Roman"/>
                <w:color w:val="auto"/>
                <w:sz w:val="19"/>
                <w:szCs w:val="19"/>
                <w:highlight w:val="none"/>
                <w:lang w:bidi="ar"/>
              </w:rPr>
              <w:t>0.036</w:t>
            </w:r>
            <w:r>
              <w:rPr>
                <w:rFonts w:hint="eastAsia" w:ascii="Times New Roman" w:hAnsi="Times New Roman" w:eastAsia="等线" w:cs="Times New Roman"/>
                <w:color w:val="auto"/>
                <w:sz w:val="19"/>
                <w:szCs w:val="19"/>
                <w:highlight w:val="none"/>
                <w:lang w:val="en-US" w:eastAsia="zh-CN" w:bidi="ar"/>
              </w:rPr>
              <w:t>0</w:t>
            </w:r>
          </w:p>
        </w:tc>
      </w:tr>
    </w:tbl>
    <w:p>
      <w:pPr>
        <w:pStyle w:val="2"/>
        <w:ind w:firstLine="0" w:firstLineChars="0"/>
        <w:rPr>
          <w:color w:val="auto"/>
        </w:rPr>
      </w:pPr>
    </w:p>
    <w:p>
      <w:pPr>
        <w:spacing w:line="305" w:lineRule="auto"/>
        <w:rPr>
          <w:rFonts w:ascii="宋体"/>
          <w:color w:val="auto"/>
        </w:rPr>
      </w:pPr>
    </w:p>
    <w:p>
      <w:pPr>
        <w:pStyle w:val="2"/>
        <w:rPr>
          <w:color w:val="auto"/>
        </w:rPr>
      </w:pPr>
    </w:p>
    <w:p>
      <w:pPr>
        <w:spacing w:before="91" w:line="185" w:lineRule="auto"/>
        <w:ind w:firstLine="691" w:firstLineChars="247"/>
        <w:rPr>
          <w:rFonts w:ascii="Times New Roman" w:hAnsi="Times New Roman" w:eastAsia="Times New Roman" w:cs="Times New Roman"/>
          <w:color w:val="auto"/>
          <w:sz w:val="28"/>
          <w:szCs w:val="28"/>
        </w:rPr>
      </w:pPr>
    </w:p>
    <w:p>
      <w:pPr>
        <w:spacing w:before="91" w:line="185" w:lineRule="auto"/>
        <w:ind w:firstLine="691" w:firstLineChars="247"/>
        <w:rPr>
          <w:rFonts w:ascii="Times New Roman" w:hAnsi="Times New Roman" w:eastAsia="Times New Roman" w:cs="Times New Roman"/>
          <w:color w:val="auto"/>
          <w:sz w:val="28"/>
          <w:szCs w:val="28"/>
        </w:rPr>
      </w:pPr>
    </w:p>
    <w:p>
      <w:pPr>
        <w:spacing w:before="91" w:line="185" w:lineRule="auto"/>
        <w:ind w:firstLine="691" w:firstLineChars="247"/>
        <w:rPr>
          <w:rFonts w:ascii="Times New Roman" w:hAnsi="Times New Roman" w:eastAsia="Times New Roman" w:cs="Times New Roman"/>
          <w:color w:val="auto"/>
          <w:sz w:val="28"/>
          <w:szCs w:val="28"/>
        </w:rPr>
      </w:pPr>
    </w:p>
    <w:p>
      <w:pPr>
        <w:spacing w:before="91" w:line="185" w:lineRule="auto"/>
        <w:ind w:firstLine="691" w:firstLineChars="247"/>
        <w:rPr>
          <w:rFonts w:ascii="Times New Roman" w:hAnsi="Times New Roman" w:eastAsia="Times New Roman" w:cs="Times New Roman"/>
          <w:color w:val="auto"/>
          <w:sz w:val="28"/>
          <w:szCs w:val="28"/>
        </w:rPr>
      </w:pPr>
    </w:p>
    <w:p>
      <w:pPr>
        <w:spacing w:before="91" w:line="185" w:lineRule="auto"/>
        <w:ind w:firstLine="691" w:firstLineChars="247"/>
        <w:rPr>
          <w:rFonts w:ascii="Times New Roman" w:hAnsi="Times New Roman" w:eastAsia="Times New Roman" w:cs="Times New Roman"/>
          <w:color w:val="auto"/>
          <w:sz w:val="28"/>
          <w:szCs w:val="28"/>
        </w:rPr>
      </w:pPr>
    </w:p>
    <w:p>
      <w:pPr>
        <w:spacing w:before="91" w:line="185" w:lineRule="auto"/>
        <w:ind w:firstLine="691" w:firstLineChars="247"/>
        <w:rPr>
          <w:rFonts w:ascii="Times New Roman" w:hAnsi="Times New Roman" w:eastAsia="Times New Roman" w:cs="Times New Roman"/>
          <w:color w:val="auto"/>
          <w:sz w:val="28"/>
          <w:szCs w:val="28"/>
        </w:rPr>
      </w:pPr>
    </w:p>
    <w:p>
      <w:pPr>
        <w:spacing w:before="91" w:line="185" w:lineRule="auto"/>
        <w:ind w:firstLine="691" w:firstLineChars="247"/>
        <w:rPr>
          <w:rFonts w:ascii="Times New Roman" w:hAnsi="Times New Roman" w:eastAsia="Times New Roman" w:cs="Times New Roman"/>
          <w:color w:val="auto"/>
          <w:sz w:val="28"/>
          <w:szCs w:val="28"/>
        </w:rPr>
      </w:pPr>
    </w:p>
    <w:p>
      <w:pPr>
        <w:spacing w:before="91" w:line="185" w:lineRule="auto"/>
        <w:ind w:firstLine="691" w:firstLineChars="247"/>
        <w:rPr>
          <w:rFonts w:ascii="Times New Roman" w:hAnsi="Times New Roman" w:eastAsia="Times New Roman" w:cs="Times New Roman"/>
          <w:color w:val="auto"/>
          <w:sz w:val="28"/>
          <w:szCs w:val="28"/>
        </w:rPr>
      </w:pPr>
    </w:p>
    <w:p>
      <w:pPr>
        <w:spacing w:before="91" w:line="185" w:lineRule="auto"/>
        <w:ind w:firstLine="691" w:firstLineChars="247"/>
        <w:rPr>
          <w:rFonts w:ascii="Times New Roman" w:hAnsi="Times New Roman" w:eastAsia="Times New Roman" w:cs="Times New Roman"/>
          <w:color w:val="auto"/>
          <w:sz w:val="28"/>
          <w:szCs w:val="28"/>
        </w:rPr>
      </w:pPr>
    </w:p>
    <w:p>
      <w:pPr>
        <w:spacing w:before="91" w:line="360" w:lineRule="auto"/>
        <w:ind w:right="119"/>
        <w:rPr>
          <w:rFonts w:ascii="仿宋" w:hAnsi="仿宋" w:eastAsia="仿宋" w:cs="仿宋"/>
          <w:color w:val="auto"/>
          <w:sz w:val="30"/>
          <w:szCs w:val="30"/>
        </w:rPr>
      </w:pPr>
      <w:r>
        <w:rPr>
          <w:rFonts w:hint="eastAsia" w:ascii="仿宋" w:hAnsi="仿宋" w:eastAsia="仿宋" w:cs="仿宋"/>
          <w:color w:val="auto"/>
          <w:sz w:val="30"/>
          <w:szCs w:val="30"/>
        </w:rPr>
        <w:t xml:space="preserve"> </w:t>
      </w:r>
    </w:p>
    <w:p>
      <w:pPr>
        <w:spacing w:before="91" w:line="360" w:lineRule="auto"/>
        <w:ind w:right="119" w:firstLine="600" w:firstLineChars="200"/>
        <w:rPr>
          <w:rFonts w:ascii="仿宋" w:hAnsi="仿宋" w:eastAsia="仿宋" w:cs="仿宋"/>
          <w:color w:val="auto"/>
          <w:sz w:val="30"/>
          <w:szCs w:val="30"/>
        </w:rPr>
      </w:pPr>
    </w:p>
    <w:p>
      <w:pPr>
        <w:rPr>
          <w:rFonts w:hint="eastAsia" w:ascii="仿宋" w:hAnsi="仿宋" w:eastAsia="仿宋" w:cs="仿宋"/>
          <w:color w:val="auto"/>
          <w:sz w:val="30"/>
          <w:szCs w:val="30"/>
        </w:rPr>
      </w:pPr>
      <w:r>
        <w:rPr>
          <w:rFonts w:hint="eastAsia" w:ascii="仿宋" w:hAnsi="仿宋" w:eastAsia="仿宋" w:cs="仿宋"/>
          <w:color w:val="auto"/>
          <w:sz w:val="30"/>
          <w:szCs w:val="30"/>
        </w:rPr>
        <w:br w:type="page"/>
      </w:r>
    </w:p>
    <w:p>
      <w:pPr>
        <w:spacing w:before="91" w:line="360" w:lineRule="auto"/>
        <w:ind w:right="119" w:firstLine="2700" w:firstLineChars="900"/>
        <w:jc w:val="both"/>
        <w:rPr>
          <w:rFonts w:ascii="仿宋" w:hAnsi="仿宋" w:eastAsia="仿宋" w:cs="仿宋"/>
          <w:color w:val="auto"/>
          <w:sz w:val="30"/>
          <w:szCs w:val="30"/>
        </w:rPr>
      </w:pPr>
      <w:r>
        <w:rPr>
          <w:rFonts w:hint="eastAsia" w:ascii="仿宋" w:hAnsi="仿宋" w:eastAsia="仿宋" w:cs="仿宋"/>
          <w:color w:val="auto"/>
          <w:sz w:val="30"/>
          <w:szCs w:val="30"/>
        </w:rPr>
        <w:t>最终风险指数表</w:t>
      </w:r>
    </w:p>
    <w:tbl>
      <w:tblPr>
        <w:tblStyle w:val="15"/>
        <w:tblW w:w="8319" w:type="dxa"/>
        <w:tblInd w:w="93" w:type="dxa"/>
        <w:tblLayout w:type="fixed"/>
        <w:tblCellMar>
          <w:top w:w="0" w:type="dxa"/>
          <w:left w:w="108" w:type="dxa"/>
          <w:bottom w:w="0" w:type="dxa"/>
          <w:right w:w="108" w:type="dxa"/>
        </w:tblCellMar>
      </w:tblPr>
      <w:tblGrid>
        <w:gridCol w:w="2269"/>
        <w:gridCol w:w="781"/>
        <w:gridCol w:w="833"/>
        <w:gridCol w:w="833"/>
        <w:gridCol w:w="833"/>
        <w:gridCol w:w="833"/>
        <w:gridCol w:w="834"/>
        <w:gridCol w:w="1103"/>
      </w:tblGrid>
      <w:tr>
        <w:tblPrEx>
          <w:tblCellMar>
            <w:top w:w="0" w:type="dxa"/>
            <w:left w:w="108" w:type="dxa"/>
            <w:bottom w:w="0" w:type="dxa"/>
            <w:right w:w="108" w:type="dxa"/>
          </w:tblCellMar>
        </w:tblPrEx>
        <w:trPr>
          <w:trHeight w:val="1650" w:hRule="atLeast"/>
        </w:trPr>
        <w:tc>
          <w:tcPr>
            <w:tcW w:w="22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主要风险因素</w:t>
            </w:r>
          </w:p>
        </w:tc>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权重</w:t>
            </w:r>
          </w:p>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sz w:val="20"/>
                <w:szCs w:val="20"/>
                <w:lang w:bidi="ar"/>
              </w:rPr>
              <w:t>（I）</w:t>
            </w:r>
          </w:p>
        </w:tc>
        <w:tc>
          <w:tcPr>
            <w:tcW w:w="4166"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风险程度（R）</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hint="eastAsia" w:ascii="宋体" w:hAnsi="宋体" w:eastAsia="宋体" w:cs="宋体"/>
                <w:color w:val="auto"/>
                <w:lang w:bidi="ar"/>
              </w:rPr>
            </w:pPr>
            <w:r>
              <w:rPr>
                <w:rFonts w:hint="eastAsia" w:ascii="宋体" w:hAnsi="宋体" w:eastAsia="宋体" w:cs="宋体"/>
                <w:color w:val="auto"/>
                <w:lang w:bidi="ar"/>
              </w:rPr>
              <w:t>风险指数</w:t>
            </w:r>
          </w:p>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（T=I×R）</w:t>
            </w:r>
          </w:p>
        </w:tc>
      </w:tr>
      <w:tr>
        <w:tblPrEx>
          <w:tblCellMar>
            <w:top w:w="0" w:type="dxa"/>
            <w:left w:w="108" w:type="dxa"/>
            <w:bottom w:w="0" w:type="dxa"/>
            <w:right w:w="108" w:type="dxa"/>
          </w:tblCellMar>
        </w:tblPrEx>
        <w:trPr>
          <w:trHeight w:val="312" w:hRule="atLeast"/>
        </w:trPr>
        <w:tc>
          <w:tcPr>
            <w:tcW w:w="2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rPr>
            </w:pPr>
          </w:p>
        </w:tc>
        <w:tc>
          <w:tcPr>
            <w:tcW w:w="4166"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rPr>
            </w:pPr>
          </w:p>
        </w:tc>
      </w:tr>
      <w:tr>
        <w:tblPrEx>
          <w:tblCellMar>
            <w:top w:w="0" w:type="dxa"/>
            <w:left w:w="108" w:type="dxa"/>
            <w:bottom w:w="0" w:type="dxa"/>
            <w:right w:w="108" w:type="dxa"/>
          </w:tblCellMar>
        </w:tblPrEx>
        <w:trPr>
          <w:trHeight w:val="270" w:hRule="atLeast"/>
        </w:trPr>
        <w:tc>
          <w:tcPr>
            <w:tcW w:w="2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rPr>
                <w:rFonts w:ascii="宋体" w:hAnsi="宋体" w:eastAsia="宋体" w:cs="宋体"/>
                <w:color w:val="auto"/>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rPr>
                <w:rFonts w:ascii="宋体" w:hAnsi="宋体" w:eastAsia="宋体" w:cs="宋体"/>
                <w:color w:val="auto"/>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微小</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较小</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一般</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较大</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重大</w:t>
            </w:r>
          </w:p>
        </w:tc>
        <w:tc>
          <w:tcPr>
            <w:tcW w:w="1103" w:type="dxa"/>
            <w:vMerge w:val="continue"/>
            <w:tcBorders>
              <w:top w:val="single" w:color="000000" w:sz="4" w:space="0"/>
              <w:left w:val="single" w:color="000000" w:sz="4" w:space="0"/>
              <w:right w:val="single" w:color="000000" w:sz="4" w:space="0"/>
            </w:tcBorders>
            <w:shd w:val="clear" w:color="auto" w:fill="auto"/>
            <w:vAlign w:val="center"/>
          </w:tcPr>
          <w:p>
            <w:pPr>
              <w:widowControl w:val="0"/>
              <w:kinsoku/>
              <w:overflowPunct w:val="0"/>
              <w:jc w:val="center"/>
              <w:rPr>
                <w:rFonts w:ascii="Times New Roman" w:hAnsi="Times New Roman" w:eastAsia="宋体" w:cs="Times New Roman"/>
                <w:b/>
                <w:bCs/>
                <w:color w:val="auto"/>
              </w:rPr>
            </w:pPr>
          </w:p>
        </w:tc>
      </w:tr>
      <w:tr>
        <w:tblPrEx>
          <w:tblCellMar>
            <w:top w:w="0" w:type="dxa"/>
            <w:left w:w="108" w:type="dxa"/>
            <w:bottom w:w="0" w:type="dxa"/>
            <w:right w:w="108" w:type="dxa"/>
          </w:tblCellMar>
        </w:tblPrEx>
        <w:trPr>
          <w:trHeight w:val="90" w:hRule="atLeast"/>
        </w:trPr>
        <w:tc>
          <w:tcPr>
            <w:tcW w:w="2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rPr>
                <w:rFonts w:ascii="宋体" w:hAnsi="宋体" w:eastAsia="宋体" w:cs="宋体"/>
                <w:color w:val="auto"/>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rPr>
                <w:rFonts w:ascii="宋体" w:hAnsi="宋体" w:eastAsia="宋体" w:cs="宋体"/>
                <w:color w:val="auto"/>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ascii="宋体" w:hAnsi="宋体" w:eastAsia="宋体" w:cs="宋体"/>
                <w:b/>
                <w:bCs/>
                <w:color w:val="auto"/>
              </w:rPr>
            </w:pPr>
            <w:r>
              <w:rPr>
                <w:rFonts w:ascii="Times New Roman" w:hAnsi="Times New Roman" w:eastAsia="宋体" w:cs="Times New Roman"/>
                <w:color w:val="auto"/>
                <w:lang w:bidi="ar"/>
              </w:rPr>
              <w:t>0.04</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ascii="宋体" w:hAnsi="宋体" w:eastAsia="宋体" w:cs="宋体"/>
                <w:b/>
                <w:bCs/>
                <w:color w:val="auto"/>
                <w:lang w:bidi="ar"/>
              </w:rPr>
            </w:pPr>
            <w:r>
              <w:rPr>
                <w:rFonts w:ascii="Times New Roman" w:hAnsi="Times New Roman" w:eastAsia="宋体" w:cs="Times New Roman"/>
                <w:color w:val="auto"/>
                <w:lang w:bidi="ar"/>
              </w:rPr>
              <w:t>0. 16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ascii="宋体" w:hAnsi="宋体" w:eastAsia="宋体" w:cs="宋体"/>
                <w:b/>
                <w:bCs/>
                <w:color w:val="auto"/>
                <w:lang w:bidi="ar"/>
              </w:rPr>
            </w:pPr>
            <w:r>
              <w:rPr>
                <w:rFonts w:ascii="Times New Roman" w:hAnsi="Times New Roman" w:eastAsia="宋体" w:cs="Times New Roman"/>
                <w:color w:val="auto"/>
                <w:lang w:bidi="ar"/>
              </w:rPr>
              <w:t>0.36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ascii="宋体" w:hAnsi="宋体" w:eastAsia="宋体" w:cs="宋体"/>
                <w:b/>
                <w:bCs/>
                <w:color w:val="auto"/>
                <w:lang w:bidi="ar"/>
              </w:rPr>
            </w:pPr>
            <w:r>
              <w:rPr>
                <w:rFonts w:ascii="Times New Roman" w:hAnsi="Times New Roman" w:eastAsia="宋体" w:cs="Times New Roman"/>
                <w:color w:val="auto"/>
                <w:lang w:bidi="ar"/>
              </w:rPr>
              <w:t>0.64</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overflowPunct w:val="0"/>
              <w:jc w:val="center"/>
              <w:textAlignment w:val="center"/>
              <w:rPr>
                <w:rFonts w:ascii="宋体" w:hAnsi="宋体" w:eastAsia="宋体" w:cs="宋体"/>
                <w:b/>
                <w:bCs/>
                <w:color w:val="auto"/>
                <w:lang w:bidi="ar"/>
              </w:rPr>
            </w:pPr>
            <w:r>
              <w:rPr>
                <w:rFonts w:ascii="Times New Roman" w:hAnsi="Times New Roman" w:eastAsia="宋体" w:cs="Times New Roman"/>
                <w:color w:val="auto"/>
                <w:lang w:bidi="ar"/>
              </w:rPr>
              <w:t>1</w:t>
            </w:r>
          </w:p>
        </w:tc>
        <w:tc>
          <w:tcPr>
            <w:tcW w:w="1103" w:type="dxa"/>
            <w:vMerge w:val="continue"/>
            <w:tcBorders>
              <w:left w:val="single" w:color="000000" w:sz="4" w:space="0"/>
              <w:bottom w:val="single" w:color="000000" w:sz="4" w:space="0"/>
              <w:right w:val="single" w:color="000000" w:sz="4" w:space="0"/>
            </w:tcBorders>
            <w:shd w:val="clear" w:color="auto" w:fill="auto"/>
            <w:noWrap/>
            <w:vAlign w:val="center"/>
          </w:tcPr>
          <w:p>
            <w:pPr>
              <w:widowControl w:val="0"/>
              <w:kinsoku/>
              <w:overflowPunct w:val="0"/>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lang w:bidi="ar"/>
              </w:rPr>
              <w:t>项目规划和审批风险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0.13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0.0315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 xml:space="preserve">0.0041 </w:t>
            </w:r>
          </w:p>
        </w:tc>
      </w:tr>
      <w:tr>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lang w:bidi="ar"/>
              </w:rPr>
              <w:t>建设实施风险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0.19</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0.3132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 xml:space="preserve">0.0595 </w:t>
            </w:r>
          </w:p>
        </w:tc>
      </w:tr>
      <w:tr>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lang w:bidi="ar"/>
              </w:rPr>
              <w:t>项目管理风险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0.16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 xml:space="preserve"> </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0.1295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 xml:space="preserve">0.0207 </w:t>
            </w:r>
          </w:p>
        </w:tc>
      </w:tr>
      <w:tr>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20"/>
                <w:szCs w:val="20"/>
              </w:rPr>
            </w:pPr>
            <w:r>
              <w:rPr>
                <w:rFonts w:hint="eastAsia" w:ascii="宋体" w:hAnsi="宋体" w:eastAsia="宋体" w:cs="宋体"/>
                <w:color w:val="auto"/>
                <w:lang w:bidi="ar"/>
              </w:rPr>
              <w:t>资金保障风险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0.09</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0.0342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 xml:space="preserve">0.0031 </w:t>
            </w:r>
          </w:p>
        </w:tc>
      </w:tr>
      <w:tr>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lang w:bidi="ar"/>
              </w:rPr>
              <w:t>宏观经济社会环境风险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highlight w:val="none"/>
                <w:lang w:bidi="ar"/>
              </w:rPr>
              <w:t>0.15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r>
              <w:rPr>
                <w:rFonts w:hint="eastAsia" w:ascii="Times New Roman" w:hAnsi="Times New Roman" w:eastAsia="宋体" w:cs="Times New Roman"/>
                <w:color w:val="auto"/>
                <w:sz w:val="19"/>
                <w:szCs w:val="19"/>
                <w:highlight w:val="none"/>
                <w:lang w:val="en-US" w:eastAsia="zh-CN" w:bidi="ar"/>
              </w:rPr>
              <w:t>0.1020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0.0</w:t>
            </w:r>
            <w:r>
              <w:rPr>
                <w:rFonts w:hint="eastAsia" w:ascii="Times New Roman" w:hAnsi="Times New Roman" w:eastAsia="等线" w:cs="Times New Roman"/>
                <w:color w:val="auto"/>
                <w:sz w:val="19"/>
                <w:szCs w:val="19"/>
                <w:highlight w:val="none"/>
                <w:lang w:val="en-US" w:eastAsia="zh-CN" w:bidi="ar"/>
              </w:rPr>
              <w:t>153</w:t>
            </w:r>
          </w:p>
        </w:tc>
      </w:tr>
      <w:tr>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lang w:bidi="ar"/>
              </w:rPr>
              <w:t>生态环境影响风险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 xml:space="preserve"> </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0.348</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 xml:space="preserve">0.0696 </w:t>
            </w:r>
          </w:p>
        </w:tc>
      </w:tr>
      <w:tr>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lang w:bidi="ar"/>
              </w:rPr>
              <w:t>媒体舆情风险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0.08</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0.036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 xml:space="preserve">0.0029 </w:t>
            </w:r>
          </w:p>
        </w:tc>
      </w:tr>
      <w:tr>
        <w:tblPrEx>
          <w:tblCellMar>
            <w:top w:w="0" w:type="dxa"/>
            <w:left w:w="108" w:type="dxa"/>
            <w:bottom w:w="0" w:type="dxa"/>
            <w:right w:w="108" w:type="dxa"/>
          </w:tblCellMar>
        </w:tblPrEx>
        <w:trPr>
          <w:trHeight w:val="473" w:hRule="atLeast"/>
        </w:trPr>
        <w:tc>
          <w:tcPr>
            <w:tcW w:w="22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cs="Times New Roman"/>
                <w:color w:val="auto"/>
              </w:rPr>
            </w:pPr>
            <w:r>
              <w:rPr>
                <w:rFonts w:hint="eastAsia" w:ascii="宋体" w:hAnsi="宋体" w:eastAsia="宋体" w:cs="宋体"/>
                <w:color w:val="auto"/>
                <w:lang w:bidi="ar"/>
              </w:rPr>
              <w:t>∑</w:t>
            </w:r>
          </w:p>
        </w:tc>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1</w:t>
            </w:r>
          </w:p>
        </w:tc>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lang w:bidi="ar"/>
              </w:rPr>
            </w:pP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Times New Roman" w:hAnsi="Times New Roman" w:eastAsia="宋体" w:cs="Times New Roman"/>
                <w:color w:val="auto"/>
                <w:sz w:val="19"/>
                <w:szCs w:val="19"/>
                <w:lang w:bidi="ar"/>
              </w:rPr>
            </w:pPr>
            <w:r>
              <w:rPr>
                <w:rFonts w:hint="eastAsia" w:ascii="Times New Roman" w:hAnsi="Times New Roman" w:eastAsia="等线" w:cs="Times New Roman"/>
                <w:color w:val="auto"/>
                <w:sz w:val="19"/>
                <w:szCs w:val="19"/>
                <w:lang w:val="en-US" w:eastAsia="zh-CN" w:bidi="ar"/>
              </w:rPr>
              <w:t>0.1752</w:t>
            </w:r>
            <w:r>
              <w:rPr>
                <w:rFonts w:ascii="Times New Roman" w:hAnsi="Times New Roman" w:eastAsia="等线" w:cs="Times New Roman"/>
                <w:color w:val="auto"/>
                <w:sz w:val="19"/>
                <w:szCs w:val="19"/>
                <w:lang w:bidi="ar"/>
              </w:rPr>
              <w:t xml:space="preserve"> </w:t>
            </w:r>
          </w:p>
        </w:tc>
      </w:tr>
      <w:tr>
        <w:tblPrEx>
          <w:tblCellMar>
            <w:top w:w="0" w:type="dxa"/>
            <w:left w:w="108" w:type="dxa"/>
            <w:bottom w:w="0" w:type="dxa"/>
            <w:right w:w="108" w:type="dxa"/>
          </w:tblCellMar>
        </w:tblPrEx>
        <w:trPr>
          <w:trHeight w:val="270" w:hRule="atLeast"/>
        </w:trPr>
        <w:tc>
          <w:tcPr>
            <w:tcW w:w="2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auto"/>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auto"/>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auto"/>
                <w:sz w:val="22"/>
                <w:szCs w:val="22"/>
              </w:rPr>
            </w:pPr>
          </w:p>
        </w:tc>
      </w:tr>
    </w:tbl>
    <w:p>
      <w:pPr>
        <w:spacing w:before="91"/>
        <w:ind w:right="119"/>
        <w:jc w:val="both"/>
        <w:rPr>
          <w:rFonts w:ascii="仿宋" w:hAnsi="仿宋" w:eastAsia="仿宋" w:cs="仿宋"/>
          <w:color w:val="auto"/>
          <w:sz w:val="30"/>
          <w:szCs w:val="30"/>
        </w:rPr>
      </w:pPr>
    </w:p>
    <w:p>
      <w:pPr>
        <w:spacing w:before="91"/>
        <w:ind w:right="119"/>
        <w:jc w:val="center"/>
        <w:rPr>
          <w:rFonts w:ascii="仿宋" w:hAnsi="仿宋" w:eastAsia="仿宋" w:cs="仿宋"/>
          <w:color w:val="auto"/>
          <w:sz w:val="30"/>
          <w:szCs w:val="30"/>
        </w:rPr>
      </w:pPr>
      <w:r>
        <w:rPr>
          <w:rFonts w:hint="eastAsia" w:ascii="仿宋" w:hAnsi="仿宋" w:eastAsia="仿宋" w:cs="仿宋"/>
          <w:color w:val="auto"/>
          <w:sz w:val="30"/>
          <w:szCs w:val="30"/>
        </w:rPr>
        <w:t>评估报告与评估报告数据对照表</w:t>
      </w:r>
    </w:p>
    <w:p>
      <w:pPr>
        <w:rPr>
          <w:color w:val="auto"/>
        </w:rPr>
      </w:pPr>
    </w:p>
    <w:tbl>
      <w:tblPr>
        <w:tblStyle w:val="19"/>
        <w:tblW w:w="8259" w:type="dxa"/>
        <w:tblInd w:w="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3"/>
        <w:gridCol w:w="1393"/>
        <w:gridCol w:w="1384"/>
        <w:gridCol w:w="1550"/>
        <w:gridCol w:w="1500"/>
        <w:gridCol w:w="15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33" w:type="dxa"/>
            <w:vMerge w:val="restart"/>
            <w:tcBorders>
              <w:bottom w:val="nil"/>
            </w:tcBorders>
          </w:tcPr>
          <w:p>
            <w:pPr>
              <w:spacing w:line="368" w:lineRule="auto"/>
              <w:jc w:val="center"/>
              <w:rPr>
                <w:rFonts w:ascii="宋体"/>
                <w:color w:val="auto"/>
              </w:rPr>
            </w:pPr>
          </w:p>
          <w:p>
            <w:pPr>
              <w:spacing w:before="78" w:line="184" w:lineRule="auto"/>
              <w:ind w:firstLine="119"/>
              <w:jc w:val="center"/>
              <w:rPr>
                <w:rFonts w:ascii="宋体" w:hAnsi="宋体" w:eastAsia="宋体" w:cs="宋体"/>
                <w:color w:val="auto"/>
                <w:sz w:val="24"/>
                <w:szCs w:val="24"/>
              </w:rPr>
            </w:pPr>
            <w:r>
              <w:rPr>
                <w:rFonts w:ascii="宋体" w:hAnsi="宋体" w:eastAsia="宋体" w:cs="宋体"/>
                <w:color w:val="auto"/>
                <w:spacing w:val="-5"/>
                <w:sz w:val="24"/>
                <w:szCs w:val="24"/>
              </w:rPr>
              <w:t>序号</w:t>
            </w:r>
          </w:p>
        </w:tc>
        <w:tc>
          <w:tcPr>
            <w:tcW w:w="1393" w:type="dxa"/>
            <w:vMerge w:val="restart"/>
            <w:tcBorders>
              <w:bottom w:val="nil"/>
            </w:tcBorders>
          </w:tcPr>
          <w:p>
            <w:pPr>
              <w:spacing w:line="368" w:lineRule="auto"/>
              <w:jc w:val="center"/>
              <w:rPr>
                <w:rFonts w:ascii="宋体"/>
                <w:color w:val="auto"/>
              </w:rPr>
            </w:pPr>
          </w:p>
          <w:p>
            <w:pPr>
              <w:spacing w:before="78" w:line="184" w:lineRule="auto"/>
              <w:ind w:firstLine="450"/>
              <w:jc w:val="center"/>
              <w:rPr>
                <w:rFonts w:ascii="宋体" w:hAnsi="宋体" w:eastAsia="宋体" w:cs="宋体"/>
                <w:color w:val="auto"/>
                <w:sz w:val="24"/>
                <w:szCs w:val="24"/>
              </w:rPr>
            </w:pPr>
            <w:r>
              <w:rPr>
                <w:rFonts w:ascii="宋体" w:hAnsi="宋体" w:eastAsia="宋体" w:cs="宋体"/>
                <w:color w:val="auto"/>
                <w:spacing w:val="-7"/>
                <w:sz w:val="24"/>
                <w:szCs w:val="24"/>
              </w:rPr>
              <w:t>名</w:t>
            </w:r>
            <w:r>
              <w:rPr>
                <w:rFonts w:ascii="宋体" w:hAnsi="宋体" w:eastAsia="宋体" w:cs="宋体"/>
                <w:color w:val="auto"/>
                <w:spacing w:val="10"/>
                <w:sz w:val="24"/>
                <w:szCs w:val="24"/>
              </w:rPr>
              <w:t xml:space="preserve"> </w:t>
            </w:r>
            <w:r>
              <w:rPr>
                <w:rFonts w:ascii="宋体" w:hAnsi="宋体" w:eastAsia="宋体" w:cs="宋体"/>
                <w:color w:val="auto"/>
                <w:spacing w:val="-7"/>
                <w:sz w:val="24"/>
                <w:szCs w:val="24"/>
              </w:rPr>
              <w:t>称</w:t>
            </w:r>
          </w:p>
        </w:tc>
        <w:tc>
          <w:tcPr>
            <w:tcW w:w="2934" w:type="dxa"/>
            <w:gridSpan w:val="2"/>
          </w:tcPr>
          <w:p>
            <w:pPr>
              <w:spacing w:before="192" w:line="184" w:lineRule="auto"/>
              <w:jc w:val="center"/>
              <w:rPr>
                <w:rFonts w:ascii="宋体" w:hAnsi="宋体" w:eastAsia="宋体" w:cs="宋体"/>
                <w:color w:val="auto"/>
                <w:sz w:val="24"/>
                <w:szCs w:val="24"/>
              </w:rPr>
            </w:pPr>
            <w:r>
              <w:rPr>
                <w:rFonts w:ascii="宋体" w:hAnsi="宋体" w:eastAsia="宋体" w:cs="宋体"/>
                <w:color w:val="auto"/>
                <w:spacing w:val="-4"/>
                <w:sz w:val="24"/>
                <w:szCs w:val="24"/>
              </w:rPr>
              <w:t>措施前</w:t>
            </w:r>
          </w:p>
        </w:tc>
        <w:tc>
          <w:tcPr>
            <w:tcW w:w="3099" w:type="dxa"/>
            <w:gridSpan w:val="2"/>
          </w:tcPr>
          <w:p>
            <w:pPr>
              <w:spacing w:before="192" w:line="184" w:lineRule="auto"/>
              <w:jc w:val="center"/>
              <w:rPr>
                <w:rFonts w:ascii="宋体" w:hAnsi="宋体" w:eastAsia="宋体" w:cs="宋体"/>
                <w:color w:val="auto"/>
                <w:sz w:val="24"/>
                <w:szCs w:val="24"/>
              </w:rPr>
            </w:pPr>
            <w:r>
              <w:rPr>
                <w:rFonts w:ascii="宋体" w:hAnsi="宋体" w:eastAsia="宋体" w:cs="宋体"/>
                <w:color w:val="auto"/>
                <w:spacing w:val="-4"/>
                <w:sz w:val="24"/>
                <w:szCs w:val="24"/>
              </w:rPr>
              <w:t>措施后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33" w:type="dxa"/>
            <w:vMerge w:val="continue"/>
            <w:tcBorders>
              <w:top w:val="nil"/>
            </w:tcBorders>
          </w:tcPr>
          <w:p>
            <w:pPr>
              <w:jc w:val="center"/>
              <w:rPr>
                <w:rFonts w:ascii="宋体"/>
                <w:color w:val="auto"/>
              </w:rPr>
            </w:pPr>
          </w:p>
        </w:tc>
        <w:tc>
          <w:tcPr>
            <w:tcW w:w="1393" w:type="dxa"/>
            <w:vMerge w:val="continue"/>
            <w:tcBorders>
              <w:top w:val="nil"/>
            </w:tcBorders>
          </w:tcPr>
          <w:p>
            <w:pPr>
              <w:jc w:val="center"/>
              <w:rPr>
                <w:rFonts w:ascii="宋体"/>
                <w:color w:val="auto"/>
              </w:rPr>
            </w:pPr>
          </w:p>
        </w:tc>
        <w:tc>
          <w:tcPr>
            <w:tcW w:w="1384" w:type="dxa"/>
          </w:tcPr>
          <w:p>
            <w:pPr>
              <w:spacing w:before="189" w:line="184" w:lineRule="auto"/>
              <w:jc w:val="center"/>
              <w:rPr>
                <w:rFonts w:ascii="宋体" w:hAnsi="宋体" w:eastAsia="宋体" w:cs="宋体"/>
                <w:color w:val="auto"/>
                <w:sz w:val="24"/>
                <w:szCs w:val="24"/>
              </w:rPr>
            </w:pPr>
            <w:r>
              <w:rPr>
                <w:rFonts w:ascii="宋体" w:hAnsi="宋体" w:eastAsia="宋体" w:cs="宋体"/>
                <w:color w:val="auto"/>
                <w:spacing w:val="-3"/>
                <w:sz w:val="24"/>
                <w:szCs w:val="24"/>
              </w:rPr>
              <w:t>风险指数</w:t>
            </w:r>
          </w:p>
        </w:tc>
        <w:tc>
          <w:tcPr>
            <w:tcW w:w="1550" w:type="dxa"/>
          </w:tcPr>
          <w:p>
            <w:pPr>
              <w:spacing w:before="189" w:line="184" w:lineRule="auto"/>
              <w:ind w:firstLine="95"/>
              <w:jc w:val="center"/>
              <w:rPr>
                <w:rFonts w:ascii="宋体" w:hAnsi="宋体" w:eastAsia="宋体" w:cs="宋体"/>
                <w:color w:val="auto"/>
                <w:sz w:val="24"/>
                <w:szCs w:val="24"/>
              </w:rPr>
            </w:pPr>
            <w:r>
              <w:rPr>
                <w:rFonts w:ascii="宋体" w:hAnsi="宋体" w:eastAsia="宋体" w:cs="宋体"/>
                <w:color w:val="auto"/>
                <w:spacing w:val="-2"/>
                <w:sz w:val="24"/>
                <w:szCs w:val="24"/>
              </w:rPr>
              <w:t>判定风险等级</w:t>
            </w:r>
          </w:p>
        </w:tc>
        <w:tc>
          <w:tcPr>
            <w:tcW w:w="1500" w:type="dxa"/>
          </w:tcPr>
          <w:p>
            <w:pPr>
              <w:spacing w:before="189" w:line="184" w:lineRule="auto"/>
              <w:jc w:val="center"/>
              <w:rPr>
                <w:rFonts w:ascii="宋体" w:hAnsi="宋体" w:eastAsia="宋体" w:cs="宋体"/>
                <w:color w:val="auto"/>
                <w:sz w:val="24"/>
                <w:szCs w:val="24"/>
              </w:rPr>
            </w:pPr>
            <w:r>
              <w:rPr>
                <w:rFonts w:ascii="宋体" w:hAnsi="宋体" w:eastAsia="宋体" w:cs="宋体"/>
                <w:color w:val="auto"/>
                <w:spacing w:val="-3"/>
                <w:sz w:val="24"/>
                <w:szCs w:val="24"/>
              </w:rPr>
              <w:t>风险指数</w:t>
            </w:r>
          </w:p>
        </w:tc>
        <w:tc>
          <w:tcPr>
            <w:tcW w:w="1599" w:type="dxa"/>
          </w:tcPr>
          <w:p>
            <w:pPr>
              <w:spacing w:before="189" w:line="184" w:lineRule="auto"/>
              <w:ind w:firstLine="158"/>
              <w:jc w:val="center"/>
              <w:rPr>
                <w:rFonts w:ascii="宋体" w:hAnsi="宋体" w:eastAsia="宋体" w:cs="宋体"/>
                <w:color w:val="auto"/>
                <w:sz w:val="24"/>
                <w:szCs w:val="24"/>
              </w:rPr>
            </w:pPr>
            <w:r>
              <w:rPr>
                <w:rFonts w:ascii="宋体" w:hAnsi="宋体" w:eastAsia="宋体" w:cs="宋体"/>
                <w:color w:val="auto"/>
                <w:spacing w:val="-2"/>
                <w:sz w:val="24"/>
                <w:szCs w:val="24"/>
              </w:rPr>
              <w:t>判定风险等级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33" w:type="dxa"/>
          </w:tcPr>
          <w:p>
            <w:pPr>
              <w:spacing w:before="228" w:line="180" w:lineRule="auto"/>
              <w:ind w:firstLine="317"/>
              <w:jc w:val="center"/>
              <w:rPr>
                <w:rFonts w:ascii="宋体" w:hAnsi="宋体" w:eastAsia="宋体" w:cs="宋体"/>
                <w:color w:val="auto"/>
                <w:sz w:val="24"/>
                <w:szCs w:val="24"/>
              </w:rPr>
            </w:pPr>
            <w:r>
              <w:rPr>
                <w:rFonts w:ascii="宋体" w:hAnsi="宋体" w:eastAsia="宋体" w:cs="宋体"/>
                <w:color w:val="auto"/>
                <w:sz w:val="24"/>
                <w:szCs w:val="24"/>
              </w:rPr>
              <w:t>1</w:t>
            </w:r>
          </w:p>
        </w:tc>
        <w:tc>
          <w:tcPr>
            <w:tcW w:w="1393" w:type="dxa"/>
          </w:tcPr>
          <w:p>
            <w:pPr>
              <w:spacing w:before="192" w:line="184" w:lineRule="auto"/>
              <w:ind w:firstLine="270"/>
              <w:jc w:val="both"/>
              <w:rPr>
                <w:rFonts w:ascii="宋体" w:hAnsi="宋体" w:eastAsia="宋体" w:cs="宋体"/>
                <w:color w:val="auto"/>
                <w:sz w:val="24"/>
                <w:szCs w:val="24"/>
              </w:rPr>
            </w:pPr>
            <w:r>
              <w:rPr>
                <w:rFonts w:ascii="宋体" w:hAnsi="宋体" w:eastAsia="宋体" w:cs="宋体"/>
                <w:color w:val="auto"/>
                <w:spacing w:val="-4"/>
                <w:sz w:val="24"/>
                <w:szCs w:val="24"/>
              </w:rPr>
              <w:t>分析报告</w:t>
            </w:r>
          </w:p>
        </w:tc>
        <w:tc>
          <w:tcPr>
            <w:tcW w:w="1384" w:type="dxa"/>
          </w:tcPr>
          <w:p>
            <w:pPr>
              <w:spacing w:before="228" w:line="18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pacing w:val="-2"/>
                <w:sz w:val="24"/>
                <w:szCs w:val="24"/>
              </w:rPr>
              <w:t>0.</w:t>
            </w:r>
            <w:r>
              <w:rPr>
                <w:rFonts w:hint="eastAsia" w:ascii="宋体" w:hAnsi="宋体" w:eastAsia="宋体" w:cs="宋体"/>
                <w:color w:val="auto"/>
                <w:spacing w:val="-2"/>
                <w:sz w:val="24"/>
                <w:szCs w:val="24"/>
                <w:lang w:val="en-US" w:eastAsia="zh-CN"/>
              </w:rPr>
              <w:t>3796</w:t>
            </w:r>
          </w:p>
        </w:tc>
        <w:tc>
          <w:tcPr>
            <w:tcW w:w="1550" w:type="dxa"/>
          </w:tcPr>
          <w:p>
            <w:pPr>
              <w:spacing w:before="192" w:line="184" w:lineRule="auto"/>
              <w:jc w:val="center"/>
              <w:rPr>
                <w:rFonts w:ascii="宋体" w:hAnsi="宋体" w:eastAsia="宋体" w:cs="宋体"/>
                <w:color w:val="auto"/>
                <w:sz w:val="24"/>
                <w:szCs w:val="24"/>
              </w:rPr>
            </w:pPr>
            <w:r>
              <w:rPr>
                <w:rFonts w:ascii="宋体" w:hAnsi="宋体" w:eastAsia="宋体" w:cs="宋体"/>
                <w:color w:val="auto"/>
                <w:spacing w:val="-11"/>
                <w:sz w:val="24"/>
                <w:szCs w:val="24"/>
              </w:rPr>
              <w:t>中风险</w:t>
            </w:r>
          </w:p>
        </w:tc>
        <w:tc>
          <w:tcPr>
            <w:tcW w:w="1500" w:type="dxa"/>
          </w:tcPr>
          <w:p>
            <w:pPr>
              <w:spacing w:before="228" w:line="180" w:lineRule="auto"/>
              <w:jc w:val="center"/>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0.1752</w:t>
            </w:r>
          </w:p>
        </w:tc>
        <w:tc>
          <w:tcPr>
            <w:tcW w:w="1599" w:type="dxa"/>
          </w:tcPr>
          <w:p>
            <w:pPr>
              <w:spacing w:before="192" w:line="184" w:lineRule="auto"/>
              <w:jc w:val="center"/>
              <w:rPr>
                <w:rFonts w:ascii="宋体" w:hAnsi="宋体" w:eastAsia="宋体" w:cs="宋体"/>
                <w:color w:val="auto"/>
                <w:sz w:val="24"/>
                <w:szCs w:val="24"/>
              </w:rPr>
            </w:pPr>
            <w:r>
              <w:rPr>
                <w:rFonts w:ascii="宋体" w:hAnsi="宋体" w:eastAsia="宋体" w:cs="宋体"/>
                <w:color w:val="auto"/>
                <w:spacing w:val="-3"/>
                <w:sz w:val="24"/>
                <w:szCs w:val="24"/>
              </w:rPr>
              <w:t>低风险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33" w:type="dxa"/>
          </w:tcPr>
          <w:p>
            <w:pPr>
              <w:spacing w:before="240" w:line="180" w:lineRule="auto"/>
              <w:ind w:firstLine="303"/>
              <w:jc w:val="center"/>
              <w:rPr>
                <w:rFonts w:ascii="宋体" w:hAnsi="宋体" w:eastAsia="宋体" w:cs="宋体"/>
                <w:color w:val="auto"/>
                <w:sz w:val="24"/>
                <w:szCs w:val="24"/>
              </w:rPr>
            </w:pPr>
            <w:r>
              <w:rPr>
                <w:rFonts w:ascii="宋体" w:hAnsi="宋体" w:eastAsia="宋体" w:cs="宋体"/>
                <w:color w:val="auto"/>
                <w:sz w:val="24"/>
                <w:szCs w:val="24"/>
              </w:rPr>
              <w:t>2</w:t>
            </w:r>
          </w:p>
        </w:tc>
        <w:tc>
          <w:tcPr>
            <w:tcW w:w="1393" w:type="dxa"/>
          </w:tcPr>
          <w:p>
            <w:pPr>
              <w:spacing w:before="202" w:line="184" w:lineRule="auto"/>
              <w:ind w:firstLine="266"/>
              <w:jc w:val="both"/>
              <w:rPr>
                <w:rFonts w:ascii="宋体" w:hAnsi="宋体" w:eastAsia="宋体" w:cs="宋体"/>
                <w:color w:val="auto"/>
                <w:sz w:val="24"/>
                <w:szCs w:val="24"/>
              </w:rPr>
            </w:pPr>
            <w:r>
              <w:rPr>
                <w:rFonts w:ascii="宋体" w:hAnsi="宋体" w:eastAsia="宋体" w:cs="宋体"/>
                <w:color w:val="auto"/>
                <w:spacing w:val="-3"/>
                <w:sz w:val="24"/>
                <w:szCs w:val="24"/>
              </w:rPr>
              <w:t>评估报告</w:t>
            </w:r>
          </w:p>
        </w:tc>
        <w:tc>
          <w:tcPr>
            <w:tcW w:w="1384" w:type="dxa"/>
            <w:vAlign w:val="top"/>
          </w:tcPr>
          <w:p>
            <w:pPr>
              <w:spacing w:before="228" w:line="180" w:lineRule="auto"/>
              <w:jc w:val="center"/>
              <w:rPr>
                <w:rFonts w:hint="default" w:ascii="宋体" w:hAnsi="宋体" w:eastAsia="宋体" w:cs="宋体"/>
                <w:color w:val="auto"/>
                <w:sz w:val="24"/>
                <w:szCs w:val="24"/>
                <w:lang w:val="en-US"/>
              </w:rPr>
            </w:pPr>
            <w:r>
              <w:rPr>
                <w:rFonts w:hint="eastAsia" w:ascii="宋体" w:hAnsi="宋体" w:eastAsia="宋体" w:cs="宋体"/>
                <w:color w:val="auto"/>
                <w:spacing w:val="-2"/>
                <w:sz w:val="24"/>
                <w:szCs w:val="24"/>
              </w:rPr>
              <w:t>0.</w:t>
            </w:r>
            <w:r>
              <w:rPr>
                <w:rFonts w:hint="eastAsia" w:ascii="宋体" w:hAnsi="宋体" w:eastAsia="宋体" w:cs="宋体"/>
                <w:color w:val="auto"/>
                <w:spacing w:val="-2"/>
                <w:sz w:val="24"/>
                <w:szCs w:val="24"/>
                <w:lang w:val="en-US" w:eastAsia="zh-CN"/>
              </w:rPr>
              <w:t>4814</w:t>
            </w:r>
          </w:p>
        </w:tc>
        <w:tc>
          <w:tcPr>
            <w:tcW w:w="1550" w:type="dxa"/>
            <w:vAlign w:val="top"/>
          </w:tcPr>
          <w:p>
            <w:pPr>
              <w:spacing w:before="192" w:line="184" w:lineRule="auto"/>
              <w:jc w:val="center"/>
              <w:rPr>
                <w:rFonts w:ascii="宋体" w:hAnsi="宋体" w:eastAsia="宋体" w:cs="宋体"/>
                <w:color w:val="auto"/>
                <w:sz w:val="24"/>
                <w:szCs w:val="24"/>
              </w:rPr>
            </w:pPr>
            <w:r>
              <w:rPr>
                <w:rFonts w:ascii="宋体" w:hAnsi="宋体" w:eastAsia="宋体" w:cs="宋体"/>
                <w:color w:val="auto"/>
                <w:spacing w:val="-11"/>
                <w:sz w:val="24"/>
                <w:szCs w:val="24"/>
              </w:rPr>
              <w:t>中风险</w:t>
            </w:r>
          </w:p>
        </w:tc>
        <w:tc>
          <w:tcPr>
            <w:tcW w:w="1500" w:type="dxa"/>
            <w:vAlign w:val="top"/>
          </w:tcPr>
          <w:p>
            <w:pPr>
              <w:spacing w:before="228" w:line="180" w:lineRule="auto"/>
              <w:jc w:val="center"/>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0.1752</w:t>
            </w:r>
          </w:p>
        </w:tc>
        <w:tc>
          <w:tcPr>
            <w:tcW w:w="1599" w:type="dxa"/>
          </w:tcPr>
          <w:p>
            <w:pPr>
              <w:spacing w:before="202" w:line="184" w:lineRule="auto"/>
              <w:jc w:val="center"/>
              <w:rPr>
                <w:rFonts w:ascii="宋体" w:hAnsi="宋体" w:eastAsia="宋体" w:cs="宋体"/>
                <w:color w:val="auto"/>
                <w:sz w:val="24"/>
                <w:szCs w:val="24"/>
              </w:rPr>
            </w:pPr>
            <w:r>
              <w:rPr>
                <w:rFonts w:ascii="宋体" w:hAnsi="宋体" w:eastAsia="宋体" w:cs="宋体"/>
                <w:color w:val="auto"/>
                <w:spacing w:val="-3"/>
                <w:sz w:val="24"/>
                <w:szCs w:val="24"/>
              </w:rPr>
              <w:t>低风险</w:t>
            </w:r>
          </w:p>
        </w:tc>
      </w:tr>
    </w:tbl>
    <w:p>
      <w:pPr>
        <w:spacing w:before="91" w:line="360" w:lineRule="auto"/>
        <w:ind w:right="119" w:firstLine="576" w:firstLineChars="200"/>
        <w:rPr>
          <w:rFonts w:ascii="仿宋" w:hAnsi="仿宋" w:eastAsia="仿宋" w:cs="仿宋"/>
          <w:color w:val="auto"/>
          <w:spacing w:val="-6"/>
          <w:sz w:val="30"/>
          <w:szCs w:val="30"/>
        </w:rPr>
      </w:pPr>
    </w:p>
    <w:p>
      <w:pPr>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根据表中分析结果并结合评判标准，可以认为本项目的社会稳定风险是小的，意味着本土地征收过程中，多数群众理解支持，但少部分人对土地征收有意见，通过有效工作可防范和化解矛盾。</w:t>
      </w:r>
    </w:p>
    <w:p>
      <w:pPr>
        <w:pStyle w:val="3"/>
        <w:spacing w:line="560" w:lineRule="exact"/>
        <w:jc w:val="center"/>
        <w:rPr>
          <w:rFonts w:ascii="宋体"/>
          <w:color w:val="auto"/>
          <w:sz w:val="21"/>
        </w:rPr>
      </w:pPr>
      <w:bookmarkStart w:id="66" w:name="_Toc29413"/>
      <w:r>
        <w:rPr>
          <w:rFonts w:hint="eastAsia" w:ascii="宋体" w:hAnsi="宋体" w:eastAsia="宋体" w:cs="宋体"/>
          <w:color w:val="auto"/>
          <w:sz w:val="36"/>
          <w:szCs w:val="36"/>
        </w:rPr>
        <w:t>三、评估结论</w:t>
      </w:r>
      <w:bookmarkEnd w:id="66"/>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通过上述对2022年历城区“四好农村路”建设项目社会稳定风险评估，对该项目建设的合法性、社会治安及安全等方面全方位进行风险识别及分析，风险发生的可能性及影响程度，提出防范和化解风险的方案措施，提出采取相关措施后的社会稳定风险等级建议，得出如下评估结论：</w:t>
      </w:r>
    </w:p>
    <w:p>
      <w:pPr>
        <w:pStyle w:val="4"/>
        <w:spacing w:line="560" w:lineRule="exact"/>
        <w:ind w:firstLine="643" w:firstLineChars="200"/>
        <w:rPr>
          <w:rFonts w:ascii="宋体" w:hAnsi="宋体" w:eastAsia="宋体" w:cs="宋体"/>
          <w:color w:val="auto"/>
          <w:szCs w:val="32"/>
        </w:rPr>
      </w:pPr>
      <w:bookmarkStart w:id="67" w:name="_bookmark12"/>
      <w:bookmarkEnd w:id="67"/>
      <w:bookmarkStart w:id="68" w:name="_Toc13166"/>
      <w:r>
        <w:rPr>
          <w:rFonts w:hint="eastAsia" w:ascii="宋体" w:hAnsi="宋体" w:eastAsia="宋体" w:cs="宋体"/>
          <w:color w:val="auto"/>
          <w:szCs w:val="32"/>
        </w:rPr>
        <w:t>（一）主要风险因素</w:t>
      </w:r>
      <w:bookmarkEnd w:id="68"/>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通过调查研究，本土地征收共识别出七个主要的风险因素：</w:t>
      </w:r>
    </w:p>
    <w:p>
      <w:pPr>
        <w:numPr>
          <w:ilvl w:val="0"/>
          <w:numId w:val="3"/>
        </w:numPr>
        <w:spacing w:before="91" w:line="360" w:lineRule="auto"/>
        <w:ind w:right="119" w:firstLine="600" w:firstLineChars="200"/>
        <w:rPr>
          <w:rFonts w:ascii="仿宋" w:hAnsi="仿宋" w:eastAsia="仿宋" w:cs="仿宋"/>
          <w:color w:val="auto"/>
          <w:sz w:val="30"/>
          <w:szCs w:val="30"/>
        </w:rPr>
      </w:pPr>
      <w:bookmarkStart w:id="69" w:name="_bookmark13"/>
      <w:bookmarkEnd w:id="69"/>
      <w:r>
        <w:rPr>
          <w:rFonts w:hint="eastAsia" w:ascii="仿宋" w:hAnsi="仿宋" w:eastAsia="仿宋" w:cs="仿宋"/>
          <w:color w:val="auto"/>
          <w:sz w:val="30"/>
          <w:szCs w:val="30"/>
        </w:rPr>
        <w:t>项目规划和审批风险</w:t>
      </w:r>
    </w:p>
    <w:p>
      <w:pPr>
        <w:numPr>
          <w:ilvl w:val="0"/>
          <w:numId w:val="3"/>
        </w:num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建设实施风险</w:t>
      </w:r>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3、项目管理风险</w:t>
      </w:r>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4、资金保障风险</w:t>
      </w:r>
    </w:p>
    <w:p>
      <w:pPr>
        <w:spacing w:before="91" w:line="360" w:lineRule="auto"/>
        <w:ind w:right="119" w:firstLine="600" w:firstLineChars="200"/>
        <w:rPr>
          <w:rFonts w:hint="eastAsia" w:ascii="仿宋" w:hAnsi="仿宋" w:eastAsia="仿宋" w:cs="仿宋"/>
          <w:color w:val="auto"/>
          <w:sz w:val="30"/>
          <w:szCs w:val="30"/>
          <w:lang w:eastAsia="zh-CN"/>
        </w:rPr>
      </w:pPr>
      <w:r>
        <w:rPr>
          <w:rFonts w:hint="eastAsia" w:ascii="仿宋" w:hAnsi="仿宋" w:eastAsia="仿宋" w:cs="仿宋"/>
          <w:color w:val="auto"/>
          <w:sz w:val="30"/>
          <w:szCs w:val="30"/>
        </w:rPr>
        <w:t>5、</w:t>
      </w:r>
      <w:r>
        <w:rPr>
          <w:rFonts w:hint="eastAsia" w:ascii="仿宋" w:hAnsi="仿宋" w:eastAsia="仿宋" w:cs="仿宋"/>
          <w:color w:val="auto"/>
          <w:sz w:val="30"/>
          <w:szCs w:val="30"/>
          <w:lang w:eastAsia="zh-CN"/>
        </w:rPr>
        <w:t>宏观经济社会环境风险</w:t>
      </w:r>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6、生态环境影响风险</w:t>
      </w:r>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7、媒体舆情风险</w:t>
      </w:r>
    </w:p>
    <w:p>
      <w:pPr>
        <w:pStyle w:val="4"/>
        <w:spacing w:line="560" w:lineRule="exact"/>
        <w:ind w:firstLine="643" w:firstLineChars="200"/>
        <w:rPr>
          <w:rFonts w:ascii="宋体" w:hAnsi="宋体" w:eastAsia="宋体" w:cs="宋体"/>
          <w:color w:val="auto"/>
          <w:szCs w:val="32"/>
        </w:rPr>
      </w:pPr>
      <w:bookmarkStart w:id="70" w:name="_Toc10471"/>
      <w:r>
        <w:rPr>
          <w:rFonts w:hint="eastAsia" w:ascii="宋体" w:hAnsi="宋体" w:eastAsia="宋体" w:cs="宋体"/>
          <w:color w:val="auto"/>
          <w:szCs w:val="32"/>
        </w:rPr>
        <w:t>（二）针对该项目的评估结论</w:t>
      </w:r>
      <w:bookmarkEnd w:id="70"/>
    </w:p>
    <w:p>
      <w:pPr>
        <w:pStyle w:val="5"/>
        <w:spacing w:line="560" w:lineRule="exact"/>
        <w:ind w:firstLine="600" w:firstLineChars="200"/>
        <w:rPr>
          <w:b w:val="0"/>
          <w:bCs w:val="0"/>
          <w:color w:val="auto"/>
          <w:sz w:val="30"/>
          <w:szCs w:val="30"/>
        </w:rPr>
      </w:pPr>
      <w:bookmarkStart w:id="71" w:name="_Toc27504"/>
      <w:r>
        <w:rPr>
          <w:rFonts w:hint="eastAsia" w:ascii="仿宋" w:hAnsi="仿宋" w:eastAsia="仿宋" w:cs="仿宋"/>
          <w:b w:val="0"/>
          <w:bCs w:val="0"/>
          <w:color w:val="auto"/>
          <w:sz w:val="30"/>
          <w:szCs w:val="30"/>
        </w:rPr>
        <w:t>1、</w:t>
      </w:r>
      <w:r>
        <w:rPr>
          <w:rFonts w:hint="eastAsia"/>
          <w:b w:val="0"/>
          <w:bCs w:val="0"/>
          <w:color w:val="auto"/>
          <w:sz w:val="30"/>
          <w:szCs w:val="30"/>
        </w:rPr>
        <w:t>合法性评估结论</w:t>
      </w:r>
      <w:bookmarkEnd w:id="71"/>
    </w:p>
    <w:p>
      <w:pPr>
        <w:spacing w:before="91" w:line="360" w:lineRule="auto"/>
        <w:ind w:firstLine="576" w:firstLineChars="200"/>
        <w:outlineLvl w:val="2"/>
        <w:rPr>
          <w:rFonts w:hint="eastAsia" w:ascii="仿宋" w:hAnsi="仿宋" w:eastAsia="仿宋" w:cs="仿宋"/>
          <w:color w:val="auto"/>
          <w:spacing w:val="-6"/>
          <w:sz w:val="30"/>
          <w:szCs w:val="30"/>
        </w:rPr>
      </w:pPr>
      <w:bookmarkStart w:id="72" w:name="_Toc21765"/>
      <w:bookmarkStart w:id="73" w:name="_Toc8810"/>
      <w:r>
        <w:rPr>
          <w:rFonts w:hint="eastAsia" w:ascii="仿宋" w:hAnsi="仿宋" w:eastAsia="仿宋" w:cs="仿宋"/>
          <w:color w:val="auto"/>
          <w:spacing w:val="-6"/>
          <w:sz w:val="30"/>
          <w:szCs w:val="30"/>
        </w:rPr>
        <w:t>本项目合法性是项目建设是否符合党和国家的方针政策，是否符合相关法律法规。</w:t>
      </w:r>
      <w:bookmarkEnd w:id="72"/>
      <w:bookmarkEnd w:id="73"/>
    </w:p>
    <w:p>
      <w:pPr>
        <w:spacing w:before="91" w:line="360" w:lineRule="auto"/>
        <w:ind w:firstLine="576" w:firstLineChars="200"/>
        <w:outlineLvl w:val="2"/>
        <w:rPr>
          <w:rFonts w:hint="eastAsia" w:ascii="仿宋" w:hAnsi="仿宋" w:eastAsia="仿宋" w:cs="仿宋"/>
          <w:color w:val="auto"/>
          <w:spacing w:val="-6"/>
          <w:sz w:val="30"/>
          <w:szCs w:val="30"/>
        </w:rPr>
      </w:pPr>
      <w:bookmarkStart w:id="74" w:name="_Toc26096"/>
      <w:bookmarkStart w:id="75" w:name="_Toc2920"/>
      <w:r>
        <w:rPr>
          <w:rFonts w:hint="eastAsia" w:ascii="仿宋" w:hAnsi="仿宋" w:eastAsia="仿宋" w:cs="仿宋"/>
          <w:color w:val="auto"/>
          <w:spacing w:val="-6"/>
          <w:sz w:val="30"/>
          <w:szCs w:val="30"/>
        </w:rPr>
        <w:t>党的十八大以来，习近平总书记多次就农村公路发展作出重要指示，要求农村公路建设要因地制宜、以人为本，与优化村镇布局、农村经济发展和广大农民安全便捷出行相适应，要进一步把农村公路建好、管好、护好、运营好，逐步消除制约农村发展的交通瓶颈，为广大农民脱贫致富奔小康提供更好的保障。</w:t>
      </w:r>
      <w:bookmarkEnd w:id="74"/>
      <w:bookmarkEnd w:id="75"/>
    </w:p>
    <w:p>
      <w:pPr>
        <w:spacing w:before="91" w:line="360" w:lineRule="auto"/>
        <w:ind w:firstLine="576" w:firstLineChars="200"/>
        <w:outlineLvl w:val="2"/>
        <w:rPr>
          <w:rFonts w:hint="eastAsia" w:ascii="仿宋" w:hAnsi="仿宋" w:eastAsia="仿宋" w:cs="仿宋"/>
          <w:color w:val="auto"/>
          <w:spacing w:val="-6"/>
          <w:sz w:val="30"/>
          <w:szCs w:val="30"/>
        </w:rPr>
      </w:pPr>
      <w:bookmarkStart w:id="76" w:name="_Toc29167"/>
      <w:bookmarkStart w:id="77" w:name="_Toc18844"/>
      <w:r>
        <w:rPr>
          <w:rFonts w:hint="eastAsia" w:ascii="仿宋" w:hAnsi="仿宋" w:eastAsia="仿宋" w:cs="仿宋"/>
          <w:color w:val="auto"/>
          <w:spacing w:val="-6"/>
          <w:sz w:val="30"/>
          <w:szCs w:val="30"/>
        </w:rPr>
        <w:t>综上所述，2022年历城区“四好农村路”建设项目可以促进农村经济发展，使农村链接到世界，成为新世界的一部分，而不再是信息孤岛，不再是闭塞的农村。现在的农村被称为新农村，被称为美好乡村与这些工程是离不开的。如实改造好了农村出行难的问题，还让农产品有条件很快运出农村，走向城市，最起码的运输成本也降底了一部分。给农民带来了实实在在的好处，因此，本项目符合此项，同时符合国民经济和社会发展规划、土地利用总体规划、城乡规划和专项规划。</w:t>
      </w:r>
      <w:bookmarkEnd w:id="76"/>
      <w:bookmarkEnd w:id="77"/>
    </w:p>
    <w:p>
      <w:pPr>
        <w:spacing w:before="91" w:line="360" w:lineRule="auto"/>
        <w:ind w:firstLine="600" w:firstLineChars="200"/>
        <w:outlineLvl w:val="2"/>
        <w:rPr>
          <w:rFonts w:hint="eastAsia"/>
          <w:color w:val="auto"/>
          <w:sz w:val="30"/>
          <w:szCs w:val="30"/>
        </w:rPr>
      </w:pPr>
      <w:bookmarkStart w:id="78" w:name="_Toc31404"/>
      <w:r>
        <w:rPr>
          <w:rFonts w:hint="eastAsia" w:ascii="仿宋" w:hAnsi="仿宋" w:eastAsia="仿宋" w:cs="仿宋"/>
          <w:color w:val="auto"/>
          <w:sz w:val="30"/>
          <w:szCs w:val="30"/>
        </w:rPr>
        <w:t>2、</w:t>
      </w:r>
      <w:r>
        <w:rPr>
          <w:rFonts w:hint="eastAsia"/>
          <w:color w:val="auto"/>
          <w:sz w:val="30"/>
          <w:szCs w:val="30"/>
        </w:rPr>
        <w:t>可行性评估结论</w:t>
      </w:r>
      <w:bookmarkEnd w:id="78"/>
    </w:p>
    <w:p>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本项目符合《中华人民共和国国民经济和社会发展第十四个五年规划纲要》（2021年到2025年）《山东省国民经济和社会发展第十四个五年规划和二〇三五年远景目标纲要的通知纲要》《济南市国民经济和社会发展第十四个五年规划和二〇三五年远景目标纲要》。</w:t>
      </w:r>
    </w:p>
    <w:p>
      <w:pPr>
        <w:widowControl w:val="0"/>
        <w:kinsoku/>
        <w:overflowPunct w:val="0"/>
        <w:spacing w:before="91" w:line="360" w:lineRule="auto"/>
        <w:ind w:firstLine="600" w:firstLineChars="200"/>
        <w:rPr>
          <w:color w:val="auto"/>
        </w:rPr>
      </w:pPr>
      <w:r>
        <w:rPr>
          <w:rFonts w:hint="eastAsia" w:ascii="仿宋" w:hAnsi="仿宋" w:eastAsia="仿宋" w:cs="仿宋"/>
          <w:color w:val="auto"/>
          <w:sz w:val="30"/>
          <w:szCs w:val="30"/>
        </w:rPr>
        <w:t>风险调查小组采取多种形式进行项目宣传，通过相关媒体、网络等形式进行公告或公示，让广大群众充分了解项目建设内容。与此同时，本项目得到了</w:t>
      </w:r>
      <w:r>
        <w:rPr>
          <w:rFonts w:hint="eastAsia" w:ascii="仿宋" w:hAnsi="仿宋" w:eastAsia="仿宋" w:cs="仿宋"/>
          <w:color w:val="auto"/>
          <w:sz w:val="30"/>
          <w:szCs w:val="30"/>
          <w:lang w:eastAsia="zh-CN"/>
        </w:rPr>
        <w:t>历城区政府及各个</w:t>
      </w:r>
      <w:r>
        <w:rPr>
          <w:rFonts w:hint="eastAsia" w:ascii="仿宋" w:hAnsi="仿宋" w:eastAsia="仿宋" w:cs="仿宋"/>
          <w:color w:val="auto"/>
          <w:sz w:val="30"/>
          <w:szCs w:val="30"/>
        </w:rPr>
        <w:t>相关</w:t>
      </w:r>
      <w:r>
        <w:rPr>
          <w:rFonts w:hint="eastAsia" w:ascii="仿宋" w:hAnsi="仿宋" w:eastAsia="仿宋" w:cs="仿宋"/>
          <w:color w:val="auto"/>
          <w:sz w:val="30"/>
          <w:szCs w:val="30"/>
          <w:lang w:eastAsia="zh-CN"/>
        </w:rPr>
        <w:t>街道</w:t>
      </w:r>
      <w:r>
        <w:rPr>
          <w:rFonts w:hint="eastAsia" w:ascii="仿宋" w:hAnsi="仿宋" w:eastAsia="仿宋" w:cs="仿宋"/>
          <w:color w:val="auto"/>
          <w:sz w:val="30"/>
          <w:szCs w:val="30"/>
        </w:rPr>
        <w:t>部门的高度重视</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并及时做好前期宣传工作，对项目持支持态度。</w:t>
      </w:r>
      <w:r>
        <w:rPr>
          <w:rFonts w:hint="eastAsia" w:ascii="仿宋" w:hAnsi="仿宋" w:eastAsia="仿宋" w:cs="仿宋"/>
          <w:color w:val="auto"/>
          <w:sz w:val="30"/>
          <w:szCs w:val="30"/>
        </w:rPr>
        <w:t>风险调查中拟建项目范围内涉及到的利益相关者对本项目具有一定的认可度和支持度，综合考虑各项内外部条件，可以认为本项目具有较好的可行性。</w:t>
      </w:r>
    </w:p>
    <w:p>
      <w:pPr>
        <w:pStyle w:val="5"/>
        <w:spacing w:line="560" w:lineRule="exact"/>
        <w:ind w:firstLine="600" w:firstLineChars="200"/>
        <w:rPr>
          <w:b w:val="0"/>
          <w:bCs w:val="0"/>
          <w:color w:val="auto"/>
          <w:sz w:val="30"/>
          <w:szCs w:val="30"/>
        </w:rPr>
      </w:pPr>
      <w:bookmarkStart w:id="79" w:name="_Toc24296"/>
      <w:r>
        <w:rPr>
          <w:rFonts w:hint="eastAsia"/>
          <w:b w:val="0"/>
          <w:bCs w:val="0"/>
          <w:color w:val="auto"/>
          <w:sz w:val="30"/>
          <w:szCs w:val="30"/>
        </w:rPr>
        <w:t>3、可控性评估结论</w:t>
      </w:r>
      <w:bookmarkEnd w:id="79"/>
    </w:p>
    <w:p>
      <w:pPr>
        <w:widowControl w:val="0"/>
        <w:kinsoku/>
        <w:overflowPunct w:val="0"/>
        <w:spacing w:before="91" w:line="360" w:lineRule="auto"/>
        <w:ind w:firstLine="600" w:firstLineChars="200"/>
        <w:rPr>
          <w:rFonts w:ascii="仿宋" w:hAnsi="仿宋" w:eastAsia="仿宋" w:cs="仿宋"/>
          <w:color w:val="auto"/>
          <w:sz w:val="30"/>
          <w:szCs w:val="30"/>
        </w:rPr>
      </w:pPr>
      <w:r>
        <w:rPr>
          <w:rFonts w:ascii="仿宋" w:hAnsi="仿宋" w:eastAsia="仿宋" w:cs="仿宋"/>
          <w:color w:val="auto"/>
          <w:sz w:val="30"/>
          <w:szCs w:val="30"/>
        </w:rPr>
        <w:t>1、风险因素识别</w:t>
      </w:r>
    </w:p>
    <w:p>
      <w:pPr>
        <w:widowControl w:val="0"/>
        <w:kinsoku/>
        <w:overflowPunct w:val="0"/>
        <w:spacing w:before="91" w:line="360" w:lineRule="auto"/>
        <w:ind w:firstLine="576" w:firstLineChars="200"/>
        <w:rPr>
          <w:rFonts w:ascii="仿宋" w:hAnsi="仿宋" w:eastAsia="仿宋" w:cs="仿宋"/>
          <w:color w:val="auto"/>
          <w:spacing w:val="-6"/>
          <w:sz w:val="30"/>
          <w:szCs w:val="30"/>
        </w:rPr>
      </w:pPr>
      <w:r>
        <w:rPr>
          <w:rFonts w:ascii="仿宋" w:hAnsi="仿宋" w:eastAsia="仿宋" w:cs="仿宋"/>
          <w:color w:val="auto"/>
          <w:spacing w:val="-6"/>
          <w:sz w:val="30"/>
          <w:szCs w:val="30"/>
        </w:rPr>
        <w:t>本报告对</w:t>
      </w:r>
      <w:r>
        <w:rPr>
          <w:rFonts w:hint="eastAsia" w:ascii="仿宋" w:hAnsi="仿宋" w:eastAsia="仿宋" w:cs="仿宋"/>
          <w:color w:val="auto"/>
          <w:spacing w:val="-6"/>
          <w:sz w:val="30"/>
          <w:szCs w:val="30"/>
          <w:lang w:eastAsia="zh-CN"/>
        </w:rPr>
        <w:t>2022年历城区“四好农村路”建设项目</w:t>
      </w:r>
      <w:r>
        <w:rPr>
          <w:rFonts w:ascii="仿宋" w:hAnsi="仿宋" w:eastAsia="仿宋" w:cs="仿宋"/>
          <w:color w:val="auto"/>
          <w:spacing w:val="-6"/>
          <w:sz w:val="30"/>
          <w:szCs w:val="30"/>
        </w:rPr>
        <w:t>的社会稳定风险因素做了全面的识别，对主要的社会稳定风险因素做了分析，并制定出了具有针对性的风险防范化解措施。</w:t>
      </w:r>
    </w:p>
    <w:p>
      <w:pPr>
        <w:widowControl w:val="0"/>
        <w:kinsoku/>
        <w:overflowPunct w:val="0"/>
        <w:spacing w:before="91" w:line="360" w:lineRule="auto"/>
        <w:ind w:firstLine="600" w:firstLineChars="200"/>
        <w:rPr>
          <w:rFonts w:ascii="仿宋" w:hAnsi="仿宋" w:eastAsia="仿宋" w:cs="仿宋"/>
          <w:color w:val="auto"/>
          <w:sz w:val="30"/>
          <w:szCs w:val="30"/>
        </w:rPr>
      </w:pPr>
      <w:r>
        <w:rPr>
          <w:rFonts w:ascii="仿宋" w:hAnsi="仿宋" w:eastAsia="仿宋" w:cs="仿宋"/>
          <w:color w:val="auto"/>
          <w:sz w:val="30"/>
          <w:szCs w:val="30"/>
        </w:rPr>
        <w:t>2、前期调研</w:t>
      </w:r>
    </w:p>
    <w:p>
      <w:pPr>
        <w:widowControl w:val="0"/>
        <w:kinsoku/>
        <w:overflowPunct w:val="0"/>
        <w:spacing w:before="91" w:line="360" w:lineRule="auto"/>
        <w:ind w:firstLine="600" w:firstLineChars="200"/>
        <w:rPr>
          <w:rFonts w:ascii="仿宋" w:hAnsi="仿宋" w:eastAsia="仿宋" w:cs="仿宋"/>
          <w:color w:val="auto"/>
          <w:sz w:val="30"/>
          <w:szCs w:val="30"/>
        </w:rPr>
      </w:pPr>
      <w:r>
        <w:rPr>
          <w:rFonts w:ascii="仿宋" w:hAnsi="仿宋" w:eastAsia="仿宋" w:cs="仿宋"/>
          <w:color w:val="auto"/>
          <w:sz w:val="30"/>
          <w:szCs w:val="30"/>
        </w:rPr>
        <w:t>在前期调研阶段中</w:t>
      </w:r>
      <w:r>
        <w:rPr>
          <w:rFonts w:hint="eastAsia" w:ascii="仿宋" w:hAnsi="仿宋" w:eastAsia="仿宋" w:cs="仿宋"/>
          <w:color w:val="auto"/>
          <w:sz w:val="30"/>
          <w:szCs w:val="30"/>
        </w:rPr>
        <w:t>相关部门、</w:t>
      </w:r>
      <w:r>
        <w:rPr>
          <w:rFonts w:ascii="仿宋" w:hAnsi="仿宋" w:eastAsia="仿宋" w:cs="仿宋"/>
          <w:color w:val="auto"/>
          <w:sz w:val="30"/>
          <w:szCs w:val="30"/>
        </w:rPr>
        <w:t>基层政府、组织及绝大多数群众明确表示对</w:t>
      </w:r>
      <w:r>
        <w:rPr>
          <w:rFonts w:hint="eastAsia" w:ascii="仿宋" w:hAnsi="仿宋" w:eastAsia="仿宋" w:cs="仿宋"/>
          <w:color w:val="auto"/>
          <w:sz w:val="30"/>
          <w:szCs w:val="30"/>
        </w:rPr>
        <w:t>本项目</w:t>
      </w:r>
      <w:r>
        <w:rPr>
          <w:rFonts w:ascii="仿宋" w:hAnsi="仿宋" w:eastAsia="仿宋" w:cs="仿宋"/>
          <w:color w:val="auto"/>
          <w:sz w:val="30"/>
          <w:szCs w:val="30"/>
        </w:rPr>
        <w:t>持支持态度。</w:t>
      </w:r>
    </w:p>
    <w:p>
      <w:pPr>
        <w:widowControl w:val="0"/>
        <w:kinsoku/>
        <w:overflowPunct w:val="0"/>
        <w:spacing w:before="91" w:line="360" w:lineRule="auto"/>
        <w:ind w:firstLine="600" w:firstLineChars="200"/>
        <w:rPr>
          <w:rFonts w:ascii="仿宋" w:hAnsi="仿宋" w:eastAsia="仿宋" w:cs="仿宋"/>
          <w:color w:val="auto"/>
          <w:sz w:val="30"/>
          <w:szCs w:val="30"/>
        </w:rPr>
      </w:pPr>
      <w:r>
        <w:rPr>
          <w:rFonts w:ascii="仿宋" w:hAnsi="仿宋" w:eastAsia="仿宋" w:cs="仿宋"/>
          <w:color w:val="auto"/>
          <w:sz w:val="30"/>
          <w:szCs w:val="30"/>
        </w:rPr>
        <w:t>3、风险防范化解措施的落实</w:t>
      </w:r>
    </w:p>
    <w:p>
      <w:pPr>
        <w:widowControl w:val="0"/>
        <w:kinsoku/>
        <w:overflowPunct w:val="0"/>
        <w:spacing w:before="91" w:line="360" w:lineRule="auto"/>
        <w:ind w:firstLine="576" w:firstLineChars="200"/>
        <w:rPr>
          <w:rFonts w:hint="eastAsia" w:ascii="仿宋" w:hAnsi="仿宋" w:eastAsia="仿宋" w:cs="仿宋"/>
          <w:color w:val="auto"/>
          <w:sz w:val="30"/>
          <w:szCs w:val="30"/>
        </w:rPr>
      </w:pPr>
      <w:r>
        <w:rPr>
          <w:rFonts w:hint="eastAsia" w:ascii="仿宋" w:hAnsi="仿宋" w:eastAsia="仿宋" w:cs="仿宋"/>
          <w:color w:val="auto"/>
          <w:spacing w:val="-6"/>
          <w:sz w:val="30"/>
          <w:szCs w:val="30"/>
        </w:rPr>
        <w:t>本报告对拟建项目主要的社会稳定风险因素做了分析，</w:t>
      </w:r>
      <w:r>
        <w:rPr>
          <w:rFonts w:hint="eastAsia" w:ascii="仿宋" w:hAnsi="仿宋" w:eastAsia="仿宋" w:cs="仿宋"/>
          <w:color w:val="auto"/>
          <w:sz w:val="30"/>
          <w:szCs w:val="30"/>
        </w:rPr>
        <w:t>并提出了具有针对性的风险防范化解措施，在各部门落实风险防范化解措施的情况下可以将对附近村民或组织的影响降至最低；在相关部门的协同工作下，可以对本项目中产生的不稳定情况及各种突发事件做到早发现、早预防、早解决，将不稳定情况或突发事件抑制在萌芽阶段。</w:t>
      </w:r>
    </w:p>
    <w:p>
      <w:pPr>
        <w:widowControl w:val="0"/>
        <w:kinsoku/>
        <w:overflowPunct w:val="0"/>
        <w:spacing w:before="91" w:line="360" w:lineRule="auto"/>
        <w:ind w:firstLine="600" w:firstLineChars="200"/>
        <w:rPr>
          <w:rFonts w:ascii="仿宋" w:hAnsi="仿宋" w:eastAsia="仿宋" w:cs="仿宋"/>
          <w:color w:val="auto"/>
          <w:sz w:val="30"/>
          <w:szCs w:val="30"/>
        </w:rPr>
      </w:pPr>
      <w:r>
        <w:rPr>
          <w:rFonts w:ascii="仿宋" w:hAnsi="仿宋" w:eastAsia="仿宋" w:cs="仿宋"/>
          <w:color w:val="auto"/>
          <w:sz w:val="30"/>
          <w:szCs w:val="30"/>
        </w:rPr>
        <w:t>综合以上分析，考虑到</w:t>
      </w:r>
      <w:r>
        <w:rPr>
          <w:rFonts w:hint="eastAsia" w:ascii="仿宋" w:hAnsi="仿宋" w:eastAsia="仿宋" w:cs="仿宋"/>
          <w:color w:val="auto"/>
          <w:sz w:val="30"/>
          <w:szCs w:val="30"/>
        </w:rPr>
        <w:t>本项目</w:t>
      </w:r>
      <w:r>
        <w:rPr>
          <w:rFonts w:ascii="仿宋" w:hAnsi="仿宋" w:eastAsia="仿宋" w:cs="仿宋"/>
          <w:color w:val="auto"/>
          <w:sz w:val="30"/>
          <w:szCs w:val="30"/>
        </w:rPr>
        <w:t>涉及到的</w:t>
      </w:r>
      <w:r>
        <w:rPr>
          <w:rFonts w:hint="eastAsia" w:ascii="仿宋" w:hAnsi="仿宋" w:eastAsia="仿宋" w:cs="仿宋"/>
          <w:color w:val="auto"/>
          <w:sz w:val="30"/>
          <w:szCs w:val="30"/>
        </w:rPr>
        <w:t>范围、村庄</w:t>
      </w:r>
      <w:r>
        <w:rPr>
          <w:rFonts w:ascii="仿宋" w:hAnsi="仿宋" w:eastAsia="仿宋" w:cs="仿宋"/>
          <w:color w:val="auto"/>
          <w:sz w:val="30"/>
          <w:szCs w:val="30"/>
        </w:rPr>
        <w:t>，在保证风险防范化解措施可以落实到位的情况下，</w:t>
      </w:r>
      <w:r>
        <w:rPr>
          <w:rFonts w:hint="eastAsia" w:ascii="仿宋" w:hAnsi="仿宋" w:eastAsia="仿宋" w:cs="仿宋"/>
          <w:color w:val="auto"/>
          <w:sz w:val="30"/>
          <w:szCs w:val="30"/>
        </w:rPr>
        <w:t>本项目</w:t>
      </w:r>
      <w:r>
        <w:rPr>
          <w:rFonts w:ascii="仿宋" w:hAnsi="仿宋" w:eastAsia="仿宋" w:cs="仿宋"/>
          <w:color w:val="auto"/>
          <w:sz w:val="30"/>
          <w:szCs w:val="30"/>
        </w:rPr>
        <w:t>可能引发的社会稳定风险是可控的。</w:t>
      </w:r>
    </w:p>
    <w:p>
      <w:pPr>
        <w:pStyle w:val="4"/>
        <w:spacing w:line="560" w:lineRule="exact"/>
        <w:ind w:firstLine="643" w:firstLineChars="200"/>
        <w:rPr>
          <w:rFonts w:ascii="宋体" w:hAnsi="宋体" w:eastAsia="宋体" w:cs="宋体"/>
          <w:color w:val="auto"/>
          <w:szCs w:val="32"/>
        </w:rPr>
      </w:pPr>
      <w:bookmarkStart w:id="80" w:name="_Toc23711"/>
      <w:r>
        <w:rPr>
          <w:rFonts w:hint="eastAsia" w:ascii="宋体" w:hAnsi="宋体" w:eastAsia="宋体" w:cs="宋体"/>
          <w:color w:val="auto"/>
          <w:szCs w:val="32"/>
        </w:rPr>
        <w:t>（三）该项目的风险等级</w:t>
      </w:r>
      <w:bookmarkEnd w:id="80"/>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采用定性和定量方法分析了七个主要风险因素的成因、影响表现、估算了风险概率、影响程度，计算得出了风险程度； 针对每个主要风险因素提出了防范、化解风险的具体措施，通过叠加累计各单因素风险指数，得到该项目的综合风险指数，确定了该项目的预期风险等级。</w:t>
      </w:r>
    </w:p>
    <w:p>
      <w:pPr>
        <w:widowControl w:val="0"/>
        <w:kinsoku/>
        <w:overflowPunct w:val="0"/>
        <w:spacing w:before="91" w:line="360" w:lineRule="auto"/>
        <w:ind w:right="119" w:firstLine="576" w:firstLineChars="200"/>
        <w:rPr>
          <w:rFonts w:ascii="仿宋" w:hAnsi="仿宋" w:eastAsia="仿宋" w:cs="仿宋"/>
          <w:color w:val="auto"/>
          <w:sz w:val="30"/>
          <w:szCs w:val="30"/>
        </w:rPr>
      </w:pPr>
      <w:r>
        <w:rPr>
          <w:rFonts w:hint="eastAsia" w:ascii="仿宋" w:hAnsi="仿宋" w:eastAsia="仿宋" w:cs="仿宋"/>
          <w:color w:val="auto"/>
          <w:spacing w:val="-6"/>
          <w:sz w:val="30"/>
          <w:szCs w:val="30"/>
        </w:rPr>
        <w:t>该</w:t>
      </w:r>
      <w:r>
        <w:rPr>
          <w:rFonts w:hint="eastAsia" w:ascii="仿宋" w:hAnsi="仿宋" w:eastAsia="仿宋" w:cs="仿宋"/>
          <w:color w:val="auto"/>
          <w:sz w:val="30"/>
          <w:szCs w:val="30"/>
        </w:rPr>
        <w:t>项目</w:t>
      </w:r>
      <w:r>
        <w:rPr>
          <w:rFonts w:hint="eastAsia" w:ascii="仿宋" w:hAnsi="仿宋" w:eastAsia="仿宋" w:cs="仿宋"/>
          <w:color w:val="auto"/>
          <w:spacing w:val="-6"/>
          <w:sz w:val="30"/>
          <w:szCs w:val="30"/>
        </w:rPr>
        <w:t>经采取风险防范、化解措施后，</w:t>
      </w:r>
      <w:r>
        <w:rPr>
          <w:rFonts w:hint="eastAsia" w:ascii="仿宋" w:hAnsi="仿宋" w:eastAsia="仿宋" w:cs="仿宋"/>
          <w:color w:val="auto"/>
          <w:sz w:val="30"/>
          <w:szCs w:val="30"/>
        </w:rPr>
        <w:t>无较大单因素风险，三项一般单因素风险，一项较小单因素风险，三项微小单因素风险。</w:t>
      </w:r>
    </w:p>
    <w:p>
      <w:pPr>
        <w:spacing w:before="91" w:line="360" w:lineRule="auto"/>
        <w:ind w:right="119" w:firstLine="576" w:firstLineChars="200"/>
        <w:rPr>
          <w:rFonts w:ascii="仿宋" w:hAnsi="仿宋" w:eastAsia="仿宋" w:cs="仿宋"/>
          <w:color w:val="auto"/>
          <w:sz w:val="30"/>
          <w:szCs w:val="30"/>
        </w:rPr>
      </w:pPr>
      <w:r>
        <w:rPr>
          <w:rFonts w:hint="eastAsia" w:ascii="仿宋" w:hAnsi="仿宋" w:eastAsia="仿宋" w:cs="仿宋"/>
          <w:color w:val="auto"/>
          <w:spacing w:val="-6"/>
          <w:sz w:val="30"/>
          <w:szCs w:val="30"/>
        </w:rPr>
        <w:t>保证措施落实到位后，该项目在建设、运行过程中产生的社会稳定风险可控，</w:t>
      </w:r>
      <w:r>
        <w:rPr>
          <w:rFonts w:hint="eastAsia" w:ascii="仿宋" w:hAnsi="仿宋" w:eastAsia="仿宋" w:cs="仿宋"/>
          <w:color w:val="auto"/>
          <w:sz w:val="30"/>
          <w:szCs w:val="30"/>
        </w:rPr>
        <w:t>综合风险指数为0.</w:t>
      </w:r>
      <w:r>
        <w:rPr>
          <w:rFonts w:hint="eastAsia" w:ascii="仿宋" w:hAnsi="仿宋" w:eastAsia="仿宋" w:cs="仿宋"/>
          <w:color w:val="auto"/>
          <w:sz w:val="30"/>
          <w:szCs w:val="30"/>
          <w:lang w:val="en-US" w:eastAsia="zh-CN"/>
        </w:rPr>
        <w:t>1752</w:t>
      </w:r>
      <w:r>
        <w:rPr>
          <w:rFonts w:hint="eastAsia" w:ascii="仿宋" w:hAnsi="仿宋" w:eastAsia="仿宋" w:cs="仿宋"/>
          <w:color w:val="auto"/>
          <w:sz w:val="30"/>
          <w:szCs w:val="30"/>
        </w:rPr>
        <w:t>，综合风险指数小于 0.36，风险等级为低级。经评估论证后，最终判断该土地征收整体的风险等级为“低风险”。</w:t>
      </w:r>
    </w:p>
    <w:p>
      <w:pPr>
        <w:pStyle w:val="4"/>
        <w:spacing w:line="560" w:lineRule="exact"/>
        <w:ind w:firstLine="643" w:firstLineChars="200"/>
        <w:rPr>
          <w:rFonts w:ascii="宋体" w:hAnsi="宋体" w:eastAsia="宋体" w:cs="宋体"/>
          <w:color w:val="auto"/>
          <w:szCs w:val="32"/>
        </w:rPr>
      </w:pPr>
      <w:bookmarkStart w:id="81" w:name="_Toc29225"/>
      <w:r>
        <w:rPr>
          <w:rFonts w:hint="eastAsia" w:ascii="宋体" w:hAnsi="宋体" w:eastAsia="宋体" w:cs="宋体"/>
          <w:color w:val="auto"/>
          <w:szCs w:val="32"/>
        </w:rPr>
        <w:t>（四）落实风险防范、化解措施的有关建议</w:t>
      </w:r>
      <w:bookmarkEnd w:id="81"/>
    </w:p>
    <w:p>
      <w:pPr>
        <w:pStyle w:val="5"/>
        <w:spacing w:line="560" w:lineRule="exact"/>
        <w:ind w:firstLine="600" w:firstLineChars="200"/>
        <w:rPr>
          <w:b w:val="0"/>
          <w:bCs w:val="0"/>
          <w:color w:val="auto"/>
          <w:sz w:val="30"/>
          <w:szCs w:val="30"/>
        </w:rPr>
      </w:pPr>
      <w:bookmarkStart w:id="82" w:name="_Toc7085"/>
      <w:r>
        <w:rPr>
          <w:rFonts w:hint="eastAsia"/>
          <w:b w:val="0"/>
          <w:bCs w:val="0"/>
          <w:color w:val="auto"/>
          <w:sz w:val="30"/>
          <w:szCs w:val="30"/>
        </w:rPr>
        <w:t>1</w:t>
      </w:r>
      <w:r>
        <w:rPr>
          <w:b w:val="0"/>
          <w:bCs w:val="0"/>
          <w:color w:val="auto"/>
          <w:sz w:val="30"/>
          <w:szCs w:val="30"/>
        </w:rPr>
        <w:t>、</w:t>
      </w:r>
      <w:r>
        <w:rPr>
          <w:rFonts w:hint="eastAsia"/>
          <w:b w:val="0"/>
          <w:bCs w:val="0"/>
          <w:color w:val="auto"/>
          <w:sz w:val="30"/>
          <w:szCs w:val="30"/>
        </w:rPr>
        <w:t>高度重视项目实施过程中可能引发的社会稳定风险</w:t>
      </w:r>
      <w:bookmarkEnd w:id="82"/>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当地政府要高度重视项目实施过程中可能引发的社会稳定风险问题，改变过去只重视项目不重视社会稳定风险的观念。相关各方应密切注意，发现问题立即研究，寻找解决问题的办法，来化解可能的社会矛盾和冲突。</w:t>
      </w:r>
    </w:p>
    <w:p>
      <w:pPr>
        <w:pStyle w:val="5"/>
        <w:spacing w:line="560" w:lineRule="exact"/>
        <w:ind w:firstLine="600" w:firstLineChars="200"/>
        <w:rPr>
          <w:b w:val="0"/>
          <w:bCs w:val="0"/>
          <w:color w:val="auto"/>
          <w:sz w:val="30"/>
          <w:szCs w:val="30"/>
        </w:rPr>
      </w:pPr>
      <w:bookmarkStart w:id="83" w:name="_Toc24110"/>
      <w:r>
        <w:rPr>
          <w:rFonts w:hint="eastAsia"/>
          <w:b w:val="0"/>
          <w:bCs w:val="0"/>
          <w:color w:val="auto"/>
          <w:sz w:val="30"/>
          <w:szCs w:val="30"/>
        </w:rPr>
        <w:t>2</w:t>
      </w:r>
      <w:r>
        <w:rPr>
          <w:b w:val="0"/>
          <w:bCs w:val="0"/>
          <w:color w:val="auto"/>
          <w:sz w:val="30"/>
          <w:szCs w:val="30"/>
        </w:rPr>
        <w:t>、</w:t>
      </w:r>
      <w:r>
        <w:rPr>
          <w:rFonts w:hint="eastAsia"/>
          <w:b w:val="0"/>
          <w:bCs w:val="0"/>
          <w:color w:val="auto"/>
          <w:sz w:val="30"/>
          <w:szCs w:val="30"/>
        </w:rPr>
        <w:t>加强宣传，营造良好的社会舆论氛围</w:t>
      </w:r>
      <w:bookmarkEnd w:id="83"/>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通过电视、广播、报纸等多种新闻媒体，宣传该项目建设对带动区域经济发展的正面影响，为项目建设和运营创造良好的社会舆论氛围。</w:t>
      </w:r>
    </w:p>
    <w:p>
      <w:pPr>
        <w:pStyle w:val="5"/>
        <w:spacing w:line="560" w:lineRule="exact"/>
        <w:ind w:firstLine="600" w:firstLineChars="200"/>
        <w:rPr>
          <w:b w:val="0"/>
          <w:bCs w:val="0"/>
          <w:color w:val="auto"/>
          <w:sz w:val="30"/>
          <w:szCs w:val="30"/>
        </w:rPr>
      </w:pPr>
      <w:bookmarkStart w:id="84" w:name="_Toc8495"/>
      <w:r>
        <w:rPr>
          <w:rFonts w:hint="eastAsia"/>
          <w:b w:val="0"/>
          <w:bCs w:val="0"/>
          <w:color w:val="auto"/>
          <w:sz w:val="30"/>
          <w:szCs w:val="30"/>
        </w:rPr>
        <w:t>3</w:t>
      </w:r>
      <w:r>
        <w:rPr>
          <w:b w:val="0"/>
          <w:bCs w:val="0"/>
          <w:color w:val="auto"/>
          <w:sz w:val="30"/>
          <w:szCs w:val="30"/>
        </w:rPr>
        <w:t>、</w:t>
      </w:r>
      <w:r>
        <w:rPr>
          <w:rFonts w:hint="eastAsia"/>
          <w:b w:val="0"/>
          <w:bCs w:val="0"/>
          <w:color w:val="auto"/>
          <w:sz w:val="30"/>
          <w:szCs w:val="30"/>
        </w:rPr>
        <w:t>加强管理，切实控制风险事件的发生</w:t>
      </w:r>
      <w:bookmarkEnd w:id="84"/>
    </w:p>
    <w:p>
      <w:pPr>
        <w:spacing w:before="91" w:line="360" w:lineRule="auto"/>
        <w:ind w:right="119" w:firstLine="624" w:firstLineChars="200"/>
        <w:rPr>
          <w:rFonts w:ascii="仿宋" w:hAnsi="仿宋" w:eastAsia="仿宋" w:cs="仿宋"/>
          <w:color w:val="auto"/>
          <w:spacing w:val="-6"/>
          <w:sz w:val="30"/>
          <w:szCs w:val="30"/>
        </w:rPr>
      </w:pPr>
      <w:r>
        <w:rPr>
          <w:rFonts w:hint="eastAsia" w:ascii="仿宋" w:hAnsi="仿宋" w:eastAsia="仿宋" w:cs="仿宋"/>
          <w:color w:val="auto"/>
          <w:spacing w:val="6"/>
          <w:sz w:val="30"/>
          <w:szCs w:val="30"/>
        </w:rPr>
        <w:t>项目实施过程中，应加强对施工单位的管理；地方政府应加强对项目实施和运行的沟通管理；有关部门应加强对补偿资金的监管，防止因资</w:t>
      </w:r>
      <w:r>
        <w:rPr>
          <w:rFonts w:hint="eastAsia" w:ascii="仿宋" w:hAnsi="仿宋" w:eastAsia="仿宋" w:cs="仿宋"/>
          <w:color w:val="auto"/>
          <w:spacing w:val="-6"/>
          <w:sz w:val="30"/>
          <w:szCs w:val="30"/>
        </w:rPr>
        <w:t>金使用不当而影响群众切身利益；严格按照国家和地方法规、规章制度，切实落实各项风险防范和化解措施，从源头上控制风险事件的发生。</w:t>
      </w:r>
    </w:p>
    <w:p>
      <w:pPr>
        <w:pStyle w:val="5"/>
        <w:spacing w:line="560" w:lineRule="exact"/>
        <w:ind w:firstLine="600" w:firstLineChars="200"/>
        <w:rPr>
          <w:b w:val="0"/>
          <w:bCs w:val="0"/>
          <w:color w:val="auto"/>
          <w:sz w:val="30"/>
          <w:szCs w:val="30"/>
        </w:rPr>
      </w:pPr>
      <w:bookmarkStart w:id="85" w:name="_Toc8588"/>
      <w:r>
        <w:rPr>
          <w:rFonts w:hint="eastAsia"/>
          <w:b w:val="0"/>
          <w:bCs w:val="0"/>
          <w:color w:val="auto"/>
          <w:sz w:val="30"/>
          <w:szCs w:val="30"/>
        </w:rPr>
        <w:t>4</w:t>
      </w:r>
      <w:r>
        <w:rPr>
          <w:b w:val="0"/>
          <w:bCs w:val="0"/>
          <w:color w:val="auto"/>
          <w:sz w:val="30"/>
          <w:szCs w:val="30"/>
        </w:rPr>
        <w:t>、</w:t>
      </w:r>
      <w:r>
        <w:rPr>
          <w:rFonts w:hint="eastAsia"/>
          <w:b w:val="0"/>
          <w:bCs w:val="0"/>
          <w:color w:val="auto"/>
          <w:sz w:val="30"/>
          <w:szCs w:val="30"/>
        </w:rPr>
        <w:t>建立风险预警制度、编制应急预案，控制风险事件</w:t>
      </w:r>
      <w:bookmarkEnd w:id="85"/>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地方政府相关各方，应建立社会稳定风险预警制度，各单位之间应加强协调和联系，对项目实施过程中发生的不稳定因素进行定期排查。加强现场的治安保障，突发事件一旦发生或出现苗头后，各方力量和人员都能立即投入到位，各尽其职，有条不紊开展工作； 涉及单位的主要领导要亲临现场，对能解决的问题要现场给予承诺和答复，确保事态不扩大，把不稳定因素的影响控制在最小范围内。</w:t>
      </w:r>
    </w:p>
    <w:p>
      <w:pPr>
        <w:pStyle w:val="5"/>
        <w:spacing w:line="560" w:lineRule="exact"/>
        <w:ind w:firstLine="600" w:firstLineChars="200"/>
        <w:rPr>
          <w:b w:val="0"/>
          <w:bCs w:val="0"/>
          <w:color w:val="auto"/>
          <w:spacing w:val="-6"/>
          <w:sz w:val="30"/>
          <w:szCs w:val="30"/>
        </w:rPr>
      </w:pPr>
      <w:bookmarkStart w:id="86" w:name="_Toc18823"/>
      <w:r>
        <w:rPr>
          <w:rFonts w:hint="eastAsia"/>
          <w:b w:val="0"/>
          <w:bCs w:val="0"/>
          <w:color w:val="auto"/>
          <w:sz w:val="30"/>
          <w:szCs w:val="30"/>
        </w:rPr>
        <w:t>5</w:t>
      </w:r>
      <w:r>
        <w:rPr>
          <w:b w:val="0"/>
          <w:bCs w:val="0"/>
          <w:color w:val="auto"/>
          <w:sz w:val="30"/>
          <w:szCs w:val="30"/>
        </w:rPr>
        <w:t>、</w:t>
      </w:r>
      <w:r>
        <w:rPr>
          <w:rFonts w:hint="eastAsia"/>
          <w:b w:val="0"/>
          <w:bCs w:val="0"/>
          <w:color w:val="auto"/>
          <w:spacing w:val="-6"/>
          <w:sz w:val="30"/>
          <w:szCs w:val="30"/>
        </w:rPr>
        <w:t>增加当地居民就业机会，促进土地征收与社会的融合</w:t>
      </w:r>
      <w:bookmarkEnd w:id="86"/>
    </w:p>
    <w:p>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在项目实施过程中，在同等条件下，优先聘用当地的劳务人员。这样既可使当地居民直接受益于该项目的建设，又可更大程度地增加当地居民对本项目的了解，实现本项目与社会更好的融合。</w:t>
      </w:r>
    </w:p>
    <w:p>
      <w:pPr>
        <w:pStyle w:val="2"/>
        <w:rPr>
          <w:color w:val="auto"/>
        </w:rPr>
      </w:pPr>
      <w:bookmarkStart w:id="87" w:name="_bookmark16"/>
      <w:bookmarkEnd w:id="87"/>
    </w:p>
    <w:p>
      <w:pPr>
        <w:pStyle w:val="2"/>
        <w:rPr>
          <w:color w:val="auto"/>
        </w:rPr>
      </w:pPr>
    </w:p>
    <w:p>
      <w:pPr>
        <w:rPr>
          <w:color w:val="auto"/>
        </w:rPr>
      </w:pPr>
      <w:r>
        <w:rPr>
          <w:rFonts w:hint="eastAsia"/>
          <w:color w:val="auto"/>
        </w:rPr>
        <w:br w:type="page"/>
      </w:r>
    </w:p>
    <w:p>
      <w:pPr>
        <w:pStyle w:val="2"/>
        <w:ind w:firstLine="0" w:firstLineChars="0"/>
        <w:rPr>
          <w:color w:val="auto"/>
        </w:rPr>
      </w:pPr>
    </w:p>
    <w:p>
      <w:pPr>
        <w:pStyle w:val="3"/>
        <w:spacing w:line="240" w:lineRule="auto"/>
        <w:rPr>
          <w:rFonts w:ascii="仿宋" w:hAnsi="仿宋" w:eastAsia="仿宋" w:cs="仿宋"/>
          <w:color w:val="auto"/>
          <w:sz w:val="28"/>
          <w:szCs w:val="28"/>
        </w:rPr>
      </w:pPr>
      <w:bookmarkStart w:id="88" w:name="_Toc1747"/>
      <w:r>
        <w:rPr>
          <w:rFonts w:hint="eastAsia" w:ascii="仿宋" w:hAnsi="仿宋" w:eastAsia="仿宋" w:cs="仿宋"/>
          <w:color w:val="auto"/>
          <w:sz w:val="28"/>
          <w:szCs w:val="28"/>
        </w:rPr>
        <w:t>附件 1： 社会稳定风险评审会专家评审照片</w:t>
      </w:r>
      <w:bookmarkEnd w:id="88"/>
    </w:p>
    <w:p>
      <w:pPr>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drawing>
          <wp:inline distT="0" distB="0" distL="114300" distR="114300">
            <wp:extent cx="5255260" cy="4914900"/>
            <wp:effectExtent l="0" t="0" r="2540" b="0"/>
            <wp:docPr id="1" name="图片 1" descr="0fdd063037fd70b77c84ee03f09c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fdd063037fd70b77c84ee03f09c645"/>
                    <pic:cNvPicPr>
                      <a:picLocks noChangeAspect="1"/>
                    </pic:cNvPicPr>
                  </pic:nvPicPr>
                  <pic:blipFill>
                    <a:blip r:embed="rId15"/>
                    <a:stretch>
                      <a:fillRect/>
                    </a:stretch>
                  </pic:blipFill>
                  <pic:spPr>
                    <a:xfrm>
                      <a:off x="0" y="0"/>
                      <a:ext cx="5255260" cy="4914900"/>
                    </a:xfrm>
                    <a:prstGeom prst="rect">
                      <a:avLst/>
                    </a:prstGeom>
                  </pic:spPr>
                </pic:pic>
              </a:graphicData>
            </a:graphic>
          </wp:inline>
        </w:drawing>
      </w:r>
    </w:p>
    <w:p>
      <w:pPr>
        <w:rPr>
          <w:rFonts w:hint="eastAsia" w:eastAsia="宋体"/>
          <w:color w:val="auto"/>
          <w:lang w:eastAsia="zh-CN"/>
        </w:rPr>
      </w:pPr>
      <w:r>
        <w:rPr>
          <w:rFonts w:hint="eastAsia"/>
          <w:color w:val="auto"/>
        </w:rPr>
        <w:br w:type="page"/>
      </w:r>
      <w:r>
        <w:rPr>
          <w:rFonts w:hint="eastAsia"/>
          <w:color w:val="auto"/>
        </w:rPr>
        <w:drawing>
          <wp:inline distT="0" distB="0" distL="114300" distR="114300">
            <wp:extent cx="5255260" cy="3728085"/>
            <wp:effectExtent l="0" t="0" r="2540" b="5715"/>
            <wp:docPr id="5" name="图片 5" descr="8e3adc6a42c9b24895366aa02b9e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e3adc6a42c9b24895366aa02b9ea44"/>
                    <pic:cNvPicPr>
                      <a:picLocks noChangeAspect="1"/>
                    </pic:cNvPicPr>
                  </pic:nvPicPr>
                  <pic:blipFill>
                    <a:blip r:embed="rId16"/>
                    <a:stretch>
                      <a:fillRect/>
                    </a:stretch>
                  </pic:blipFill>
                  <pic:spPr>
                    <a:xfrm>
                      <a:off x="0" y="0"/>
                      <a:ext cx="5255260" cy="3728085"/>
                    </a:xfrm>
                    <a:prstGeom prst="rect">
                      <a:avLst/>
                    </a:prstGeom>
                  </pic:spPr>
                </pic:pic>
              </a:graphicData>
            </a:graphic>
          </wp:inline>
        </w:drawing>
      </w:r>
      <w:r>
        <w:rPr>
          <w:rFonts w:hint="eastAsia" w:eastAsia="宋体"/>
          <w:color w:val="auto"/>
          <w:lang w:eastAsia="zh-CN"/>
        </w:rPr>
        <w:drawing>
          <wp:inline distT="0" distB="0" distL="114300" distR="114300">
            <wp:extent cx="5255260" cy="4643755"/>
            <wp:effectExtent l="0" t="0" r="2540" b="4445"/>
            <wp:docPr id="4" name="图片 4" descr="d17ef42a9cf13ac9309d2a868a4b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7ef42a9cf13ac9309d2a868a4b041"/>
                    <pic:cNvPicPr>
                      <a:picLocks noChangeAspect="1"/>
                    </pic:cNvPicPr>
                  </pic:nvPicPr>
                  <pic:blipFill>
                    <a:blip r:embed="rId17"/>
                    <a:stretch>
                      <a:fillRect/>
                    </a:stretch>
                  </pic:blipFill>
                  <pic:spPr>
                    <a:xfrm>
                      <a:off x="0" y="0"/>
                      <a:ext cx="5255260" cy="4643755"/>
                    </a:xfrm>
                    <a:prstGeom prst="rect">
                      <a:avLst/>
                    </a:prstGeom>
                  </pic:spPr>
                </pic:pic>
              </a:graphicData>
            </a:graphic>
          </wp:inline>
        </w:drawing>
      </w:r>
    </w:p>
    <w:p>
      <w:pPr>
        <w:pStyle w:val="2"/>
        <w:rPr>
          <w:color w:val="auto"/>
        </w:rPr>
      </w:pPr>
    </w:p>
    <w:p>
      <w:pPr>
        <w:pStyle w:val="3"/>
        <w:spacing w:line="320" w:lineRule="exact"/>
        <w:rPr>
          <w:rFonts w:ascii="仿宋" w:hAnsi="仿宋" w:eastAsia="仿宋" w:cs="仿宋"/>
          <w:color w:val="auto"/>
          <w:sz w:val="28"/>
          <w:szCs w:val="28"/>
        </w:rPr>
      </w:pPr>
      <w:bookmarkStart w:id="89" w:name="_Toc24041"/>
      <w:r>
        <w:rPr>
          <w:rFonts w:hint="eastAsia" w:ascii="仿宋" w:hAnsi="仿宋" w:eastAsia="仿宋" w:cs="仿宋"/>
          <w:color w:val="auto"/>
          <w:sz w:val="28"/>
          <w:szCs w:val="28"/>
        </w:rPr>
        <w:t>附件 2： 社会稳定风险评审会参会人员名单</w:t>
      </w:r>
      <w:bookmarkEnd w:id="89"/>
    </w:p>
    <w:p>
      <w:pPr>
        <w:pStyle w:val="2"/>
        <w:ind w:left="0" w:leftChars="0" w:firstLine="0" w:firstLineChars="0"/>
        <w:rPr>
          <w:rFonts w:hint="eastAsia" w:eastAsia="宋体"/>
          <w:color w:val="auto"/>
          <w:lang w:eastAsia="zh-CN"/>
        </w:rPr>
      </w:pPr>
      <w:r>
        <w:rPr>
          <w:rFonts w:hint="eastAsia" w:eastAsia="宋体"/>
          <w:color w:val="auto"/>
          <w:lang w:eastAsia="zh-CN"/>
        </w:rPr>
        <w:drawing>
          <wp:inline distT="0" distB="0" distL="114300" distR="114300">
            <wp:extent cx="8144510" cy="6138545"/>
            <wp:effectExtent l="0" t="0" r="14605" b="8890"/>
            <wp:docPr id="6" name="图片 6" descr="img-Y1617354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Y16173540-0002"/>
                    <pic:cNvPicPr>
                      <a:picLocks noChangeAspect="1"/>
                    </pic:cNvPicPr>
                  </pic:nvPicPr>
                  <pic:blipFill>
                    <a:blip r:embed="rId18"/>
                    <a:stretch>
                      <a:fillRect/>
                    </a:stretch>
                  </pic:blipFill>
                  <pic:spPr>
                    <a:xfrm rot="5400000">
                      <a:off x="0" y="0"/>
                      <a:ext cx="8144510" cy="6138545"/>
                    </a:xfrm>
                    <a:prstGeom prst="rect">
                      <a:avLst/>
                    </a:prstGeom>
                  </pic:spPr>
                </pic:pic>
              </a:graphicData>
            </a:graphic>
          </wp:inline>
        </w:drawing>
      </w:r>
    </w:p>
    <w:p>
      <w:pPr>
        <w:rPr>
          <w:rFonts w:hint="eastAsia" w:eastAsia="宋体"/>
          <w:color w:val="auto"/>
          <w:lang w:eastAsia="zh-CN"/>
        </w:rPr>
      </w:pPr>
      <w:r>
        <w:rPr>
          <w:rFonts w:hint="eastAsia" w:eastAsia="宋体"/>
          <w:color w:val="auto"/>
          <w:lang w:eastAsia="zh-CN"/>
        </w:rPr>
        <w:br w:type="page"/>
      </w:r>
    </w:p>
    <w:p>
      <w:pPr>
        <w:pStyle w:val="2"/>
        <w:ind w:left="0" w:leftChars="0" w:firstLine="0" w:firstLineChars="0"/>
        <w:rPr>
          <w:rFonts w:hint="eastAsia" w:eastAsia="宋体"/>
          <w:color w:val="auto"/>
          <w:lang w:eastAsia="zh-CN"/>
        </w:rPr>
        <w:sectPr>
          <w:type w:val="continuous"/>
          <w:pgSz w:w="11905" w:h="16838"/>
          <w:pgMar w:top="1440" w:right="1803" w:bottom="1440" w:left="1803" w:header="595" w:footer="703" w:gutter="0"/>
          <w:cols w:space="0" w:num="1"/>
        </w:sectPr>
      </w:pPr>
      <w:r>
        <w:rPr>
          <w:rFonts w:hint="eastAsia" w:eastAsia="宋体"/>
          <w:color w:val="auto"/>
          <w:lang w:eastAsia="zh-CN"/>
        </w:rPr>
        <w:drawing>
          <wp:inline distT="0" distB="0" distL="114300" distR="114300">
            <wp:extent cx="8418830" cy="5567680"/>
            <wp:effectExtent l="0" t="0" r="13970" b="1270"/>
            <wp:docPr id="7" name="图片 7" descr="img-Y1617354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Y16173540-0003"/>
                    <pic:cNvPicPr>
                      <a:picLocks noChangeAspect="1"/>
                    </pic:cNvPicPr>
                  </pic:nvPicPr>
                  <pic:blipFill>
                    <a:blip r:embed="rId19"/>
                    <a:stretch>
                      <a:fillRect/>
                    </a:stretch>
                  </pic:blipFill>
                  <pic:spPr>
                    <a:xfrm rot="5400000">
                      <a:off x="0" y="0"/>
                      <a:ext cx="8418830" cy="5567680"/>
                    </a:xfrm>
                    <a:prstGeom prst="rect">
                      <a:avLst/>
                    </a:prstGeom>
                  </pic:spPr>
                </pic:pic>
              </a:graphicData>
            </a:graphic>
          </wp:inline>
        </w:drawing>
      </w:r>
    </w:p>
    <w:p>
      <w:pPr>
        <w:rPr>
          <w:color w:val="auto"/>
        </w:rPr>
      </w:pPr>
      <w:bookmarkStart w:id="90" w:name="_Toc31144"/>
    </w:p>
    <w:p>
      <w:pPr>
        <w:pStyle w:val="3"/>
        <w:keepNext/>
        <w:keepLines/>
        <w:pageBreakBefore w:val="0"/>
        <w:widowControl/>
        <w:kinsoku w:val="0"/>
        <w:wordWrap/>
        <w:overflowPunct/>
        <w:topLinePunct w:val="0"/>
        <w:autoSpaceDE w:val="0"/>
        <w:autoSpaceDN w:val="0"/>
        <w:bidi w:val="0"/>
        <w:adjustRightInd w:val="0"/>
        <w:snapToGrid w:val="0"/>
        <w:spacing w:line="240" w:lineRule="auto"/>
        <w:textAlignment w:val="baseline"/>
        <w:rPr>
          <w:rFonts w:hint="eastAsia" w:eastAsia="宋体"/>
          <w:color w:val="auto"/>
          <w:sz w:val="21"/>
          <w:lang w:eastAsia="zh-CN"/>
        </w:rPr>
      </w:pPr>
      <w:bookmarkStart w:id="91" w:name="_Toc24482"/>
      <w:r>
        <w:rPr>
          <w:rFonts w:hint="eastAsia" w:ascii="仿宋" w:hAnsi="仿宋" w:eastAsia="仿宋" w:cs="仿宋"/>
          <w:color w:val="auto"/>
          <w:sz w:val="28"/>
          <w:szCs w:val="28"/>
        </w:rPr>
        <w:t>附件 3：社会稳定风险评审会专家评审意见</w:t>
      </w:r>
      <w:bookmarkEnd w:id="90"/>
      <w:r>
        <w:rPr>
          <w:rFonts w:hint="eastAsia" w:eastAsia="宋体"/>
          <w:color w:val="auto"/>
          <w:sz w:val="21"/>
          <w:lang w:eastAsia="zh-CN"/>
        </w:rPr>
        <w:drawing>
          <wp:inline distT="0" distB="0" distL="114300" distR="114300">
            <wp:extent cx="7466330" cy="4780915"/>
            <wp:effectExtent l="0" t="0" r="635" b="1270"/>
            <wp:docPr id="8" name="图片 8" descr="img-Y1617354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Y16173540-0004"/>
                    <pic:cNvPicPr>
                      <a:picLocks noChangeAspect="1"/>
                    </pic:cNvPicPr>
                  </pic:nvPicPr>
                  <pic:blipFill>
                    <a:blip r:embed="rId20"/>
                    <a:stretch>
                      <a:fillRect/>
                    </a:stretch>
                  </pic:blipFill>
                  <pic:spPr>
                    <a:xfrm rot="5400000">
                      <a:off x="0" y="0"/>
                      <a:ext cx="7466330" cy="4780915"/>
                    </a:xfrm>
                    <a:prstGeom prst="rect">
                      <a:avLst/>
                    </a:prstGeom>
                  </pic:spPr>
                </pic:pic>
              </a:graphicData>
            </a:graphic>
          </wp:inline>
        </w:drawing>
      </w:r>
      <w:r>
        <w:rPr>
          <w:rFonts w:hint="eastAsia" w:eastAsia="宋体"/>
          <w:color w:val="auto"/>
          <w:sz w:val="21"/>
          <w:lang w:eastAsia="zh-CN"/>
        </w:rPr>
        <w:drawing>
          <wp:inline distT="0" distB="0" distL="114300" distR="114300">
            <wp:extent cx="8561070" cy="5257165"/>
            <wp:effectExtent l="0" t="0" r="635" b="11430"/>
            <wp:docPr id="9" name="图片 9" descr="img-Y1617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Y16173540-0001"/>
                    <pic:cNvPicPr>
                      <a:picLocks noChangeAspect="1"/>
                    </pic:cNvPicPr>
                  </pic:nvPicPr>
                  <pic:blipFill>
                    <a:blip r:embed="rId21"/>
                    <a:stretch>
                      <a:fillRect/>
                    </a:stretch>
                  </pic:blipFill>
                  <pic:spPr>
                    <a:xfrm rot="5400000">
                      <a:off x="0" y="0"/>
                      <a:ext cx="8561070" cy="5257165"/>
                    </a:xfrm>
                    <a:prstGeom prst="rect">
                      <a:avLst/>
                    </a:prstGeom>
                  </pic:spPr>
                </pic:pic>
              </a:graphicData>
            </a:graphic>
          </wp:inline>
        </w:drawing>
      </w:r>
      <w:bookmarkEnd w:id="91"/>
    </w:p>
    <w:p>
      <w:pPr>
        <w:pStyle w:val="2"/>
        <w:ind w:firstLine="569"/>
        <w:rPr>
          <w:rFonts w:hint="eastAsia"/>
          <w:color w:val="auto"/>
          <w:sz w:val="21"/>
        </w:rPr>
      </w:pPr>
    </w:p>
    <w:p>
      <w:pPr>
        <w:rPr>
          <w:color w:val="auto"/>
        </w:rPr>
      </w:pPr>
    </w:p>
    <w:p>
      <w:pPr>
        <w:pStyle w:val="3"/>
        <w:keepNext/>
        <w:keepLines/>
        <w:pageBreakBefore w:val="0"/>
        <w:widowControl/>
        <w:kinsoku w:val="0"/>
        <w:wordWrap/>
        <w:overflowPunct/>
        <w:topLinePunct w:val="0"/>
        <w:autoSpaceDE w:val="0"/>
        <w:autoSpaceDN w:val="0"/>
        <w:bidi w:val="0"/>
        <w:adjustRightInd w:val="0"/>
        <w:snapToGrid w:val="0"/>
        <w:spacing w:line="240" w:lineRule="auto"/>
        <w:textAlignment w:val="baseline"/>
        <w:rPr>
          <w:rFonts w:ascii="仿宋" w:hAnsi="仿宋" w:eastAsia="仿宋" w:cs="仿宋"/>
          <w:color w:val="auto"/>
          <w:sz w:val="28"/>
          <w:szCs w:val="28"/>
        </w:rPr>
      </w:pPr>
      <w:bookmarkStart w:id="92" w:name="_Toc27061"/>
      <w:r>
        <w:rPr>
          <w:rFonts w:hint="eastAsia" w:ascii="仿宋" w:hAnsi="仿宋" w:eastAsia="仿宋" w:cs="仿宋"/>
          <w:color w:val="auto"/>
          <w:sz w:val="28"/>
          <w:szCs w:val="28"/>
        </w:rPr>
        <w:t>附件 4： 社会稳定风险评估单位营业执照</w:t>
      </w:r>
      <w:bookmarkEnd w:id="92"/>
    </w:p>
    <w:p>
      <w:pPr>
        <w:spacing w:line="287" w:lineRule="auto"/>
        <w:rPr>
          <w:rFonts w:ascii="宋体" w:eastAsia="宋体"/>
          <w:color w:val="auto"/>
        </w:rPr>
      </w:pPr>
      <w:r>
        <w:rPr>
          <w:rFonts w:hint="eastAsia" w:ascii="宋体" w:eastAsia="宋体"/>
          <w:color w:val="auto"/>
        </w:rPr>
        <w:t xml:space="preserve"> </w:t>
      </w:r>
    </w:p>
    <w:p>
      <w:pPr>
        <w:spacing w:line="288" w:lineRule="auto"/>
        <w:rPr>
          <w:rFonts w:ascii="宋体"/>
          <w:color w:val="auto"/>
        </w:rPr>
      </w:pPr>
      <w:r>
        <w:rPr>
          <w:color w:val="auto"/>
          <w:sz w:val="32"/>
          <w:szCs w:val="32"/>
        </w:rPr>
        <w:drawing>
          <wp:anchor distT="0" distB="0" distL="114300" distR="114300" simplePos="0" relativeHeight="251662336" behindDoc="1" locked="0" layoutInCell="1" allowOverlap="1">
            <wp:simplePos x="0" y="0"/>
            <wp:positionH relativeFrom="column">
              <wp:posOffset>-730250</wp:posOffset>
            </wp:positionH>
            <wp:positionV relativeFrom="paragraph">
              <wp:posOffset>945515</wp:posOffset>
            </wp:positionV>
            <wp:extent cx="7145020" cy="5726430"/>
            <wp:effectExtent l="0" t="0" r="7620" b="17780"/>
            <wp:wrapNone/>
            <wp:docPr id="2" name="图片 2" descr="C:\Users\Administrator\Desktop\于\2020济南东昌营业执照副本.jpg2020济南东昌营业执照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于\2020济南东昌营业执照副本.jpg2020济南东昌营业执照副本"/>
                    <pic:cNvPicPr>
                      <a:picLocks noChangeAspect="1"/>
                    </pic:cNvPicPr>
                  </pic:nvPicPr>
                  <pic:blipFill>
                    <a:blip r:embed="rId22"/>
                    <a:srcRect/>
                    <a:stretch>
                      <a:fillRect/>
                    </a:stretch>
                  </pic:blipFill>
                  <pic:spPr>
                    <a:xfrm rot="16200000">
                      <a:off x="0" y="0"/>
                      <a:ext cx="7145020" cy="5726430"/>
                    </a:xfrm>
                    <a:prstGeom prst="rect">
                      <a:avLst/>
                    </a:prstGeom>
                  </pic:spPr>
                </pic:pic>
              </a:graphicData>
            </a:graphic>
          </wp:anchor>
        </w:drawing>
      </w:r>
    </w:p>
    <w:p>
      <w:pPr>
        <w:rPr>
          <w:color w:val="auto"/>
        </w:rPr>
        <w:sectPr>
          <w:type w:val="continuous"/>
          <w:pgSz w:w="11905" w:h="16838"/>
          <w:pgMar w:top="1440" w:right="1803" w:bottom="1440" w:left="1803" w:header="595" w:footer="703" w:gutter="0"/>
          <w:cols w:space="0" w:num="1"/>
        </w:sectPr>
      </w:pPr>
    </w:p>
    <w:p>
      <w:pPr>
        <w:pStyle w:val="3"/>
        <w:spacing w:line="240" w:lineRule="auto"/>
        <w:rPr>
          <w:rFonts w:ascii="仿宋" w:hAnsi="仿宋" w:eastAsia="仿宋" w:cs="仿宋"/>
          <w:color w:val="auto"/>
          <w:sz w:val="28"/>
          <w:szCs w:val="28"/>
        </w:rPr>
      </w:pPr>
      <w:bookmarkStart w:id="93" w:name="_bookmark19"/>
      <w:bookmarkEnd w:id="93"/>
      <w:bookmarkStart w:id="94" w:name="_Toc28979"/>
      <w:r>
        <w:rPr>
          <w:rFonts w:hint="eastAsia" w:ascii="仿宋" w:hAnsi="仿宋" w:eastAsia="仿宋" w:cs="仿宋"/>
          <w:color w:val="auto"/>
          <w:sz w:val="28"/>
          <w:szCs w:val="28"/>
        </w:rPr>
        <w:t>附件 5： 社会稳定风险评估单位资质证书</w:t>
      </w:r>
      <w:bookmarkEnd w:id="94"/>
    </w:p>
    <w:p>
      <w:pPr>
        <w:spacing w:line="385" w:lineRule="auto"/>
        <w:rPr>
          <w:rFonts w:ascii="宋体"/>
          <w:color w:val="auto"/>
        </w:rPr>
      </w:pPr>
    </w:p>
    <w:p>
      <w:pPr>
        <w:pStyle w:val="2"/>
        <w:ind w:firstLine="0" w:firstLineChars="0"/>
        <w:rPr>
          <w:rFonts w:ascii="仿宋" w:hAnsi="仿宋" w:eastAsia="仿宋" w:cs="仿宋"/>
          <w:color w:val="auto"/>
          <w:sz w:val="30"/>
          <w:szCs w:val="30"/>
        </w:rPr>
      </w:pPr>
      <w:r>
        <w:rPr>
          <w:rFonts w:hint="eastAsia" w:ascii="仿宋" w:hAnsi="仿宋" w:eastAsia="仿宋" w:cs="仿宋"/>
          <w:color w:val="auto"/>
          <w:sz w:val="30"/>
          <w:szCs w:val="30"/>
        </w:rPr>
        <w:t xml:space="preserve">  </w:t>
      </w:r>
      <w:bookmarkStart w:id="95" w:name="_bookmark17"/>
      <w:bookmarkEnd w:id="95"/>
      <w:bookmarkStart w:id="96" w:name="_bookmark15"/>
      <w:bookmarkEnd w:id="96"/>
      <w:bookmarkStart w:id="97" w:name="_bookmark14"/>
      <w:bookmarkEnd w:id="97"/>
    </w:p>
    <w:p>
      <w:pPr>
        <w:pStyle w:val="2"/>
        <w:ind w:firstLine="0" w:firstLineChars="0"/>
        <w:rPr>
          <w:rFonts w:ascii="仿宋" w:hAnsi="仿宋" w:eastAsia="仿宋" w:cs="仿宋"/>
          <w:color w:val="auto"/>
          <w:sz w:val="30"/>
          <w:szCs w:val="30"/>
        </w:rPr>
        <w:sectPr>
          <w:pgSz w:w="11905" w:h="16838"/>
          <w:pgMar w:top="1440" w:right="1803" w:bottom="1440" w:left="1803" w:header="595" w:footer="703" w:gutter="0"/>
          <w:cols w:space="0" w:num="1"/>
        </w:sectPr>
      </w:pPr>
    </w:p>
    <w:p>
      <w:pPr>
        <w:pStyle w:val="2"/>
        <w:ind w:firstLine="0" w:firstLineChars="0"/>
        <w:rPr>
          <w:color w:val="auto"/>
        </w:rPr>
        <w:sectPr>
          <w:type w:val="continuous"/>
          <w:pgSz w:w="11905" w:h="16838"/>
          <w:pgMar w:top="1440" w:right="1803" w:bottom="1440" w:left="1803" w:header="595" w:footer="703" w:gutter="0"/>
          <w:cols w:space="0" w:num="1"/>
        </w:sectPr>
      </w:pPr>
      <w:r>
        <w:rPr>
          <w:rFonts w:hint="eastAsia" w:eastAsiaTheme="minorEastAsia"/>
          <w:b/>
          <w:bCs/>
          <w:color w:val="auto"/>
          <w:sz w:val="32"/>
          <w:szCs w:val="32"/>
        </w:rPr>
        <w:drawing>
          <wp:inline distT="0" distB="0" distL="114300" distR="114300">
            <wp:extent cx="7219950" cy="5130800"/>
            <wp:effectExtent l="0" t="0" r="12700" b="0"/>
            <wp:docPr id="3" name="图片 3" descr="166434771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4347710686"/>
                    <pic:cNvPicPr>
                      <a:picLocks noChangeAspect="1"/>
                    </pic:cNvPicPr>
                  </pic:nvPicPr>
                  <pic:blipFill>
                    <a:blip r:embed="rId23"/>
                    <a:stretch>
                      <a:fillRect/>
                    </a:stretch>
                  </pic:blipFill>
                  <pic:spPr>
                    <a:xfrm rot="16200000">
                      <a:off x="0" y="0"/>
                      <a:ext cx="7219950" cy="5130800"/>
                    </a:xfrm>
                    <a:prstGeom prst="rect">
                      <a:avLst/>
                    </a:prstGeom>
                  </pic:spPr>
                </pic:pic>
              </a:graphicData>
            </a:graphic>
          </wp:inline>
        </w:drawing>
      </w:r>
    </w:p>
    <w:p>
      <w:pPr>
        <w:spacing w:line="292" w:lineRule="auto"/>
        <w:rPr>
          <w:rFonts w:ascii="宋体"/>
          <w:color w:val="auto"/>
        </w:rPr>
      </w:pPr>
      <w:bookmarkStart w:id="98" w:name="_bookmark11"/>
      <w:bookmarkEnd w:id="98"/>
    </w:p>
    <w:sectPr>
      <w:headerReference r:id="rId13" w:type="default"/>
      <w:type w:val="continuous"/>
      <w:pgSz w:w="11905" w:h="16838"/>
      <w:pgMar w:top="1440" w:right="1803" w:bottom="1440" w:left="1803" w:header="595" w:footer="703"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bAk08MBAACR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nVG0octzjy888f51+P54fv&#10;JDtRoj5AjZl3AXPT8N4PmD77AZ2Z+aCizV/kRDCOAp8uAsshEZEfrZarVYUhgbH5gvjs6XmIkD5I&#10;b0k2GhpxgkVYfvwEaUydU3I152+1MWWKxv3lQMzsYbn3scdspWE3TIR2vj0hnx6H31CHu06J+ehQ&#10;27wnsxFnYzcZuQaEd4eEhUs/GXWEmorhpAqjaavyKvx5L1lPf9L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RsCTTwwEAAJEDAAAOAAAAAAAAAAEAIAAAAB4BAABkcnMvZTJvRG9jLnhtbFBL&#10;BQYAAAAABgAGAFkBAABTBQ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221"/>
        <w:tab w:val="right" w:pos="9086"/>
      </w:tabs>
      <w:jc w:val="left"/>
      <w:rPr>
        <w:rFonts w:eastAsia="宋体"/>
        <w:sz w:val="20"/>
        <w:szCs w:val="20"/>
      </w:rPr>
    </w:pPr>
    <w:r>
      <w:rPr>
        <w:rFonts w:hint="eastAsia" w:eastAsia="宋体"/>
        <w:sz w:val="20"/>
        <w:szCs w:val="20"/>
      </w:rPr>
      <w:tab/>
    </w:r>
    <w:r>
      <w:rPr>
        <w:rFonts w:hint="eastAsia" w:eastAsia="宋体"/>
        <w:sz w:val="20"/>
        <w:szCs w:val="20"/>
      </w:rPr>
      <w:tab/>
    </w:r>
    <w:r>
      <w:rPr>
        <w:rFonts w:hint="eastAsia" w:eastAsia="宋体"/>
        <w:sz w:val="20"/>
        <w:szCs w:val="20"/>
      </w:rPr>
      <w:tab/>
    </w:r>
    <w:r>
      <w:rPr>
        <w:rFonts w:hint="eastAsia" w:eastAsia="宋体"/>
        <w:sz w:val="20"/>
        <w:szCs w:val="20"/>
      </w:rPr>
      <w:t xml:space="preserve"> 社会稳定风险评估报告            </w:t>
    </w:r>
  </w:p>
  <w:p>
    <w:pPr>
      <w:pStyle w:val="11"/>
      <w:rPr>
        <w:rFonts w:eastAsia="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eastAsia="宋体"/>
        <w:sz w:val="20"/>
        <w:szCs w:val="20"/>
      </w:rPr>
      <w:t xml:space="preserve">                                                                                                                 社会稳定风险评估报告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6480" w:firstLineChars="3600"/>
      <w:rPr>
        <w:rFonts w:eastAsia="宋体"/>
      </w:rPr>
    </w:pPr>
    <w:r>
      <w:rPr>
        <w:rFonts w:hint="eastAsia" w:eastAsia="宋体"/>
      </w:rPr>
      <w:t>社会稳定风险评估报告</w:t>
    </w:r>
  </w:p>
  <w:p>
    <w:pPr>
      <w:pStyle w:val="1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6480" w:firstLineChars="3600"/>
      <w:rPr>
        <w:rFonts w:eastAsia="宋体"/>
      </w:rPr>
    </w:pPr>
    <w:r>
      <w:rPr>
        <w:rFonts w:hint="eastAsia" w:eastAsia="宋体"/>
      </w:rPr>
      <w:t>社会稳定风险评估报告</w:t>
    </w:r>
  </w:p>
  <w:p>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F3941"/>
    <w:multiLevelType w:val="singleLevel"/>
    <w:tmpl w:val="823F3941"/>
    <w:lvl w:ilvl="0" w:tentative="0">
      <w:start w:val="1"/>
      <w:numFmt w:val="decimal"/>
      <w:suff w:val="nothing"/>
      <w:lvlText w:val="%1、"/>
      <w:lvlJc w:val="left"/>
    </w:lvl>
  </w:abstractNum>
  <w:abstractNum w:abstractNumId="1">
    <w:nsid w:val="90790A9F"/>
    <w:multiLevelType w:val="singleLevel"/>
    <w:tmpl w:val="90790A9F"/>
    <w:lvl w:ilvl="0" w:tentative="0">
      <w:start w:val="1"/>
      <w:numFmt w:val="chineseCounting"/>
      <w:suff w:val="nothing"/>
      <w:lvlText w:val="%1、"/>
      <w:lvlJc w:val="left"/>
      <w:rPr>
        <w:rFonts w:hint="eastAsia"/>
      </w:rPr>
    </w:lvl>
  </w:abstractNum>
  <w:abstractNum w:abstractNumId="2">
    <w:nsid w:val="BAE9FA85"/>
    <w:multiLevelType w:val="singleLevel"/>
    <w:tmpl w:val="BAE9FA85"/>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defaultTabStop w:val="420"/>
  <w:noPunctuationKerning w:val="1"/>
  <w:characterSpacingControl w:val="doNotCompress"/>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docVars>
    <w:docVar w:name="commondata" w:val="eyJoZGlkIjoiMzA4Mzg3Njg1OWU2NDgyYTIzNDk5ZDc1OTY0YTBjNmIifQ=="/>
  </w:docVars>
  <w:rsids>
    <w:rsidRoot w:val="00624459"/>
    <w:rsid w:val="002D4C57"/>
    <w:rsid w:val="00415C2B"/>
    <w:rsid w:val="004F21ED"/>
    <w:rsid w:val="00624459"/>
    <w:rsid w:val="00644661"/>
    <w:rsid w:val="006F7633"/>
    <w:rsid w:val="00883646"/>
    <w:rsid w:val="008C748F"/>
    <w:rsid w:val="0095516B"/>
    <w:rsid w:val="009B6BC1"/>
    <w:rsid w:val="00A170E3"/>
    <w:rsid w:val="00AD0946"/>
    <w:rsid w:val="00AF2028"/>
    <w:rsid w:val="00C21E63"/>
    <w:rsid w:val="00CA6FF6"/>
    <w:rsid w:val="00D44C66"/>
    <w:rsid w:val="00E319F5"/>
    <w:rsid w:val="00EB6AEE"/>
    <w:rsid w:val="019D4375"/>
    <w:rsid w:val="03BB6210"/>
    <w:rsid w:val="05467D5B"/>
    <w:rsid w:val="065E775E"/>
    <w:rsid w:val="06DD0106"/>
    <w:rsid w:val="07A478CC"/>
    <w:rsid w:val="0928131E"/>
    <w:rsid w:val="094E3039"/>
    <w:rsid w:val="09E52D56"/>
    <w:rsid w:val="0CE045F1"/>
    <w:rsid w:val="0E0E650A"/>
    <w:rsid w:val="0F372455"/>
    <w:rsid w:val="0FFC7994"/>
    <w:rsid w:val="122B61CC"/>
    <w:rsid w:val="12E0090C"/>
    <w:rsid w:val="13590ACA"/>
    <w:rsid w:val="139B2C71"/>
    <w:rsid w:val="13DA3D85"/>
    <w:rsid w:val="15820E94"/>
    <w:rsid w:val="15DF0CC5"/>
    <w:rsid w:val="16B709B6"/>
    <w:rsid w:val="175A62A6"/>
    <w:rsid w:val="180B1504"/>
    <w:rsid w:val="19537C56"/>
    <w:rsid w:val="19CA2B09"/>
    <w:rsid w:val="1A7D12AA"/>
    <w:rsid w:val="1DE32193"/>
    <w:rsid w:val="1F135DE7"/>
    <w:rsid w:val="1FD06747"/>
    <w:rsid w:val="208A16C5"/>
    <w:rsid w:val="22E571F5"/>
    <w:rsid w:val="24110588"/>
    <w:rsid w:val="26213161"/>
    <w:rsid w:val="27BE6AC2"/>
    <w:rsid w:val="287879D3"/>
    <w:rsid w:val="29220014"/>
    <w:rsid w:val="29276A90"/>
    <w:rsid w:val="29B97517"/>
    <w:rsid w:val="29FB3F8C"/>
    <w:rsid w:val="2A7F27ED"/>
    <w:rsid w:val="2AC1560A"/>
    <w:rsid w:val="2DF134C4"/>
    <w:rsid w:val="2E923254"/>
    <w:rsid w:val="2EFF2D96"/>
    <w:rsid w:val="2F166896"/>
    <w:rsid w:val="2FB27C17"/>
    <w:rsid w:val="30666B5A"/>
    <w:rsid w:val="30B775B4"/>
    <w:rsid w:val="30FA7B4B"/>
    <w:rsid w:val="31641007"/>
    <w:rsid w:val="317A0339"/>
    <w:rsid w:val="33020549"/>
    <w:rsid w:val="33826993"/>
    <w:rsid w:val="34CC4E81"/>
    <w:rsid w:val="380F316E"/>
    <w:rsid w:val="385E6DFA"/>
    <w:rsid w:val="38797524"/>
    <w:rsid w:val="39220CCA"/>
    <w:rsid w:val="392967E4"/>
    <w:rsid w:val="396A5273"/>
    <w:rsid w:val="39E1598D"/>
    <w:rsid w:val="3BBA5E42"/>
    <w:rsid w:val="3C0D4B53"/>
    <w:rsid w:val="3DCF39C9"/>
    <w:rsid w:val="3DE46F51"/>
    <w:rsid w:val="3E636D5F"/>
    <w:rsid w:val="3F6820A1"/>
    <w:rsid w:val="3F744FED"/>
    <w:rsid w:val="40A85354"/>
    <w:rsid w:val="40A8597D"/>
    <w:rsid w:val="40AC00DE"/>
    <w:rsid w:val="4129319B"/>
    <w:rsid w:val="421978AC"/>
    <w:rsid w:val="425332A5"/>
    <w:rsid w:val="42913E89"/>
    <w:rsid w:val="42EE1514"/>
    <w:rsid w:val="443C5186"/>
    <w:rsid w:val="454271FD"/>
    <w:rsid w:val="484D0A8E"/>
    <w:rsid w:val="4888078B"/>
    <w:rsid w:val="49D84173"/>
    <w:rsid w:val="4BDA6628"/>
    <w:rsid w:val="4CDA71AC"/>
    <w:rsid w:val="4D6F4D8B"/>
    <w:rsid w:val="4EFA2CFE"/>
    <w:rsid w:val="4F3F083F"/>
    <w:rsid w:val="4FFC6B33"/>
    <w:rsid w:val="50EB4D8E"/>
    <w:rsid w:val="515B360B"/>
    <w:rsid w:val="541A3860"/>
    <w:rsid w:val="545F2979"/>
    <w:rsid w:val="54EA42B1"/>
    <w:rsid w:val="55BA57DC"/>
    <w:rsid w:val="573A403D"/>
    <w:rsid w:val="57E66DCE"/>
    <w:rsid w:val="582C7CB7"/>
    <w:rsid w:val="592310BA"/>
    <w:rsid w:val="597160E4"/>
    <w:rsid w:val="59C73E14"/>
    <w:rsid w:val="59FD4F03"/>
    <w:rsid w:val="5CAC5847"/>
    <w:rsid w:val="5ED27E4E"/>
    <w:rsid w:val="5F290585"/>
    <w:rsid w:val="6098117E"/>
    <w:rsid w:val="60CB67FA"/>
    <w:rsid w:val="615E78C6"/>
    <w:rsid w:val="61AD6026"/>
    <w:rsid w:val="62ED24AB"/>
    <w:rsid w:val="637F05D9"/>
    <w:rsid w:val="64E65313"/>
    <w:rsid w:val="655D0BDF"/>
    <w:rsid w:val="66021E85"/>
    <w:rsid w:val="66555831"/>
    <w:rsid w:val="665E1984"/>
    <w:rsid w:val="66871800"/>
    <w:rsid w:val="679B57F3"/>
    <w:rsid w:val="6A1E6047"/>
    <w:rsid w:val="6B0E333C"/>
    <w:rsid w:val="6B180782"/>
    <w:rsid w:val="6DAC197C"/>
    <w:rsid w:val="6DAC30BF"/>
    <w:rsid w:val="6F6E1C77"/>
    <w:rsid w:val="708701E7"/>
    <w:rsid w:val="70DA0571"/>
    <w:rsid w:val="72192474"/>
    <w:rsid w:val="726B4521"/>
    <w:rsid w:val="72855CB2"/>
    <w:rsid w:val="72C03689"/>
    <w:rsid w:val="76094CB9"/>
    <w:rsid w:val="76F61D3B"/>
    <w:rsid w:val="771A69B7"/>
    <w:rsid w:val="7788351F"/>
    <w:rsid w:val="77AD6F3B"/>
    <w:rsid w:val="79C51D5B"/>
    <w:rsid w:val="7A2630EB"/>
    <w:rsid w:val="7BD06079"/>
    <w:rsid w:val="7C365F96"/>
    <w:rsid w:val="7D2517BD"/>
    <w:rsid w:val="7D634ACA"/>
    <w:rsid w:val="7F1257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eastAsia="黑体"/>
      <w:b/>
      <w:sz w:val="32"/>
    </w:rPr>
  </w:style>
  <w:style w:type="paragraph" w:styleId="5">
    <w:name w:val="heading 3"/>
    <w:basedOn w:val="1"/>
    <w:next w:val="1"/>
    <w:qFormat/>
    <w:uiPriority w:val="0"/>
    <w:pPr>
      <w:keepNext/>
      <w:keepLines/>
      <w:spacing w:before="260" w:after="260"/>
      <w:outlineLvl w:val="2"/>
    </w:pPr>
    <w:rPr>
      <w:rFonts w:ascii="Times New Roman" w:hAnsi="Times New Roman" w:eastAsia="宋体" w:cs="Times New Roman"/>
      <w:b/>
      <w:bCs/>
      <w:sz w:val="28"/>
      <w:szCs w:val="32"/>
    </w:rPr>
  </w:style>
  <w:style w:type="paragraph" w:styleId="6">
    <w:name w:val="heading 4"/>
    <w:basedOn w:val="1"/>
    <w:next w:val="1"/>
    <w:unhideWhenUsed/>
    <w:qFormat/>
    <w:uiPriority w:val="0"/>
    <w:pPr>
      <w:keepNext/>
      <w:keepLines/>
      <w:spacing w:before="280" w:after="290" w:line="372" w:lineRule="auto"/>
      <w:outlineLvl w:val="3"/>
    </w:pPr>
    <w:rPr>
      <w:rFonts w:eastAsia="黑体"/>
      <w:b/>
      <w:sz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line="360" w:lineRule="auto"/>
      <w:ind w:firstLine="759" w:firstLineChars="271"/>
    </w:pPr>
    <w:rPr>
      <w:rFonts w:ascii="宋体" w:hAnsi="Times New Roman" w:eastAsia="宋体" w:cs="Times New Roman"/>
      <w:color w:val="FF6600"/>
      <w:sz w:val="28"/>
    </w:rPr>
  </w:style>
  <w:style w:type="paragraph" w:styleId="7">
    <w:name w:val="caption"/>
    <w:basedOn w:val="1"/>
    <w:next w:val="1"/>
    <w:qFormat/>
    <w:uiPriority w:val="0"/>
    <w:rPr>
      <w:rFonts w:eastAsia="黑体"/>
      <w:sz w:val="20"/>
    </w:rPr>
  </w:style>
  <w:style w:type="paragraph" w:styleId="8">
    <w:name w:val="Body Text"/>
    <w:basedOn w:val="1"/>
    <w:qFormat/>
    <w:uiPriority w:val="1"/>
    <w:rPr>
      <w:rFonts w:ascii="宋体" w:hAnsi="宋体" w:eastAsia="宋体" w:cs="宋体"/>
      <w:sz w:val="24"/>
      <w:szCs w:val="24"/>
    </w:rPr>
  </w:style>
  <w:style w:type="paragraph" w:styleId="9">
    <w:name w:val="toc 3"/>
    <w:basedOn w:val="1"/>
    <w:next w:val="1"/>
    <w:qFormat/>
    <w:uiPriority w:val="39"/>
    <w:pPr>
      <w:ind w:left="840" w:leftChars="400"/>
    </w:pPr>
  </w:style>
  <w:style w:type="paragraph" w:styleId="10">
    <w:name w:val="footer"/>
    <w:basedOn w:val="1"/>
    <w:qFormat/>
    <w:uiPriority w:val="0"/>
    <w:pPr>
      <w:tabs>
        <w:tab w:val="center" w:pos="4153"/>
        <w:tab w:val="right" w:pos="8306"/>
      </w:tabs>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Normal (Web)"/>
    <w:basedOn w:val="1"/>
    <w:qFormat/>
    <w:uiPriority w:val="0"/>
    <w:pPr>
      <w:spacing w:beforeAutospacing="1" w:afterAutospacing="1"/>
    </w:pPr>
    <w:rPr>
      <w:rFonts w:cs="Times New Roman"/>
      <w:sz w:val="24"/>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styleId="20">
    <w:name w:val="List Paragraph"/>
    <w:basedOn w:val="1"/>
    <w:qFormat/>
    <w:uiPriority w:val="1"/>
    <w:pPr>
      <w:ind w:left="1337" w:firstLine="480"/>
    </w:pPr>
    <w:rPr>
      <w:rFonts w:ascii="宋体" w:hAnsi="宋体" w:eastAsia="宋体" w:cs="宋体"/>
    </w:rPr>
  </w:style>
  <w:style w:type="character" w:customStyle="1" w:styleId="21">
    <w:name w:val="font31"/>
    <w:basedOn w:val="17"/>
    <w:qFormat/>
    <w:uiPriority w:val="0"/>
    <w:rPr>
      <w:rFonts w:hint="default" w:ascii="Times New Roman" w:hAnsi="Times New Roman" w:cs="Times New Roman"/>
      <w:b/>
      <w:bCs/>
      <w:color w:val="000000"/>
      <w:sz w:val="21"/>
      <w:szCs w:val="21"/>
      <w:u w:val="none"/>
    </w:rPr>
  </w:style>
  <w:style w:type="character" w:customStyle="1" w:styleId="22">
    <w:name w:val="font21"/>
    <w:basedOn w:val="17"/>
    <w:qFormat/>
    <w:uiPriority w:val="0"/>
    <w:rPr>
      <w:rFonts w:hint="eastAsia" w:ascii="宋体" w:hAnsi="宋体" w:eastAsia="宋体" w:cs="宋体"/>
      <w:color w:val="000000"/>
      <w:sz w:val="21"/>
      <w:szCs w:val="21"/>
      <w:u w:val="none"/>
    </w:rPr>
  </w:style>
  <w:style w:type="character" w:customStyle="1" w:styleId="23">
    <w:name w:val="font61"/>
    <w:basedOn w:val="17"/>
    <w:qFormat/>
    <w:uiPriority w:val="0"/>
    <w:rPr>
      <w:rFonts w:hint="default" w:ascii="Times New Roman" w:hAnsi="Times New Roman" w:cs="Times New Roman"/>
      <w:color w:val="000000"/>
      <w:sz w:val="21"/>
      <w:szCs w:val="21"/>
      <w:u w:val="none"/>
    </w:r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7">
    <w:name w:val="font41"/>
    <w:basedOn w:val="17"/>
    <w:qFormat/>
    <w:uiPriority w:val="0"/>
    <w:rPr>
      <w:rFonts w:hint="default" w:ascii="Times New Roman" w:hAnsi="Times New Roman" w:cs="Times New Roman"/>
      <w:color w:val="000000"/>
      <w:sz w:val="21"/>
      <w:szCs w:val="21"/>
      <w:u w:val="none"/>
    </w:rPr>
  </w:style>
  <w:style w:type="character" w:customStyle="1" w:styleId="28">
    <w:name w:val="font11"/>
    <w:basedOn w:val="17"/>
    <w:qFormat/>
    <w:uiPriority w:val="0"/>
    <w:rPr>
      <w:rFonts w:hint="default" w:ascii="Times New Roman" w:hAnsi="Times New Roman" w:cs="Times New Roman"/>
      <w:b/>
      <w:bCs/>
      <w:color w:val="000000"/>
      <w:sz w:val="21"/>
      <w:szCs w:val="21"/>
      <w:u w:val="none"/>
    </w:rPr>
  </w:style>
  <w:style w:type="character" w:customStyle="1" w:styleId="29">
    <w:name w:val="font51"/>
    <w:uiPriority w:val="0"/>
    <w:rPr>
      <w:rFonts w:hint="default" w:ascii="Times New Roman" w:hAnsi="Times New Roman" w:cs="Times New Roman"/>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18403</Words>
  <Characters>20133</Characters>
  <Lines>171</Lines>
  <Paragraphs>48</Paragraphs>
  <TotalTime>0</TotalTime>
  <ScaleCrop>false</ScaleCrop>
  <LinksUpToDate>false</LinksUpToDate>
  <CharactersWithSpaces>20505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2021-01-11T10:34:00Z</dcterms:created>
  <dc:creator>user</dc:creator>
  <cp:lastModifiedBy>Administrator</cp:lastModifiedBy>
  <cp:lastPrinted>2022-10-11T10:37:00Z</cp:lastPrinted>
  <dcterms:modified xsi:type="dcterms:W3CDTF">2022-11-17T00:31:43Z</dcterms:modified>
  <dc:title>目　　录</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2021-08-27T14:00:09Z</vt:filetime>
  </property>
  <property fmtid="{D5CDD505-2E9C-101B-9397-08002B2CF9AE}" pid="4" name="KSOProductBuildVer">
    <vt:lpwstr>2052-11.1.0.12763</vt:lpwstr>
  </property>
  <property fmtid="{D5CDD505-2E9C-101B-9397-08002B2CF9AE}" pid="5" name="ICV">
    <vt:lpwstr>442D1E820B6C4EE781F8543EF6B87511</vt:lpwstr>
  </property>
</Properties>
</file>