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pStyle w:val="PO151"/>
        <w:jc w:val="center"/>
        <w:shd w:val="clear" w:color="000000" w:fill="FFFFFF"/>
        <w:spacing w:lineRule="exact" w:line="560" w:beforeAutospacing="1" w:afterAutospacing="1"/>
        <w:rPr>
          <w:color w:val="333333"/>
          <w:sz w:val="44"/>
          <w:szCs w:val="44"/>
          <w:shd w:val="clear" w:color="000000" w:fill="FFFFFF"/>
          <w:rFonts w:ascii="文星标宋" w:eastAsia="文星标宋" w:hAnsi="文星标宋" w:cs="文星标宋"/>
        </w:rPr>
      </w:pPr>
      <w:r>
        <w:rPr>
          <w:color w:val="333333"/>
          <w:sz w:val="44"/>
          <w:szCs w:val="44"/>
          <w:shd w:val="clear" w:color="000000" w:fill="FFFFFF"/>
          <w:rFonts w:ascii="文星标宋" w:eastAsia="文星标宋" w:hAnsi="文星标宋" w:cs="文星标宋"/>
        </w:rPr>
        <w:t>济南市历城区2019年</w:t>
      </w:r>
    </w:p>
    <w:p>
      <w:pPr>
        <w:pStyle w:val="PO151"/>
        <w:jc w:val="center"/>
        <w:shd w:val="clear" w:color="000000" w:fill="FFFFFF"/>
        <w:spacing w:lineRule="exact" w:line="560" w:beforeAutospacing="1" w:afterAutospacing="1"/>
        <w:rPr>
          <w:color w:val="333333"/>
          <w:sz w:val="44"/>
          <w:szCs w:val="44"/>
          <w:rFonts w:ascii="文星标宋" w:eastAsia="文星标宋" w:hAnsi="文星标宋" w:cs="文星标宋"/>
        </w:rPr>
      </w:pPr>
      <w:r>
        <w:rPr>
          <w:color w:val="333333"/>
          <w:sz w:val="44"/>
          <w:szCs w:val="44"/>
          <w:shd w:val="clear" w:color="000000" w:fill="FFFFFF"/>
          <w:rFonts w:ascii="文星标宋" w:eastAsia="文星标宋" w:hAnsi="文星标宋" w:cs="文星标宋"/>
        </w:rPr>
        <w:t>政府信息公开工作年度报告</w:t>
      </w:r>
    </w:p>
    <w:p>
      <w:pPr>
        <w:pStyle w:val="PO151"/>
        <w:jc w:val="both"/>
        <w:shd w:val="clear" w:color="000000" w:fill="FFFFFF"/>
        <w:spacing w:lineRule="exact" w:line="560" w:beforeAutospacing="1" w:afterAutospacing="1"/>
        <w:ind w:firstLine="640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</w:pP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根据《中华人民共和国政府信息公开条例》（以下简称《条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例》）、《山东省政府信息公开办法》（以下简称《办法》）的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要求，特向社会公布2019年度本级政府信息公开年度报告。本报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告由总体情况；主动公开政府信息情况；收到和处理政府信息公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开申请情况；政府信息公开行政复议、行政诉讼情况；存在的主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要问题及改进情况；其他需要报告的事项共六个部分组成。本报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告中所列数据的统计期限自2019年1月1日起至2019年12月31日止。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如对本报告有任何疑问，请与济南市历城区人民政府办公室联系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（地址：济南市历城区山大北路47号；邮编：250100；电话：05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31-88023751；电子邮箱：jnslcqzfbgszwgk@jn.shandong.cn）。</w:t>
      </w:r>
    </w:p>
    <w:p>
      <w:pPr>
        <w:pStyle w:val="PO151"/>
        <w:jc w:val="both"/>
        <w:shd w:val="clear" w:color="000000" w:fill="FFFFFF"/>
        <w:spacing w:lineRule="exact" w:line="560" w:beforeAutospacing="1" w:afterAutospacing="1"/>
        <w:ind w:firstLine="640"/>
        <w:rPr>
          <w:b w:val="1"/>
          <w:color w:val="333333"/>
          <w:sz w:val="32"/>
          <w:szCs w:val="32"/>
          <w:rFonts w:ascii="黑体" w:eastAsia="黑体" w:hAnsi="黑体" w:cs="黑体"/>
        </w:rPr>
      </w:pPr>
      <w:r>
        <w:rPr>
          <w:b w:val="1"/>
          <w:color w:val="333333"/>
          <w:sz w:val="32"/>
          <w:szCs w:val="32"/>
          <w:shd w:val="clear" w:color="000000" w:fill="FFFFFF"/>
          <w:rFonts w:ascii="黑体" w:eastAsia="黑体" w:hAnsi="黑体" w:cs="黑体"/>
        </w:rPr>
        <w:t>一、总体情况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0"/>
        <w:rPr>
          <w:rtl w:val="0"/>
          <w:rStyle w:val="PO1"/>
          <w:spacing w:val="0"/>
          <w:color w:val="auto"/>
          <w:sz w:val="32"/>
          <w:szCs w:val="32"/>
          <w:rFonts w:ascii="楷体_GB2312" w:eastAsia="楷体_GB2312" w:hAnsi="楷体_GB2312" w:cs="楷体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32"/>
          <w:szCs w:val="32"/>
          <w:rFonts w:ascii="楷体_GB2312" w:eastAsia="楷体_GB2312" w:hAnsi="楷体_GB2312" w:cs="楷体_GB2312"/>
        </w:rPr>
        <w:t>（一）强化组织领导，夯实信息公开工作基础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一是理顺领导机制。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2019年，我区下发了《济南市历城区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人民政府办公室关于调整历城区政务公开领导小组的通知》，调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整充实了我区政务公开领导小组，进一步理顺了领导机制。同时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区政府办公室利用机构改革的契机，设立政务公开专门科室政务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科，全面负责推进全区政务公开工作，为更好的推进全区政务公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开工作奠定了坚实的组织基础。</w:t>
      </w:r>
    </w:p>
    <w:p>
      <w:pPr>
        <w:bidi w:val="0"/>
        <w:jc w:val="left"/>
        <w:spacing w:lineRule="auto" w:line="240" w:before="0" w:after="0"/>
        <w:pageBreakBefore w:val="0"/>
        <w:ind w:left="-566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8285" cy="674116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/AppData/Roaming/JisuOffice/ETemp/27884_6737912/fImage64799877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674179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二是精心组织谋划。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2019年8月我区印发了《2019年济南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市历城区政务公开工作要点》，对我区政务公开工作进行了周密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部署，确保国家、省、市各项工作要求落到实处。区政府办公室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召开了2次政务公开集中培训会和7次“以干代训”集中办公活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动，对新版《条例》、《2019年政务公开工作要点》及重点领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域政务公开工作进行专题培训，以点带面，提升工作能力，增强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公开意识。区政府办公室还利用《政府信息公开条例》新修订出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台的有利契机，深入社区宣传我区政务公开工作，组织有关工作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人员与群众面对面沟通交流，营造社会公众充分知情、有序参与、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全面监督的良好氛围。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4729480" cy="64154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admin/AppData/Roaming/JisuOffice/ETemp/27884_6737912/fImage24457197846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64160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4867275" cy="3545205"/>
            <wp:effectExtent l="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dmin/AppData/Roaming/JisuOffice/ETemp/27884_6737912/fImage576273110633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3545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4847590" cy="3213100"/>
            <wp:effectExtent l="0" t="0" r="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admin/AppData/Roaming/JisuOffice/ETemp/27884_6737912/fImage38245868265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137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三是强化监督考核。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2019年，我区继续加大政务公开工作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考核力度，将所占分值由10分调整为20分，进一步增强了全区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各级各部门做好政务公开工作的紧迫感和责任感。今年10月份，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区政府办公室针对全区政务公开工作开展情况进行了为期1个月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的第三方中期评估，形成问题清单47份，第一时间送达相关单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位，保证有的放矢开展整改工作。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4693285" cy="4029710"/>
            <wp:effectExtent l="0" t="0" r="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admin/AppData/Roaming/JisuOffice/ETemp/27884_6737912/fImage23668892916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40303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60" w:before="0" w:after="0"/>
        <w:pageBreakBefore w:val="0"/>
        <w:ind w:left="0" w:right="0" w:firstLine="640"/>
        <w:rPr>
          <w:rtl w:val="0"/>
          <w:rStyle w:val="PO1"/>
          <w:spacing w:val="0"/>
          <w:color w:val="auto"/>
          <w:sz w:val="32"/>
          <w:szCs w:val="32"/>
          <w:rFonts w:ascii="楷体_GB2312" w:eastAsia="楷体_GB2312" w:hAnsi="楷体_GB2312" w:cs="楷体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32"/>
          <w:szCs w:val="32"/>
          <w:rFonts w:ascii="楷体_GB2312" w:eastAsia="楷体_GB2312" w:hAnsi="楷体_GB2312" w:cs="楷体_GB2312"/>
        </w:rPr>
        <w:t>（二）优化平台建设，拓展主动公开广度深度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一是强化政府网站平台建设。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坚持把区政府门户网站作为政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务公开“主阵地”，突出内容保障，严格信息发布，强化网站管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理，实现政务服务、政务公开、互动交流、资源共享的融合，建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成全区网上为民服务总入口。2019年12月，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根据全市统一安排，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我区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本着“促进公开，方便公众”的原则，按照《条例》第二十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条的相关规定，完成了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主动公开目录调整充实工作，共计调整细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化目录近百个，迁移历史数据27000余条，对网站首页、政务公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开、重点领域等频道页面进行了重新设计，对教育专栏、扶贫专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栏、环保专栏等近十个专栏进行了栏目重置，极大提高了公众获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取政府信息的便利性。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8285" cy="3510915"/>
            <wp:effectExtent l="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admin/AppData/Roaming/JisuOffice/ETemp/27884_6737912/fImage6427810557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51155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auto" w:line="240" w:before="0" w:after="0"/>
        <w:pageBreakBefore w:val="0"/>
        <w:ind w:left="-566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726430" cy="427609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/Users/admin/AppData/Roaming/JisuOffice/ETemp/27884_6737912/fImage165049102147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427672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二是深化推进决策执行公开。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1、加强基础信息公开。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强化机构职能、公务员考录、便民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服务等基础信息主动公开力度，形成动态调整机制，确保准确性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和实用性。2019年针对政务服务网行政许可、行政处罚等10项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行政权力的办事依据、条件、程序等便民信息进行了两轮梳理修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正，提高信息准确性。</w:t>
      </w:r>
    </w:p>
    <w:p>
      <w:pPr>
        <w:bidi w:val="0"/>
        <w:jc w:val="both"/>
        <w:spacing w:lineRule="auto" w:line="240" w:before="0" w:after="0"/>
        <w:pageBreakBefore w:val="0"/>
        <w:ind w:left="-566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3376930"/>
            <wp:effectExtent l="0" t="0" r="0" b="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/Users/admin/AppData/Roaming/JisuOffice/ETemp/27884_6737912/fImage111759614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3775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sz w:val="32"/>
          <w:szCs w:val="32"/>
          <w:rFonts w:ascii="仿宋_GB2312" w:eastAsia="仿宋_GB2312" w:hAnsi="仿宋_GB2312" w:cs="仿宋_GB2312" w:hAnsiTheme="minorHAnsi" w:cstheme="minorBidi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2、加强决策公开。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设立“调查征集”栏目，对涉及群众切身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利益、需要社会广泛知晓的重大行政决策，在决策前向社会公布决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策草案、决策依据，广泛听取公众意见，并以适当方式公开意见收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集汇总、采纳情况和未予采纳的理由等。2019年，开通了“我为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政府工作建言献策”栏目，广泛了解民情、听取民声、汇聚民智，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增强公众参与度、工作精准度和决策透明度。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4870450" cy="4079875"/>
            <wp:effectExtent l="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admin/AppData/Roaming/JisuOffice/ETemp/27884_6737912/fImage46490366846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40805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3、加强会议公开。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设立“区政府常务会议”、“区政府专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题会议”专栏，集中展示区政府会议信息，包含会议时间、参加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人员、相关议题，会议要求等，方便公众第一时间了解区内重要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决策。2019年共计公开区政府常务会议11次，区政府专题会议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50余次。</w:t>
      </w:r>
    </w:p>
    <w:p>
      <w:pPr>
        <w:bidi w:val="0"/>
        <w:jc w:val="both"/>
        <w:spacing w:lineRule="auto" w:line="240" w:before="0" w:after="0"/>
        <w:pageBreakBefore w:val="0"/>
        <w:ind w:left="320" w:right="0" w:firstLine="32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3917950"/>
            <wp:effectExtent l="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admin/AppData/Roaming/JisuOffice/ETemp/27884_6737912/fImage2807906063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91858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 xml:space="preserve"> </w:t>
      </w:r>
    </w:p>
    <w:p>
      <w:pPr>
        <w:bidi w:val="0"/>
        <w:jc w:val="both"/>
        <w:spacing w:lineRule="exact" w:line="60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4、加强决策执行情况的公开。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设立“年度重点任务信息公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开”、“审计公开”等栏目，紧紧围绕区委、区政府重大决策事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项全方位公开发布落实情况，包括任务目标、责任分工、工作进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展、工作成效等。各责任单位根据任务分工，按照时间节点定期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公开本单位工作进展。通过专项审计、第三方评估等多种形式，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开展决策执行效果的审计和评估，并及时公开相关结果。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2990215"/>
            <wp:effectExtent l="0" t="0" r="0" b="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admin/AppData/Roaming/JisuOffice/ETemp/27884_6737912/fImage3256666965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99085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600" w:before="0" w:after="0"/>
        <w:pageBreakBefore w:val="0"/>
        <w:ind w:left="0" w:right="0" w:firstLine="643"/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5、加强行政执法信息公开。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设立“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行政执法公示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”栏目，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按照“谁执法谁公示”的原则，对行政执法的“事前”、“事中”、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“事后”等相关信息进行集中公开，进一步规范各部门的执法行为。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356743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admin/AppData/Roaming/JisuOffice/ETemp/27884_6737912/fImage24063868916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5680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三是做好重点领域信息公开。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区政府办公室根据省市工作安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排，调整了重点领域信息公开目录，并制定了《2019年济南市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历城区政务公开重点工作任务分解表》，对相关工作进行了责任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分工，明确了主要任务、公开内容、公开时限、公开方式、牵头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单位和责任单位等。区政府办公室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分批次组织全区26个重点部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门开展了集中办公，利用一周的时间对信息发布、目录体系梳理、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目录信息保障等进行了细致讲解，各部门工作人员通过现场操作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和深入交流，进一步加深了对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重点领域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主动公开工作的理解，确</w:t>
      </w:r>
      <w:r>
        <w:rPr>
          <w:color w:val="auto"/>
          <w:sz w:val="32"/>
          <w:szCs w:val="32"/>
          <w:rFonts w:ascii="仿宋_GB2312" w:eastAsia="仿宋_GB2312" w:hAnsi="仿宋_GB2312" w:cs="仿宋_GB2312"/>
        </w:rPr>
        <w:t>保工作落到实处。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4867275" cy="3338195"/>
            <wp:effectExtent l="0" t="0" r="0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/Users/admin/AppData/Roaming/JisuOffice/ETemp/27884_6737912/fImage228724118446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333883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4859020" cy="3246755"/>
            <wp:effectExtent l="0" t="0" r="0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admin/AppData/Roaming/JisuOffice/ETemp/27884_6737912/fImage197517116570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24739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60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1、加强重大建设项目批准实施信息公开。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设立“重大建设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项目批准和实施领域”信息公开专栏，发布项目批准服务、批准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结果、征地、项目实施等方面的信息。重点发布了2019年我区1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30个重点项目的相关信息，包括项目名称、建设单位、建设内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容、工程时间、投资情况等，并按季度公开重点项目的进展情况。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3512185"/>
            <wp:effectExtent l="0" t="0" r="0" b="0"/>
            <wp:docPr id="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/Users/admin/AppData/Roaming/JisuOffice/ETemp/27884_6737912/fImage649827557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51282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60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2、加强公共资源交易配置信息公开。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以“济南公共资源交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易中心历城分中心”、“济南市历城区政府采购信息公开平台”，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“村（居）项目竞标”等平台专栏为依托，集中公开我区公共资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源交易配置相关信息，方便公众全程监督，促进权力阳光运行。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2019年，发布政府集中采购项目信息2140余条，涉及金额2733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36.93万元。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1145540"/>
            <wp:effectExtent l="0" t="0" r="0" b="0"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/Users/admin/AppData/Roaming/JisuOffice/ETemp/27884_6737912/fImage3272978147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114617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1471930"/>
            <wp:effectExtent l="0" t="0" r="0" b="0"/>
            <wp:docPr id="2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/Users/admin/AppData/Roaming/JisuOffice/ETemp/27884_6737912/fImage6687982935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14725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15887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/Users/admin/AppData/Roaming/JisuOffice/ETemp/27884_6737912/fImage4649380696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15894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600" w:before="0" w:after="0"/>
        <w:pageBreakBefore w:val="0"/>
        <w:ind w:left="0" w:right="0" w:firstLine="643"/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3、加强社会公益事业领域信息公开工作。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设立“扶贫专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栏”、“教育专栏”、“环保专栏”、“卫健专栏”等专题专栏，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细化重点领域中社会救助、社会福利、社会保险、就业和社会保障、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灾害事故救援、公共文化体育、应急管理等目录体系，使其更加精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准、实用，重点发布公众关注的教育、医疗、就业、低保、养老、</w:t>
      </w:r>
      <w:r>
        <w:rPr>
          <w:spacing w:val="0"/>
          <w:i w:val="0"/>
          <w:b w:val="0"/>
          <w:color w:val="333333"/>
          <w:sz w:val="31"/>
          <w:szCs w:val="31"/>
          <w:rFonts w:ascii="仿宋_GB2312" w:eastAsia="仿宋_GB2312" w:hAnsi="仿宋_GB2312" w:cs="仿宋_GB2312"/>
        </w:rPr>
        <w:t>困难补助、应急等方面的信息。2019年，我区共计发布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社会公益</w:t>
      </w:r>
      <w:r>
        <w:rPr>
          <w:rtl w:val="0"/>
          <w:rStyle w:val="PO1"/>
          <w:spacing w:val="0"/>
          <w:b w:val="0"/>
          <w:color w:val="auto"/>
          <w:sz w:val="32"/>
          <w:szCs w:val="32"/>
          <w:rFonts w:ascii="仿宋_GB2312" w:eastAsia="仿宋_GB2312" w:hAnsi="仿宋_GB2312" w:cs="仿宋_GB2312"/>
        </w:rPr>
        <w:t>事业领域信息2000余条。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4126230"/>
            <wp:effectExtent l="0" t="0" r="0" b="0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/Users/admin/AppData/Roaming/JisuOffice/ETemp/27884_6737912/fImage8184083446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41268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60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4、加强财政信息公开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。进一步梳理财政信息目录清单，增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加“价格与收费”、“收支管理”、“政府债务”、“区级财政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专项资金目录”等栏目，将财政预决算细分为预算和决算，更加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方便公众查询。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3449955"/>
            <wp:effectExtent l="0" t="0" r="0" b="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/Users/admin/AppData/Roaming/JisuOffice/ETemp/27884_6737912/fImage2352167357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45059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60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5、加强公共企事业单位信息公开。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针对政务公开工作要点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中“做好公共企事业单位信息公开”的要求，对教体局、卫健局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等重点部门，进行了座谈调研，面对面传达了工作要求，提出了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工作思路，明确了时间节点，同时在区政府门户网站上设置了专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题专栏，集中展示相关信息。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5110" cy="3053715"/>
            <wp:effectExtent l="0" t="0" r="0" b="0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/Users/admin/AppData/Roaming/JisuOffice/ETemp/27884_6737912/fImage23292372814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05435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四是完善政民互动和政策解读。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进一步理顺工作机制，确定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区热线办为政民互动栏目第一责任人，负责对市民来信进行分发、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督办、反馈、回访，高标准、高质量的回复群众来信。依托意见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征集栏目，开展“我为政府工作建言献策”活动，鼓励老百姓参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政议政。强化解读机制，以区政府或区政府办公室名义印发的面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向公众的政策性文件，按照“谁起草、谁解读”的原则，由牵头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单位将解读方案、解读材料一并上报。文件公布时，所有解读材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料与文件同步在区政府门户网站对外发布，并实现政策性文件和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解读材料的网上关联，方便公众查询、阅读。2019年，我区政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发和政办发的政策类文件实现100%解读。充分发挥政府门户网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站与政务微博、微信、移动客户端等新媒体的联动融合，让主动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公开渠道更加丰富，积极做好舆论引导，牢牢把握舆论主动权。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目前，我区门户网站已与“爱历城”微信公众号、历城数字报、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门户网站手机端进行了链接，实现了同一信息多端显示，有效增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加了受众群体，确保群众“看得到”、“听得懂”、“用的上”。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8285" cy="4197985"/>
            <wp:effectExtent l="0" t="0" r="0" b="0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/Users/admin/AppData/Roaming/JisuOffice/ETemp/27884_6737912/fImage138682137935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419862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8285" cy="5240020"/>
            <wp:effectExtent l="0" t="0" r="0" b="0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/Users/admin/AppData/Roaming/JisuOffice/ETemp/27884_6737912/fImage472300112696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524065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600" w:before="0" w:after="0"/>
        <w:pageBreakBefore w:val="0"/>
        <w:ind w:left="0" w:right="0" w:firstLine="640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五是人大建议、政协提案公开情况。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2019年，我区进一步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做好人大代表建议和政协委员提案办理结果公开工作，细化目录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体系，设立“人大代表建议办理”、“政协委员提案办理”、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“建议和提案总体情况”等专栏，公开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人大代表建议办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理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结果10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1件，政协提案办理结果102件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，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涉及城市建设、城市管理、教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科文卫体、三农、经济建设等方面。</w:t>
      </w:r>
    </w:p>
    <w:p>
      <w:pPr>
        <w:bidi w:val="0"/>
        <w:jc w:val="both"/>
        <w:spacing w:lineRule="exact" w:line="600" w:before="0" w:after="0"/>
        <w:pageBreakBefore w:val="0"/>
        <w:ind w:left="0" w:right="0" w:firstLine="640"/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六是政府信息管理情况。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对于已主动公开政府信息加强规范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管理，在强化主动公开的同时，对已发布信息进行梳理审查，形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成动态机制，对于已失效、已废止的规范性文件等进行第一时间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标注，确保政策的统一性。2019年我区对区级规范性文件进行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了梳理，发布了《历城区行政规范性文件制发主体清单》及区政</w:t>
      </w:r>
      <w:r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t>府制发规范性文件备案目录信息。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0"/>
        <w:rPr>
          <w:rtl w:val="0"/>
          <w:rStyle w:val="PO1"/>
          <w:spacing w:val="0"/>
          <w:color w:val="0D0D0D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6380" cy="3397250"/>
            <wp:effectExtent l="0" t="0" r="0" b="0"/>
            <wp:docPr id="4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/Users/admin/AppData/Roaming/JisuOffice/ETemp/27884_6737912/fImage124974654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39788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60" w:before="0" w:after="0"/>
        <w:pageBreakBefore w:val="0"/>
        <w:ind w:left="0" w:right="0" w:firstLine="640"/>
        <w:rPr>
          <w:rtl w:val="0"/>
          <w:rStyle w:val="PO1"/>
          <w:spacing w:val="0"/>
          <w:color w:val="auto"/>
          <w:sz w:val="32"/>
          <w:szCs w:val="32"/>
          <w:rFonts w:ascii="楷体_GB2312" w:eastAsia="楷体_GB2312" w:hAnsi="楷体_GB2312" w:cs="楷体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32"/>
          <w:szCs w:val="32"/>
          <w:rFonts w:ascii="楷体_GB2312" w:eastAsia="楷体_GB2312" w:hAnsi="楷体_GB2312" w:cs="楷体_GB2312"/>
        </w:rPr>
        <w:t>（三）注重依法依规，提高依申请公开专业水平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一是完善政府依申请公开协办督办机制。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区政府收到申请后，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由分管区长第一时间签批，由区政府办公室与涉事单位组成办件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小组，全程参与申请的办理和反馈，并确定一名责任人，建立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“一个申请、一个责任人、一抓到底”的工作机制，有效提高了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工作效率。区政府办公室对申请书统一编号、出具标准文本，定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期督办，确保程序、内容合法。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二是法律顾问助力依申请公开工作。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目前我区所有街道、绝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大部分政府部门均设有法律顾问，各相关单位在收到信息公开申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请书或协办件后，第一时间邀请法律顾问全程参与，提高了政府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信息依申请公开工作的合法性，降低了复议率和诉讼率。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三是建立事前沟通及预警机制。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对于一些牵扯面广、回复难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度较大的申请，区政府办公室适时组织涉事单位与当事人面对面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交流，第一时间解决申请人的具体问题，遇到超出政策范围的诉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求，全力做好政策解释、安抚等工作。同时，对于短期集中大量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出现的信息公开申请，区政府办公室对相关单位主要负责同志进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行电话通知，做出预警，要求他们通过事前沟通、加大主动公开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力度等措施，最大限度减少信息公开申请数量。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0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2019年，全区共计收到政府信息公开申请315件（同比增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加32.9%），304件自然人申请（占比96.5%）、7件商业企业申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请（占比2.2%）、1件法律服务机构申请（占比0.3%）、3件其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他法人或组织申请（占比1%），其中293件（占比93%）已按时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办结，22件（占比7%）结转下年度继续办理。因信息公开引起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的行政复议、行政诉讼也较去年大幅下降。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0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2019年,我区发生15起（同比降低16.7%）因政府信息公开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引发的行政复议案件，其中9起维持，1起纠正，4起其他结果，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1起尚未审结，分别占60%、6.7%、26.6%、6.7%。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0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2019年,我区发生24起（同比降低31.4%）因政府信息公开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引发的行政诉讼案件，其中8起维持，8起纠正,8起属尚未审结，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分别占33.4%、33.3%、33.3%。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0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8920" cy="4254500"/>
            <wp:effectExtent l="0" t="0" r="0" b="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/Users/admin/AppData/Roaming/JisuOffice/ETemp/27884_6737912/fImage443864441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42551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auto" w:line="240" w:before="0" w:after="0"/>
        <w:pageBreakBefore w:val="0"/>
        <w:ind w:left="0" w:right="0" w:firstLine="640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center"/>
        <w:spacing w:lineRule="auto" w:line="240" w:before="0" w:after="0"/>
        <w:pageBreakBefore w:val="0"/>
        <w:ind w:left="0" w:right="0" w:firstLine="640"/>
        <w:rPr>
          <w:b w:val="1"/>
          <w:color w:val="333333"/>
          <w:sz w:val="32"/>
          <w:szCs w:val="32"/>
          <w:shd w:val="clear" w:color="000000" w:fill="FFFFFF"/>
          <w:rFonts w:ascii="黑体" w:eastAsia="黑体" w:hAnsi="黑体" w:cs="黑体"/>
        </w:rPr>
        <w:snapToGrid w:val="on"/>
        <w:autoSpaceDE w:val="1"/>
        <w:autoSpaceDN w:val="1"/>
      </w:pPr>
      <w:r>
        <w:rPr>
          <w:sz w:val="20"/>
          <w:shd w:val="clear" w:color="auto" w:fill="FFFFFF"/>
        </w:rPr>
        <w:drawing>
          <wp:inline distT="0" distB="0" distL="0" distR="0">
            <wp:extent cx="5328920" cy="4254500"/>
            <wp:effectExtent l="0" t="0" r="0" b="0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/Users/admin/AppData/Roaming/JisuOffice/ETemp/27884_6737912/fImage60268508467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42551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51"/>
        <w:jc w:val="both"/>
        <w:shd w:val="clear" w:color="000000" w:fill="FFFFFF"/>
        <w:spacing w:lineRule="exact" w:line="560" w:beforeAutospacing="1" w:afterAutospacing="1" w:after="240"/>
        <w:ind w:firstLine="640"/>
        <w:rPr>
          <w:b w:val="1"/>
          <w:color w:val="333333"/>
          <w:sz w:val="32"/>
          <w:szCs w:val="32"/>
          <w:rFonts w:ascii="黑体" w:eastAsia="黑体" w:hAnsi="黑体" w:cs="黑体"/>
        </w:rPr>
      </w:pPr>
      <w:r>
        <w:rPr>
          <w:b w:val="1"/>
          <w:color w:val="333333"/>
          <w:sz w:val="32"/>
          <w:szCs w:val="32"/>
          <w:shd w:val="clear" w:color="000000" w:fill="FFFFFF"/>
          <w:rFonts w:ascii="黑体" w:eastAsia="黑体" w:hAnsi="黑体" w:cs="黑体"/>
        </w:rPr>
        <w:t>二、主动公开政府信息情况</w:t>
      </w:r>
    </w:p>
    <w:tbl>
      <w:tblID w:val="0"/>
      <w:tblPr>
        <w:tblCellMar>
          <w:left w:w="0" w:type="dxa"/>
          <w:top w:w="0" w:type="dxa"/>
          <w:right w:w="0" w:type="dxa"/>
          <w:bottom w:w="0" w:type="dxa"/>
        </w:tblCellMar>
        <w:tblW w:w="8708" w:type="dxa"/>
        <w:jc w:val="center"/>
        <w:tblLook w:val="0004A0" w:firstRow="1" w:lastRow="0" w:firstColumn="1" w:lastColumn="0" w:noHBand="0" w:noVBand="1"/>
        <w:tblLayout w:type="fixed"/>
      </w:tblPr>
      <w:tblGrid>
        <w:gridCol w:w="3073"/>
        <w:gridCol w:w="17"/>
        <w:gridCol w:w="2095"/>
        <w:gridCol w:w="1505"/>
        <w:gridCol w:w="2018"/>
      </w:tblGrid>
      <w:tr>
        <w:trPr>
          <w:trHeight w:hRule="atleast" w:val="594"/>
        </w:trPr>
        <w:tc>
          <w:tcPr>
            <w:tcW w:type="dxa" w:w="8708"/>
            <w:tcMar>
              <w:left w:w="108" w:type="dxa"/>
              <w:right w:w="108" w:type="dxa"/>
            </w:tcMar>
            <w:vAlign w:val="center"/>
            <w:gridSpan w:val="5"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第二十条第（一）项</w:t>
            </w:r>
          </w:p>
        </w:tc>
      </w:tr>
      <w:tr>
        <w:trPr>
          <w:trHeight w:hRule="atleast" w:val="866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信息内容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本年新制作数量</w:t>
            </w:r>
          </w:p>
        </w:tc>
        <w:tc>
          <w:tcPr>
            <w:tcW w:type="dxa" w:w="15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本年新</w:t>
            </w: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br/>
            </w: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公开数量</w:t>
            </w:r>
          </w:p>
        </w:tc>
        <w:tc>
          <w:tcPr>
            <w:tcW w:type="dxa" w:w="2018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对外公开</w:t>
            </w:r>
          </w:p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总数量</w:t>
            </w:r>
          </w:p>
        </w:tc>
      </w:tr>
      <w:tr>
        <w:trPr>
          <w:trHeight w:hRule="atleast" w:val="399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规章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0</w:t>
            </w:r>
          </w:p>
        </w:tc>
        <w:tc>
          <w:tcPr>
            <w:tcW w:type="dxa" w:w="15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0</w:t>
            </w:r>
          </w:p>
        </w:tc>
        <w:tc>
          <w:tcPr>
            <w:tcW w:type="dxa" w:w="2018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0</w:t>
            </w:r>
          </w:p>
        </w:tc>
      </w:tr>
      <w:tr>
        <w:trPr>
          <w:trHeight w:hRule="atleast" w:val="404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规范性文件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0</w:t>
            </w:r>
          </w:p>
        </w:tc>
        <w:tc>
          <w:tcPr>
            <w:tcW w:type="dxa" w:w="15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0</w:t>
            </w:r>
          </w:p>
        </w:tc>
        <w:tc>
          <w:tcPr>
            <w:tcW w:type="dxa" w:w="2018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11</w:t>
            </w:r>
          </w:p>
        </w:tc>
      </w:tr>
      <w:tr>
        <w:trPr>
          <w:trHeight w:hRule="atleast" w:val="480"/>
        </w:trPr>
        <w:tc>
          <w:tcPr>
            <w:tcW w:type="dxa" w:w="8708"/>
            <w:tcMar>
              <w:left w:w="108" w:type="dxa"/>
              <w:right w:w="108" w:type="dxa"/>
            </w:tcMar>
            <w:vAlign w:val="center"/>
            <w:gridSpan w:val="5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第二十条第（五）项</w:t>
            </w:r>
          </w:p>
        </w:tc>
      </w:tr>
      <w:tr>
        <w:trPr>
          <w:trHeight w:hRule="atleast" w:val="516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信息内容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上一年项目数量</w:t>
            </w:r>
          </w:p>
        </w:tc>
        <w:tc>
          <w:tcPr>
            <w:tcW w:type="dxa" w:w="15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本年增/减</w:t>
            </w:r>
          </w:p>
        </w:tc>
        <w:tc>
          <w:tcPr>
            <w:tcW w:type="dxa" w:w="2018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处理决定数量</w:t>
            </w:r>
          </w:p>
        </w:tc>
      </w:tr>
      <w:tr>
        <w:trPr>
          <w:trHeight w:hRule="atleast" w:val="455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行政许可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149</w:t>
            </w:r>
          </w:p>
        </w:tc>
        <w:tc>
          <w:tcPr>
            <w:tcW w:type="dxa" w:w="15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增28</w:t>
            </w:r>
          </w:p>
        </w:tc>
        <w:tc>
          <w:tcPr>
            <w:tcW w:type="dxa" w:w="2018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66489</w:t>
            </w:r>
          </w:p>
        </w:tc>
      </w:tr>
      <w:tr>
        <w:trPr>
          <w:trHeight w:hRule="atleast" w:val="550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其他对外管理服务事项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563</w:t>
            </w:r>
          </w:p>
        </w:tc>
        <w:tc>
          <w:tcPr>
            <w:tcW w:type="dxa" w:w="15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增574</w:t>
            </w:r>
          </w:p>
        </w:tc>
        <w:tc>
          <w:tcPr>
            <w:tcW w:type="dxa" w:w="2018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1355</w:t>
            </w:r>
          </w:p>
        </w:tc>
      </w:tr>
      <w:tr>
        <w:trPr>
          <w:trHeight w:hRule="atleast" w:val="497"/>
        </w:trPr>
        <w:tc>
          <w:tcPr>
            <w:tcW w:type="dxa" w:w="8708"/>
            <w:tcMar>
              <w:left w:w="108" w:type="dxa"/>
              <w:right w:w="108" w:type="dxa"/>
            </w:tcMar>
            <w:vAlign w:val="center"/>
            <w:gridSpan w:val="5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第二十条第（六）项</w:t>
            </w:r>
          </w:p>
        </w:tc>
      </w:tr>
      <w:tr>
        <w:trPr>
          <w:trHeight w:hRule="atleast" w:val="547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信息内容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上一年项目数量</w:t>
            </w:r>
          </w:p>
        </w:tc>
        <w:tc>
          <w:tcPr>
            <w:tcW w:type="dxa" w:w="15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本年增/减</w:t>
            </w:r>
          </w:p>
        </w:tc>
        <w:tc>
          <w:tcPr>
            <w:tcW w:type="dxa" w:w="2018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处理决定数量</w:t>
            </w:r>
          </w:p>
        </w:tc>
      </w:tr>
      <w:tr>
        <w:trPr>
          <w:trHeight w:hRule="atleast" w:val="430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行政处罚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　2651</w:t>
            </w:r>
          </w:p>
        </w:tc>
        <w:tc>
          <w:tcPr>
            <w:tcW w:type="dxa" w:w="15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增127</w:t>
            </w:r>
          </w:p>
        </w:tc>
        <w:tc>
          <w:tcPr>
            <w:tcW w:type="dxa" w:w="2018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4156　</w:t>
            </w:r>
          </w:p>
        </w:tc>
      </w:tr>
      <w:tr>
        <w:trPr>
          <w:trHeight w:hRule="atleast" w:val="409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行政强制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　197</w:t>
            </w:r>
          </w:p>
        </w:tc>
        <w:tc>
          <w:tcPr>
            <w:tcW w:type="dxa" w:w="15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减78</w:t>
            </w:r>
          </w:p>
        </w:tc>
        <w:tc>
          <w:tcPr>
            <w:tcW w:type="dxa" w:w="2018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69　</w:t>
            </w:r>
          </w:p>
        </w:tc>
      </w:tr>
      <w:tr>
        <w:trPr>
          <w:trHeight w:hRule="atleast" w:val="474"/>
        </w:trPr>
        <w:tc>
          <w:tcPr>
            <w:tcW w:type="dxa" w:w="8708"/>
            <w:tcMar>
              <w:left w:w="108" w:type="dxa"/>
              <w:right w:w="108" w:type="dxa"/>
            </w:tcMar>
            <w:vAlign w:val="center"/>
            <w:gridSpan w:val="5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第二十条第（八）项</w:t>
            </w:r>
          </w:p>
        </w:tc>
      </w:tr>
      <w:tr>
        <w:trPr>
          <w:trHeight w:hRule="atleast" w:val="447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信息内容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上一年项目数量</w:t>
            </w:r>
          </w:p>
        </w:tc>
        <w:tc>
          <w:tcPr>
            <w:tcW w:type="dxa" w:w="3523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000000" w:sz="8"/>
              <w:top w:val="single" w:color="auto" w:sz="8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本年增/减</w:t>
            </w:r>
          </w:p>
        </w:tc>
      </w:tr>
      <w:tr>
        <w:trPr>
          <w:trHeight w:hRule="atleast" w:val="440"/>
        </w:trPr>
        <w:tc>
          <w:tcPr>
            <w:tcW w:type="dxa" w:w="3073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行政事业性收费</w:t>
            </w:r>
          </w:p>
        </w:tc>
        <w:tc>
          <w:tcPr>
            <w:tcW w:type="dxa" w:w="2112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38项</w:t>
            </w:r>
          </w:p>
        </w:tc>
        <w:tc>
          <w:tcPr>
            <w:tcW w:type="dxa" w:w="3523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000000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减少23项 </w:t>
            </w:r>
          </w:p>
        </w:tc>
      </w:tr>
      <w:tr>
        <w:trPr>
          <w:trHeight w:hRule="atleast" w:val="476"/>
        </w:trPr>
        <w:tc>
          <w:tcPr>
            <w:tcW w:type="dxa" w:w="8708"/>
            <w:tcMar>
              <w:left w:w="108" w:type="dxa"/>
              <w:right w:w="108" w:type="dxa"/>
            </w:tcMar>
            <w:vAlign w:val="center"/>
            <w:gridSpan w:val="5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第二十条第（九）项</w:t>
            </w:r>
          </w:p>
        </w:tc>
      </w:tr>
      <w:tr>
        <w:trPr>
          <w:trHeight w:hRule="atleast" w:val="427"/>
        </w:trPr>
        <w:tc>
          <w:tcPr>
            <w:tcW w:type="dxa" w:w="3090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信息内容</w:t>
            </w:r>
          </w:p>
        </w:tc>
        <w:tc>
          <w:tcPr>
            <w:tcW w:type="dxa" w:w="209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采购项目数量</w:t>
            </w:r>
          </w:p>
        </w:tc>
        <w:tc>
          <w:tcPr>
            <w:tcW w:type="dxa" w:w="3523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000000" w:sz="8"/>
              <w:top w:val="single" w:color="auto" w:sz="8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采购总金额</w:t>
            </w:r>
          </w:p>
        </w:tc>
      </w:tr>
      <w:tr>
        <w:trPr>
          <w:trHeight w:hRule="atleast" w:val="469"/>
        </w:trPr>
        <w:tc>
          <w:tcPr>
            <w:tcW w:type="dxa" w:w="3090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政府集中采购</w:t>
            </w:r>
          </w:p>
        </w:tc>
        <w:tc>
          <w:tcPr>
            <w:tcW w:type="dxa" w:w="209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　2140</w:t>
            </w:r>
          </w:p>
        </w:tc>
        <w:tc>
          <w:tcPr>
            <w:tcW w:type="dxa" w:w="3523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000000" w:sz="8"/>
              <w:top w:val="nil" w:color="auto"/>
            </w:tcBorders>
            <w:shd w:val="clear" w:fill="FFFFFF" w:themeFill="background1"/>
          </w:tcPr>
          <w:p>
            <w:pPr>
              <w:jc w:val="center"/>
              <w:spacing w:lineRule="auto" w:line="259" w:before="0" w:after="160"/>
              <w:rPr>
                <w:color w:val="000000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000000"/>
                <w:sz w:val="24"/>
                <w:szCs w:val="24"/>
                <w:rFonts w:ascii="宋体" w:eastAsia="宋体" w:hAnsi="宋体" w:cs="宋体"/>
              </w:rPr>
              <w:t>273336.93万元</w:t>
            </w:r>
          </w:p>
        </w:tc>
      </w:tr>
    </w:tbl>
    <w:p>
      <w:pPr>
        <w:pStyle w:val="PO151"/>
        <w:jc w:val="both"/>
        <w:shd w:val="clear" w:color="000000" w:fill="FFFFFF"/>
        <w:spacing w:lineRule="exact" w:line="560" w:beforeAutospacing="1" w:afterAutospacing="1" w:after="240"/>
        <w:ind w:left="0" w:firstLine="640" w:leftChars="0"/>
        <w:rPr>
          <w:b w:val="1"/>
          <w:color w:val="333333"/>
          <w:sz w:val="32"/>
          <w:szCs w:val="32"/>
          <w:rFonts w:ascii="黑体" w:eastAsia="黑体" w:hAnsi="黑体" w:cs="黑体"/>
        </w:rPr>
        <w:autoSpaceDE w:val="0"/>
        <w:autoSpaceDN w:val="0"/>
      </w:pPr>
      <w:r>
        <w:rPr>
          <w:b w:val="1"/>
          <w:color w:val="333333"/>
          <w:sz w:val="32"/>
          <w:szCs w:val="32"/>
          <w:shd w:val="clear" w:color="000000" w:fill="FFFFFF"/>
          <w:rFonts w:ascii="黑体" w:eastAsia="黑体" w:hAnsi="黑体" w:cs="黑体"/>
        </w:rPr>
        <w:t>三、收到和处理政府信息公开申请情况</w:t>
      </w:r>
    </w:p>
    <w:tbl>
      <w:tblID w:val="0"/>
      <w:tblPr>
        <w:tblBorders>
          <w:top w:val="nil"/>
          <w:left w:val="nil"/>
          <w:bottom w:val="nil"/>
          <w:right w:val="nil"/>
          <w:insideH w:val="single" w:sz="6" w:space="0" w:color="000000"/>
          <w:insideV w:val="single" w:sz="6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9071" w:type="dxa"/>
        <w:jc w:val="center"/>
        <w:tblLook w:val="0004A0" w:firstRow="1" w:lastRow="0" w:firstColumn="1" w:lastColumn="0" w:noHBand="0" w:noVBand="1"/>
        <w:tblLayout w:type="fixed"/>
      </w:tblPr>
      <w:tblGrid>
        <w:gridCol w:w="525"/>
        <w:gridCol w:w="1418"/>
        <w:gridCol w:w="2835"/>
        <w:gridCol w:w="850"/>
        <w:gridCol w:w="567"/>
        <w:gridCol w:w="567"/>
        <w:gridCol w:w="567"/>
        <w:gridCol w:w="567"/>
        <w:gridCol w:w="540"/>
        <w:gridCol w:w="635"/>
      </w:tblGrid>
      <w:tr>
        <w:trPr>
          <w:trHeight w:hRule="atleast" w:val="413"/>
        </w:trPr>
        <w:tc>
          <w:tcPr>
            <w:tcW w:type="dxa" w:w="4778"/>
            <w:tcMar>
              <w:left w:w="108" w:type="dxa"/>
              <w:right w:w="108" w:type="dxa"/>
            </w:tcMar>
            <w:vAlign w:val="center"/>
            <w:gridSpan w:val="3"/>
            <w:vMerge w:val="restart"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（本列数据的勾稽关系为：第一项加第二项之和，</w:t>
            </w:r>
          </w:p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等于第三项加第四项之和）</w:t>
            </w:r>
          </w:p>
        </w:tc>
        <w:tc>
          <w:tcPr>
            <w:tcW w:type="dxa" w:w="4293"/>
            <w:tcMar>
              <w:left w:w="108" w:type="dxa"/>
              <w:right w:w="108" w:type="dxa"/>
            </w:tcMar>
            <w:vAlign w:val="center"/>
            <w:gridSpan w:val="7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申请人情况</w:t>
            </w:r>
          </w:p>
        </w:tc>
      </w:tr>
      <w:tr>
        <w:trPr>
          <w:trHeight w:hRule="atleast" w:val="413"/>
        </w:trPr>
        <w:tc>
          <w:tcPr>
            <w:tcW w:type="dxa" w:w="4778"/>
            <w:vAlign w:val="center"/>
            <w:gridSpan w:val="3"/>
            <w:vMerge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/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自然人</w:t>
            </w:r>
          </w:p>
        </w:tc>
        <w:tc>
          <w:tcPr>
            <w:tcW w:type="dxa" w:w="2808"/>
            <w:tcMar>
              <w:left w:w="108" w:type="dxa"/>
              <w:right w:w="108" w:type="dxa"/>
            </w:tcMar>
            <w:vAlign w:val="center"/>
            <w:gridSpan w:val="5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法人或其他组织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总计</w:t>
            </w:r>
          </w:p>
        </w:tc>
      </w:tr>
      <w:tr>
        <w:trPr>
          <w:trHeight w:hRule="atleast" w:val="413"/>
        </w:trPr>
        <w:tc>
          <w:tcPr>
            <w:tcW w:type="dxa" w:w="4778"/>
            <w:vAlign w:val="center"/>
            <w:gridSpan w:val="3"/>
            <w:vMerge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/>
        </w:tc>
        <w:tc>
          <w:tcPr>
            <w:tcW w:type="dxa" w:w="850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06" w:right="-107" w:hanging="1" w:leftChars="-107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商业企</w:t>
            </w:r>
            <w:r>
              <w:rPr>
                <w:sz w:val="18"/>
                <w:szCs w:val="18"/>
                <w:rFonts w:ascii="宋体" w:eastAsia="宋体" w:hAnsi="宋体" w:cs="宋体"/>
              </w:rPr>
              <w:t>业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07" w:right="-107" w:firstLine="0" w:leftChars="-107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科研机</w:t>
            </w:r>
            <w:r>
              <w:rPr>
                <w:sz w:val="18"/>
                <w:szCs w:val="18"/>
                <w:rFonts w:ascii="宋体" w:eastAsia="宋体" w:hAnsi="宋体" w:cs="宋体"/>
              </w:rPr>
              <w:t>构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07" w:right="-107" w:firstLine="0" w:leftChars="-107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社会公</w:t>
            </w:r>
            <w:r>
              <w:rPr>
                <w:sz w:val="18"/>
                <w:szCs w:val="18"/>
                <w:rFonts w:ascii="宋体" w:eastAsia="宋体" w:hAnsi="宋体" w:cs="宋体"/>
              </w:rPr>
              <w:t>益组织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06" w:right="-107" w:hanging="1" w:leftChars="-107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法律服</w:t>
            </w:r>
            <w:r>
              <w:rPr>
                <w:sz w:val="18"/>
                <w:szCs w:val="18"/>
                <w:rFonts w:ascii="宋体" w:eastAsia="宋体" w:hAnsi="宋体" w:cs="宋体"/>
              </w:rPr>
              <w:t>务机构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63" w:right="-134" w:firstLine="0" w:leftChars="-63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其他</w:t>
            </w:r>
          </w:p>
        </w:tc>
        <w:tc>
          <w:tcPr>
            <w:tcW w:type="dxa" w:w="635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/>
        </w:tc>
      </w:tr>
      <w:tr>
        <w:trPr/>
        <w:tc>
          <w:tcPr>
            <w:tcW w:type="dxa" w:w="4778"/>
            <w:tcMar>
              <w:left w:w="108" w:type="dxa"/>
              <w:right w:w="108" w:type="dxa"/>
            </w:tcMar>
            <w:vAlign w:val="center"/>
            <w:gridSpan w:val="3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一、本年新收政府信息公开申请数量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304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7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3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315</w:t>
            </w:r>
          </w:p>
        </w:tc>
      </w:tr>
      <w:tr>
        <w:trPr/>
        <w:tc>
          <w:tcPr>
            <w:tcW w:type="dxa" w:w="4778"/>
            <w:tcMar>
              <w:left w:w="108" w:type="dxa"/>
              <w:right w:w="108" w:type="dxa"/>
            </w:tcMar>
            <w:vAlign w:val="center"/>
            <w:gridSpan w:val="3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二、上年结转政府信息公开申请数量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</w:tr>
      <w:tr>
        <w:trPr/>
        <w:tc>
          <w:tcPr>
            <w:tcW w:type="dxa" w:w="525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/>
            </w:pPr>
            <w:r>
              <w:rPr>
                <w:sz w:val="18"/>
                <w:szCs w:val="18"/>
                <w:rFonts w:ascii="宋体" w:eastAsia="宋体" w:hAnsi="宋体" w:cs="宋体"/>
              </w:rPr>
              <w:t>三</w:t>
            </w:r>
            <w:r>
              <w:rPr>
                <w:sz w:val="18"/>
                <w:szCs w:val="18"/>
                <w:rFonts w:ascii="宋体" w:eastAsia="宋体" w:hAnsi="宋体" w:cs="宋体"/>
              </w:rPr>
              <w:t>、</w:t>
            </w:r>
            <w:r>
              <w:rPr>
                <w:sz w:val="18"/>
                <w:szCs w:val="18"/>
                <w:rFonts w:ascii="宋体" w:eastAsia="宋体" w:hAnsi="宋体" w:cs="宋体"/>
              </w:rPr>
              <w:t>本</w:t>
            </w:r>
            <w:r>
              <w:rPr>
                <w:sz w:val="18"/>
                <w:szCs w:val="18"/>
                <w:rFonts w:ascii="宋体" w:eastAsia="宋体" w:hAnsi="宋体" w:cs="宋体"/>
              </w:rPr>
              <w:t>年</w:t>
            </w:r>
          </w:p>
          <w:p>
            <w:pPr>
              <w:spacing w:lineRule="auto" w:line="259" w:before="0" w:after="160"/>
              <w:rPr/>
            </w:pPr>
            <w:r>
              <w:rPr>
                <w:sz w:val="18"/>
                <w:szCs w:val="18"/>
                <w:rFonts w:ascii="宋体" w:eastAsia="宋体" w:hAnsi="宋体" w:cs="宋体"/>
              </w:rPr>
              <w:t>度</w:t>
            </w:r>
            <w:r>
              <w:rPr>
                <w:sz w:val="18"/>
                <w:szCs w:val="18"/>
                <w:rFonts w:ascii="宋体" w:eastAsia="宋体" w:hAnsi="宋体" w:cs="宋体"/>
              </w:rPr>
              <w:t>办</w:t>
            </w:r>
            <w:r>
              <w:rPr>
                <w:sz w:val="18"/>
                <w:szCs w:val="18"/>
                <w:rFonts w:ascii="宋体" w:eastAsia="宋体" w:hAnsi="宋体" w:cs="宋体"/>
              </w:rPr>
              <w:t>理</w:t>
            </w:r>
            <w:r>
              <w:rPr>
                <w:sz w:val="18"/>
                <w:szCs w:val="18"/>
                <w:rFonts w:ascii="宋体" w:eastAsia="宋体" w:hAnsi="宋体" w:cs="宋体"/>
              </w:rPr>
              <w:t>结</w:t>
            </w:r>
          </w:p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果</w:t>
            </w:r>
          </w:p>
        </w:tc>
        <w:tc>
          <w:tcPr>
            <w:tcW w:type="dxa" w:w="4253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（一）予以公开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111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2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113</w:t>
            </w:r>
          </w:p>
        </w:tc>
      </w:tr>
      <w:tr>
        <w:trPr/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4253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（二）部分公开（区分处理的，只计这一情形，不</w:t>
            </w:r>
            <w:r>
              <w:rPr>
                <w:sz w:val="18"/>
                <w:szCs w:val="18"/>
                <w:rFonts w:ascii="宋体" w:eastAsia="宋体" w:hAnsi="宋体" w:cs="宋体"/>
              </w:rPr>
              <w:t>计其他情形）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17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2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19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ind w:left="-107" w:firstLine="0" w:leftChars="-107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（三）不予公开</w:t>
            </w:r>
          </w:p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1.属于国家秘密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2.其他法律行政法规禁止公开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3.危及“三安全一稳定”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4.保护第三方合法权益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11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5.属于三类内部事务信息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6.属于四类过程性信息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3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3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7.属于行政执法案卷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8.属于行政查询事项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6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6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ind w:left="-107" w:firstLine="0" w:leftChars="-107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（四）无法提供</w:t>
            </w:r>
          </w:p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1.本机关不掌握相关政府信息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83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84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2.没有现成信息需要另行制作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3.补正后申请内容仍不明确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ind w:left="-107" w:firstLine="0" w:leftChars="-107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（五）不予处理</w:t>
            </w:r>
          </w:p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1.信访举报投诉类申请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3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3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2.重复申请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</w:tr>
      <w:tr>
        <w:trPr>
          <w:trHeight w:hRule="exact" w:val="454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3.要求提供公开出版物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</w:tr>
      <w:tr>
        <w:trPr>
          <w:trHeight w:hRule="exact" w:val="397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4.无正当理由大量反复申请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</w:tr>
      <w:tr>
        <w:trPr/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141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28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5.要求行政机关确认或重新</w:t>
            </w:r>
          </w:p>
          <w:p>
            <w:pPr>
              <w:spacing w:lineRule="auto" w:line="259" w:before="0" w:after="160"/>
              <w:ind w:firstLine="20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出具已获取信息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</w:tr>
      <w:tr>
        <w:trPr>
          <w:trHeight w:hRule="exact" w:val="397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4253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（六）其他处理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48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 xml:space="preserve">1 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50</w:t>
            </w:r>
          </w:p>
        </w:tc>
      </w:tr>
      <w:tr>
        <w:trPr>
          <w:trHeight w:hRule="exact" w:val="397"/>
        </w:trPr>
        <w:tc>
          <w:tcPr>
            <w:tcW w:type="dxa" w:w="525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4253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（七）总计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285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6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293</w:t>
            </w:r>
          </w:p>
        </w:tc>
      </w:tr>
      <w:tr>
        <w:trPr/>
        <w:tc>
          <w:tcPr>
            <w:tcW w:type="dxa" w:w="4778"/>
            <w:tcMar>
              <w:left w:w="108" w:type="dxa"/>
              <w:right w:w="108" w:type="dxa"/>
            </w:tcMar>
            <w:vAlign w:val="center"/>
            <w:gridSpan w:val="3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>
            <w:pPr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四、结转下年度继续办理</w:t>
            </w:r>
          </w:p>
        </w:tc>
        <w:tc>
          <w:tcPr>
            <w:tcW w:type="dxa" w:w="8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19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1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67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0</w:t>
            </w:r>
          </w:p>
        </w:tc>
        <w:tc>
          <w:tcPr>
            <w:tcW w:type="dxa" w:w="54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2</w:t>
            </w:r>
          </w:p>
        </w:tc>
        <w:tc>
          <w:tcPr>
            <w:tcW w:type="dxa" w:w="63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18"/>
                <w:szCs w:val="18"/>
                <w:rFonts w:ascii="宋体" w:eastAsia="宋体" w:hAnsi="宋体" w:cs="宋体"/>
              </w:rPr>
            </w:pPr>
            <w:r>
              <w:rPr>
                <w:sz w:val="18"/>
                <w:szCs w:val="18"/>
                <w:rFonts w:ascii="宋体" w:eastAsia="宋体" w:hAnsi="宋体" w:cs="宋体"/>
              </w:rPr>
              <w:t>22</w:t>
            </w:r>
          </w:p>
        </w:tc>
      </w:tr>
    </w:tbl>
    <w:p>
      <w:pPr>
        <w:pStyle w:val="PO151"/>
        <w:jc w:val="both"/>
        <w:shd w:val="clear" w:color="000000" w:fill="FFFFFF"/>
        <w:spacing w:lineRule="exact" w:line="560" w:beforeAutospacing="1" w:afterAutospacing="1" w:after="0"/>
        <w:ind w:left="0" w:firstLine="640"/>
        <w:rPr>
          <w:b w:val="1"/>
          <w:color w:val="333333"/>
          <w:sz w:val="32"/>
          <w:szCs w:val="32"/>
          <w:shd w:val="clear" w:color="000000" w:fill="FFFFFF"/>
          <w:rFonts w:ascii="黑体" w:eastAsia="黑体" w:hAnsi="黑体" w:cs="黑体"/>
        </w:rPr>
        <w:autoSpaceDE w:val="0"/>
        <w:autoSpaceDN w:val="0"/>
      </w:pPr>
      <w:r>
        <w:rPr>
          <w:b w:val="1"/>
          <w:color w:val="333333"/>
          <w:sz w:val="32"/>
          <w:szCs w:val="32"/>
          <w:shd w:val="clear" w:color="000000" w:fill="FFFFFF"/>
          <w:rFonts w:ascii="黑体" w:eastAsia="黑体" w:hAnsi="黑体" w:cs="黑体"/>
        </w:rPr>
        <w:t>四、政府信息公开行政复议、行政诉讼情况</w:t>
      </w:r>
    </w:p>
    <w:tbl>
      <w:tblID w:val="0"/>
      <w:tblPr>
        <w:tblBorders>
          <w:top w:val="nil"/>
          <w:left w:val="nil"/>
          <w:bottom w:val="nil"/>
          <w:right w:val="nil"/>
          <w:insideH w:val="single" w:sz="6" w:space="0" w:color="000000"/>
          <w:insideV w:val="single" w:sz="6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9071" w:type="dxa"/>
        <w:jc w:val="center"/>
        <w:tblLook w:val="0004A0" w:firstRow="1" w:lastRow="0" w:firstColumn="1" w:lastColumn="0" w:noHBand="0" w:noVBand="1"/>
        <w:tblLayout w:type="fixed"/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rPr>
          <w:trHeight w:hRule="atleast" w:val="497"/>
        </w:trPr>
        <w:tc>
          <w:tcPr>
            <w:tcW w:type="dxa" w:w="3074"/>
            <w:tcMar>
              <w:left w:w="108" w:type="dxa"/>
              <w:right w:w="108" w:type="dxa"/>
            </w:tcMar>
            <w:vAlign w:val="center"/>
            <w:gridSpan w:val="5"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行政复议</w:t>
            </w:r>
          </w:p>
        </w:tc>
        <w:tc>
          <w:tcPr>
            <w:tcW w:type="dxa" w:w="5997"/>
            <w:tcMar>
              <w:left w:w="108" w:type="dxa"/>
              <w:right w:w="108" w:type="dxa"/>
            </w:tcMar>
            <w:vAlign w:val="center"/>
            <w:gridSpan w:val="10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行政诉讼</w:t>
            </w:r>
          </w:p>
        </w:tc>
      </w:tr>
      <w:tr>
        <w:trPr>
          <w:trHeight w:hRule="atleast" w:val="547"/>
        </w:trPr>
        <w:tc>
          <w:tcPr>
            <w:tcW w:type="dxa" w:w="604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49" w:right="-170" w:firstLine="0" w:leftChars="-149"/>
              <w:rPr>
                <w:sz w:val="20"/>
                <w:szCs w:val="20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结果</w:t>
            </w:r>
          </w:p>
          <w:p>
            <w:pPr>
              <w:jc w:val="center"/>
              <w:spacing w:lineRule="auto" w:line="259" w:before="0" w:after="160"/>
              <w:ind w:left="-149" w:right="-170" w:firstLine="0" w:leftChars="-149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维持</w:t>
            </w:r>
          </w:p>
        </w:tc>
        <w:tc>
          <w:tcPr>
            <w:tcW w:type="dxa" w:w="604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43" w:right="-132" w:hanging="1" w:leftChars="-44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结果</w:t>
            </w:r>
            <w:r>
              <w:rPr>
                <w:sz w:val="20"/>
                <w:szCs w:val="20"/>
                <w:rFonts w:ascii="宋体" w:eastAsia="宋体" w:hAnsi="宋体" w:cs="宋体"/>
              </w:rPr>
              <w:t>纠正</w:t>
            </w:r>
          </w:p>
        </w:tc>
        <w:tc>
          <w:tcPr>
            <w:tcW w:type="dxa" w:w="604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82" w:right="-97" w:firstLine="0" w:leftChars="-82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其他</w:t>
            </w:r>
            <w:r>
              <w:rPr>
                <w:sz w:val="20"/>
                <w:szCs w:val="20"/>
                <w:rFonts w:ascii="宋体" w:eastAsia="宋体" w:hAnsi="宋体" w:cs="宋体"/>
              </w:rPr>
              <w:t>结果</w:t>
            </w:r>
          </w:p>
        </w:tc>
        <w:tc>
          <w:tcPr>
            <w:tcW w:type="dxa" w:w="604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18" w:right="-118" w:firstLine="0" w:leftChars="-118"/>
              <w:rPr>
                <w:sz w:val="20"/>
                <w:szCs w:val="20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尚未</w:t>
            </w:r>
          </w:p>
          <w:p>
            <w:pPr>
              <w:jc w:val="center"/>
              <w:spacing w:lineRule="auto" w:line="259" w:before="0" w:after="160"/>
              <w:ind w:left="-118" w:right="-118" w:firstLine="0" w:leftChars="-118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审结</w:t>
            </w:r>
          </w:p>
        </w:tc>
        <w:tc>
          <w:tcPr>
            <w:tcW w:type="dxa" w:w="65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20"/>
                <w:szCs w:val="20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总</w:t>
            </w:r>
          </w:p>
          <w:p>
            <w:pPr>
              <w:jc w:val="center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计</w:t>
            </w:r>
          </w:p>
        </w:tc>
        <w:tc>
          <w:tcPr>
            <w:tcW w:type="dxa" w:w="2970"/>
            <w:tcMar>
              <w:left w:w="108" w:type="dxa"/>
              <w:right w:w="108" w:type="dxa"/>
            </w:tcMar>
            <w:vAlign w:val="center"/>
            <w:gridSpan w:val="5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未经复议直接起诉</w:t>
            </w:r>
          </w:p>
        </w:tc>
        <w:tc>
          <w:tcPr>
            <w:tcW w:type="dxa" w:w="3027"/>
            <w:tcMar>
              <w:left w:w="108" w:type="dxa"/>
              <w:right w:w="108" w:type="dxa"/>
            </w:tcMar>
            <w:vAlign w:val="center"/>
            <w:gridSpan w:val="5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复议后起诉</w:t>
            </w:r>
          </w:p>
        </w:tc>
      </w:tr>
      <w:tr>
        <w:trPr>
          <w:trHeight w:hRule="atleast" w:val="906"/>
        </w:trPr>
        <w:tc>
          <w:tcPr>
            <w:tcW w:type="dxa" w:w="604"/>
            <w:vAlign w:val="center"/>
            <w:vMerge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604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/>
        </w:tc>
        <w:tc>
          <w:tcPr>
            <w:tcW w:type="dxa" w:w="604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/>
        </w:tc>
        <w:tc>
          <w:tcPr>
            <w:tcW w:type="dxa" w:w="604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/>
        </w:tc>
        <w:tc>
          <w:tcPr>
            <w:tcW w:type="dxa" w:w="658"/>
            <w:vAlign w:val="center"/>
            <w:vMerge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/>
        </w:tc>
        <w:tc>
          <w:tcPr>
            <w:tcW w:type="dxa" w:w="550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05" w:right="-126" w:firstLine="0" w:leftChars="-105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结果</w:t>
            </w:r>
            <w:r>
              <w:rPr>
                <w:sz w:val="20"/>
                <w:szCs w:val="20"/>
                <w:rFonts w:ascii="宋体" w:eastAsia="宋体" w:hAnsi="宋体" w:cs="宋体"/>
              </w:rPr>
              <w:t>维持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86" w:right="-88" w:firstLine="0" w:leftChars="-86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结果</w:t>
            </w:r>
            <w:r>
              <w:rPr>
                <w:sz w:val="20"/>
                <w:szCs w:val="20"/>
                <w:rFonts w:ascii="宋体" w:eastAsia="宋体" w:hAnsi="宋体" w:cs="宋体"/>
              </w:rPr>
              <w:t>纠正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26" w:right="-136" w:firstLine="0" w:leftChars="-126"/>
              <w:rPr>
                <w:sz w:val="20"/>
                <w:szCs w:val="20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其他</w:t>
            </w:r>
          </w:p>
          <w:p>
            <w:pPr>
              <w:jc w:val="center"/>
              <w:spacing w:lineRule="auto" w:line="259" w:before="0" w:after="160"/>
              <w:ind w:left="-126" w:right="-136" w:firstLine="0" w:leftChars="-126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结果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64" w:right="-153" w:firstLine="0" w:leftChars="-164"/>
              <w:rPr>
                <w:sz w:val="20"/>
                <w:szCs w:val="20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尚未</w:t>
            </w:r>
          </w:p>
          <w:p>
            <w:pPr>
              <w:jc w:val="center"/>
              <w:spacing w:lineRule="auto" w:line="259" w:before="0" w:after="160"/>
              <w:ind w:left="-164" w:right="-153" w:firstLine="0" w:leftChars="-164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审结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color w:val="000000"/>
                <w:sz w:val="20"/>
                <w:szCs w:val="20"/>
                <w:rFonts w:ascii="宋体" w:eastAsia="宋体" w:hAnsi="宋体" w:cs="宋体"/>
              </w:rPr>
              <w:t>总</w:t>
            </w:r>
            <w:r>
              <w:rPr>
                <w:color w:val="000000"/>
                <w:sz w:val="20"/>
                <w:szCs w:val="20"/>
                <w:rFonts w:ascii="宋体" w:eastAsia="宋体" w:hAnsi="宋体" w:cs="宋体"/>
              </w:rPr>
              <w:t>计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99" w:right="-78" w:firstLine="0" w:leftChars="-99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结果</w:t>
            </w:r>
            <w:r>
              <w:rPr>
                <w:sz w:val="20"/>
                <w:szCs w:val="20"/>
                <w:rFonts w:ascii="宋体" w:eastAsia="宋体" w:hAnsi="宋体" w:cs="宋体"/>
              </w:rPr>
              <w:t>维持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36" w:right="-124" w:firstLine="0" w:leftChars="-136"/>
              <w:rPr>
                <w:sz w:val="20"/>
                <w:szCs w:val="20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结果</w:t>
            </w:r>
          </w:p>
          <w:p>
            <w:pPr>
              <w:jc w:val="center"/>
              <w:spacing w:lineRule="auto" w:line="259" w:before="0" w:after="160"/>
              <w:ind w:left="-136" w:right="-124" w:firstLine="0" w:leftChars="-136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纠正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173" w:right="-134" w:hanging="1" w:leftChars="-174"/>
              <w:rPr>
                <w:color w:val="000000"/>
                <w:sz w:val="20"/>
                <w:szCs w:val="20"/>
                <w:rFonts w:ascii="宋体" w:eastAsia="宋体" w:hAnsi="宋体" w:cs="宋体"/>
              </w:rPr>
            </w:pPr>
            <w:r>
              <w:rPr>
                <w:color w:val="000000"/>
                <w:sz w:val="20"/>
                <w:szCs w:val="20"/>
                <w:rFonts w:ascii="宋体" w:eastAsia="宋体" w:hAnsi="宋体" w:cs="宋体"/>
              </w:rPr>
              <w:t>其他</w:t>
            </w:r>
          </w:p>
          <w:p>
            <w:pPr>
              <w:jc w:val="center"/>
              <w:spacing w:lineRule="auto" w:line="259" w:before="0" w:after="160"/>
              <w:ind w:left="-173" w:right="-134" w:hanging="1" w:leftChars="-174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color w:val="000000"/>
                <w:sz w:val="20"/>
                <w:szCs w:val="20"/>
                <w:rFonts w:ascii="宋体" w:eastAsia="宋体" w:hAnsi="宋体" w:cs="宋体"/>
              </w:rPr>
              <w:t>结果</w:t>
            </w:r>
          </w:p>
        </w:tc>
        <w:tc>
          <w:tcPr>
            <w:tcW w:type="dxa" w:w="606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ind w:left="-67" w:right="-105" w:hanging="2" w:leftChars="-69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0"/>
                <w:szCs w:val="20"/>
                <w:rFonts w:ascii="宋体" w:eastAsia="宋体" w:hAnsi="宋体" w:cs="宋体"/>
              </w:rPr>
              <w:t>尚未</w:t>
            </w:r>
            <w:r>
              <w:rPr>
                <w:sz w:val="20"/>
                <w:szCs w:val="20"/>
                <w:rFonts w:ascii="宋体" w:eastAsia="宋体" w:hAnsi="宋体" w:cs="宋体"/>
              </w:rPr>
              <w:t>审结</w:t>
            </w:r>
          </w:p>
        </w:tc>
        <w:tc>
          <w:tcPr>
            <w:tcW w:type="dxa" w:w="606"/>
            <w:tcMar>
              <w:left w:w="108" w:type="dxa"/>
              <w:right w:w="108" w:type="dxa"/>
            </w:tcMar>
            <w:vAlign w:val="center"/>
            <w:tcBorders>
              <w:bottom w:val="single" w:color="auto" w:sz="8"/>
              <w:left w:val="nil" w:color="auto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color w:val="000000"/>
                <w:sz w:val="20"/>
                <w:szCs w:val="20"/>
                <w:rFonts w:ascii="宋体" w:eastAsia="宋体" w:hAnsi="宋体" w:cs="宋体"/>
              </w:rPr>
              <w:t>总</w:t>
            </w:r>
            <w:r>
              <w:rPr>
                <w:color w:val="000000"/>
                <w:sz w:val="20"/>
                <w:szCs w:val="20"/>
                <w:rFonts w:ascii="宋体" w:eastAsia="宋体" w:hAnsi="宋体" w:cs="宋体"/>
              </w:rPr>
              <w:t>计</w:t>
            </w:r>
          </w:p>
        </w:tc>
      </w:tr>
      <w:tr>
        <w:trPr/>
        <w:tc>
          <w:tcPr>
            <w:tcW w:type="dxa" w:w="604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single" w:color="auto" w:sz="8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9</w:t>
            </w:r>
          </w:p>
        </w:tc>
        <w:tc>
          <w:tcPr>
            <w:tcW w:type="dxa" w:w="604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1</w:t>
            </w:r>
          </w:p>
        </w:tc>
        <w:tc>
          <w:tcPr>
            <w:tcW w:type="dxa" w:w="604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4</w:t>
            </w:r>
          </w:p>
        </w:tc>
        <w:tc>
          <w:tcPr>
            <w:tcW w:type="dxa" w:w="604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1</w:t>
            </w:r>
          </w:p>
        </w:tc>
        <w:tc>
          <w:tcPr>
            <w:tcW w:type="dxa" w:w="658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15</w:t>
            </w:r>
          </w:p>
        </w:tc>
        <w:tc>
          <w:tcPr>
            <w:tcW w:type="dxa" w:w="550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6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5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0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5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color w:val="000000"/>
                <w:sz w:val="21"/>
                <w:szCs w:val="21"/>
                <w:rFonts w:ascii="宋体" w:eastAsia="宋体" w:hAnsi="宋体" w:cs="宋体"/>
              </w:rPr>
              <w:t>16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2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3</w:t>
            </w:r>
          </w:p>
        </w:tc>
        <w:tc>
          <w:tcPr>
            <w:tcW w:type="dxa" w:w="605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color w:val="000000"/>
                <w:sz w:val="21"/>
                <w:szCs w:val="21"/>
                <w:rFonts w:ascii="宋体" w:eastAsia="宋体" w:hAnsi="宋体" w:cs="宋体"/>
              </w:rPr>
              <w:t>0</w:t>
            </w:r>
          </w:p>
        </w:tc>
        <w:tc>
          <w:tcPr>
            <w:tcW w:type="dxa" w:w="606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3</w:t>
            </w:r>
          </w:p>
        </w:tc>
        <w:tc>
          <w:tcPr>
            <w:tcW w:type="dxa" w:w="606"/>
            <w:tcMar>
              <w:left w:w="108" w:type="dxa"/>
              <w:right w:w="108" w:type="dxa"/>
            </w:tcMar>
            <w:vAlign w:val="top"/>
            <w:tcBorders>
              <w:bottom w:val="single" w:color="auto" w:sz="8"/>
              <w:left w:val="nil" w:color="auto"/>
              <w:right w:val="single" w:color="auto" w:sz="8"/>
              <w:top w:val="nil" w:color="auto"/>
            </w:tcBorders>
            <w:shd w:val="clear" w:color="000000"/>
          </w:tcPr>
          <w:p>
            <w:pPr>
              <w:jc w:val="both"/>
              <w:spacing w:lineRule="auto" w:line="259" w:before="0" w:after="160"/>
              <w:rPr>
                <w:sz w:val="21"/>
                <w:szCs w:val="21"/>
                <w:rFonts w:ascii="宋体" w:eastAsia="宋体" w:hAnsi="宋体" w:cs="宋体"/>
              </w:rPr>
            </w:pPr>
            <w:r>
              <w:rPr>
                <w:sz w:val="21"/>
                <w:szCs w:val="21"/>
                <w:rFonts w:ascii="宋体" w:eastAsia="宋体" w:hAnsi="宋体" w:cs="宋体"/>
              </w:rPr>
              <w:t>8</w:t>
            </w:r>
          </w:p>
        </w:tc>
      </w:tr>
    </w:tbl>
    <w:p>
      <w:pPr>
        <w:pStyle w:val="PO151"/>
        <w:jc w:val="both"/>
        <w:shd w:val="clear" w:color="000000" w:fill="FFFFFF"/>
        <w:spacing w:lineRule="exact" w:line="560" w:beforeAutospacing="1" w:afterAutospacing="1" w:after="0"/>
        <w:ind w:firstLine="640"/>
        <w:rPr>
          <w:b w:val="1"/>
          <w:color w:val="333333"/>
          <w:sz w:val="32"/>
          <w:szCs w:val="32"/>
          <w:rFonts w:ascii="黑体" w:eastAsia="黑体" w:hAnsi="黑体" w:cs="黑体"/>
        </w:rPr>
      </w:pPr>
      <w:r>
        <w:rPr>
          <w:b w:val="1"/>
          <w:color w:val="333333"/>
          <w:sz w:val="32"/>
          <w:szCs w:val="32"/>
          <w:shd w:val="clear" w:color="000000" w:fill="FFFFFF"/>
          <w:rFonts w:ascii="黑体" w:eastAsia="黑体" w:hAnsi="黑体" w:cs="黑体"/>
        </w:rPr>
        <w:t>五、存在的主要问题及改进情况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0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我区信息公开工作存在的主要问题：部分单位对信息公开工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作重视程度有待加强；主动公开深度广度不够；依申请公开数量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大幅增加，回复难度逐年增大；基层政府信息公开工作人力物力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不足。针对以上问题，主要从以下几点进行改进：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一是拓宽主动公开渠道。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以新建便民服务大厅及四级政务服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务体系建设为契机，借鉴先进地区经验，高标准推进我区政务公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开线上、线下融合发展，建设1+N个“政务公开体验区”，着力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打通政务公开“最后一公里”。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二是加强考核评估工作。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以评估促落实、以考核促落实，科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学布局每个时间节点的评估内容，形成工作合力，推进我区信息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公开工作再上新台阶。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三是进一步完善重大决策预公开工作机制。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在决策前向社会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公布决策草案、决策依据，广泛听取公众意见，邀请利益相关方、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公众、专家、媒体等列席政府有关会议，预防重大决策失误，提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高工作透明度。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四是强化培训工作。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进一步创新工作管理体制机制，建立相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对稳定的工作队伍，通过强化业务培训、组织集中办公等，切实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提高相关工作人员的工作水平和工作能力。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b w:val="1"/>
          <w:color w:val="333333"/>
          <w:sz w:val="32"/>
          <w:szCs w:val="32"/>
          <w:rFonts w:ascii="黑体" w:eastAsia="黑体" w:hAnsi="黑体" w:cs="黑体"/>
        </w:rPr>
        <w:snapToGrid w:val="on"/>
        <w:autoSpaceDE w:val="1"/>
        <w:autoSpaceDN w:val="1"/>
      </w:pPr>
      <w:r>
        <w:rPr>
          <w:b w:val="1"/>
          <w:color w:val="333333"/>
          <w:sz w:val="32"/>
          <w:szCs w:val="32"/>
          <w:shd w:val="clear" w:color="000000" w:fill="FFFFFF"/>
          <w:rFonts w:ascii="黑体" w:eastAsia="黑体" w:hAnsi="黑体" w:cs="黑体"/>
        </w:rPr>
        <w:t>六、其他需要报告的事项</w:t>
      </w:r>
    </w:p>
    <w:p>
      <w:pPr>
        <w:bidi w:val="0"/>
        <w:jc w:val="both"/>
        <w:spacing w:lineRule="exact" w:line="560" w:before="0" w:after="0"/>
        <w:pageBreakBefore w:val="0"/>
        <w:ind w:left="0" w:right="0" w:firstLine="643"/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32"/>
          <w:szCs w:val="32"/>
          <w:rFonts w:ascii="仿宋_GB2312" w:eastAsia="仿宋_GB2312" w:hAnsi="仿宋_GB2312" w:cs="仿宋_GB2312"/>
        </w:rPr>
        <w:t>以信息公开促进优化营商环境。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为进一步构建亲清政商关系、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营造良好营商环境，我区组织全区16个单位根据职责分工，共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计梳理省、市、区涉企优惠政策141条，并依托区政府门户网站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设立“优化营商环境政策库”专栏，将所有优惠政策对外公开。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相关专栏还通过设置模糊查询、热点排序等功能，极大提高了信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息获取的方便性，帮助企业用好用活用足各类优惠政策。此外还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设立了“扫码查政策”二维码，网友利用手机扫描相关二维码即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可在手机端打开“优化营商环境政策库”，方便快捷的查看相关</w:t>
      </w:r>
      <w:r>
        <w:rPr>
          <w:rtl w:val="0"/>
          <w:rStyle w:val="PO1"/>
          <w:spacing w:val="0"/>
          <w:color w:val="auto"/>
          <w:sz w:val="32"/>
          <w:szCs w:val="32"/>
          <w:rFonts w:ascii="仿宋_GB2312" w:eastAsia="仿宋_GB2312" w:hAnsi="仿宋_GB2312" w:cs="仿宋_GB2312"/>
        </w:rPr>
        <w:t>信息，实现多端展示，形成矩阵效应。</w:t>
      </w:r>
    </w:p>
    <w:p>
      <w:pPr>
        <w:bidi w:val="0"/>
        <w:jc w:val="both"/>
        <w:spacing w:lineRule="auto" w:line="240" w:before="0" w:after="0"/>
        <w:pageBreakBefore w:val="0"/>
        <w:ind w:left="0" w:right="0" w:firstLine="643"/>
        <w:rPr>
          <w:color w:val="auto"/>
          <w:sz w:val="32"/>
          <w:szCs w:val="32"/>
          <w:rFonts w:ascii="仿宋_GB2312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328285" cy="4683760"/>
            <wp:effectExtent l="0" t="0" r="0" b="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/Users/admin/AppData/Roaming/JisuOffice/ETemp/27884_6737912/fImage313534120814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468439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1"/>
        <w:szCs w:val="21"/>
      </w:rPr>
    </w:rPrDefault>
  </w:docDefaults>
  <w:style w:default="1" w:styleId="PO1" w:type="paragraph">
    <w:name w:val="Normal"/>
    <w:qFormat/>
    <w:uiPriority w:val="1"/>
    <w:pPr>
      <w:jc w:val="both"/>
      <w:spacing w:lineRule="auto" w:line="240" w:after="0"/>
      <w:rPr/>
      <w:autoSpaceDE w:val="0"/>
      <w:autoSpaceDN w:val="0"/>
    </w:pPr>
    <w:rPr>
      <w:color w:val="auto"/>
      <w:sz w:val="21"/>
      <w:szCs w:val="21"/>
      <w:rFonts w:ascii="Calibri" w:eastAsia="宋体" w:hAnsi="宋体" w:cs="宋体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1"/>
      <w:szCs w:val="21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  <w:style w:styleId="PO5" w:type="paragraph">
    <w:name w:val="No Spacing"/>
    <w:next w:val="PO1"/>
    <w:qFormat/>
    <w:uiPriority w:val="5"/>
    <w:pPr>
      <w:jc w:val="both"/>
      <w:spacing w:lineRule="auto" w:line="240" w:after="0"/>
      <w:rPr/>
    </w:pPr>
    <w:rPr>
      <w:sz w:val="21"/>
      <w:szCs w:val="21"/>
    </w:rPr>
  </w:style>
  <w:style w:styleId="PO6" w:type="paragraph">
    <w:name w:val="Title"/>
    <w:basedOn w:val="PO1"/>
    <w:next w:val="PO1"/>
    <w:qFormat/>
    <w:uiPriority w:val="6"/>
    <w:pPr>
      <w:jc w:val="center"/>
      <w:spacing w:before="240" w:after="120"/>
      <w:rPr/>
      <w:outlineLvl w:val="1"/>
    </w:pPr>
    <w:rPr>
      <w:b w:val="1"/>
      <w:sz w:val="32"/>
      <w:szCs w:val="32"/>
    </w:rPr>
  </w:style>
  <w:style w:styleId="PO151" w:type="paragraph">
    <w:name w:val="Normal (Web)"/>
    <w:basedOn w:val="PO1"/>
    <w:qFormat/>
    <w:uiPriority w:val="151"/>
    <w:pPr>
      <w:jc w:val="left"/>
      <w:spacing w:beforeAutospacing="1" w:afterAutospacing="1"/>
      <w:rPr/>
    </w:pPr>
    <w:rPr>
      <w:sz w:val="24"/>
      <w:szCs w:val="24"/>
      <w:rFonts w:ascii="宋体" w:eastAsia="宋体" w:hAnsi="宋体" w:cs="宋体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6479987741.png"></Relationship><Relationship Id="rId6" Type="http://schemas.openxmlformats.org/officeDocument/2006/relationships/image" Target="media/fImage244571978467.png"></Relationship><Relationship Id="rId7" Type="http://schemas.openxmlformats.org/officeDocument/2006/relationships/image" Target="media/fImage5762731106334.jpeg"></Relationship><Relationship Id="rId8" Type="http://schemas.openxmlformats.org/officeDocument/2006/relationships/image" Target="media/fImage3824586826500.jpeg"></Relationship><Relationship Id="rId9" Type="http://schemas.openxmlformats.org/officeDocument/2006/relationships/image" Target="media/fImage236688929169.jpeg"></Relationship><Relationship Id="rId10" Type="http://schemas.openxmlformats.org/officeDocument/2006/relationships/image" Target="media/fImage642781055724.png"></Relationship><Relationship Id="rId11" Type="http://schemas.openxmlformats.org/officeDocument/2006/relationships/image" Target="media/fImage1650491021478.png"></Relationship><Relationship Id="rId12" Type="http://schemas.openxmlformats.org/officeDocument/2006/relationships/image" Target="media/fImage1117596141.png"></Relationship><Relationship Id="rId13" Type="http://schemas.openxmlformats.org/officeDocument/2006/relationships/image" Target="media/fImage464903668467.png"></Relationship><Relationship Id="rId14" Type="http://schemas.openxmlformats.org/officeDocument/2006/relationships/image" Target="media/fImage280790606334.png"></Relationship><Relationship Id="rId15" Type="http://schemas.openxmlformats.org/officeDocument/2006/relationships/image" Target="media/fImage325666696500.png"></Relationship><Relationship Id="rId16" Type="http://schemas.openxmlformats.org/officeDocument/2006/relationships/image" Target="media/fImage240638689169.png"></Relationship><Relationship Id="rId17" Type="http://schemas.openxmlformats.org/officeDocument/2006/relationships/image" Target="media/fImage2287241184464.png"></Relationship><Relationship Id="rId18" Type="http://schemas.openxmlformats.org/officeDocument/2006/relationships/image" Target="media/fImage1975171165705.jpeg"></Relationship><Relationship Id="rId19" Type="http://schemas.openxmlformats.org/officeDocument/2006/relationships/image" Target="media/fImage64982755724.png"></Relationship><Relationship Id="rId20" Type="http://schemas.openxmlformats.org/officeDocument/2006/relationships/image" Target="media/fImage32729781478.jpeg"></Relationship><Relationship Id="rId21" Type="http://schemas.openxmlformats.org/officeDocument/2006/relationships/image" Target="media/fImage66879829358.jpeg"></Relationship><Relationship Id="rId22" Type="http://schemas.openxmlformats.org/officeDocument/2006/relationships/image" Target="media/fImage46493806962.jpeg"></Relationship><Relationship Id="rId23" Type="http://schemas.openxmlformats.org/officeDocument/2006/relationships/image" Target="media/fImage81840834464.png"></Relationship><Relationship Id="rId24" Type="http://schemas.openxmlformats.org/officeDocument/2006/relationships/image" Target="media/fImage235216735705.png"></Relationship><Relationship Id="rId25" Type="http://schemas.openxmlformats.org/officeDocument/2006/relationships/image" Target="media/fImage232923728145.png"></Relationship><Relationship Id="rId26" Type="http://schemas.openxmlformats.org/officeDocument/2006/relationships/image" Target="media/fImage1386821379358.jpeg"></Relationship><Relationship Id="rId27" Type="http://schemas.openxmlformats.org/officeDocument/2006/relationships/image" Target="media/fImage4723001126962.png"></Relationship><Relationship Id="rId28" Type="http://schemas.openxmlformats.org/officeDocument/2006/relationships/image" Target="media/fImage1249746541.jpeg"></Relationship><Relationship Id="rId29" Type="http://schemas.openxmlformats.org/officeDocument/2006/relationships/image" Target="media/fImage443864441.jpeg"></Relationship><Relationship Id="rId30" Type="http://schemas.openxmlformats.org/officeDocument/2006/relationships/image" Target="media/fImage60268508467.jpeg"></Relationship><Relationship Id="rId31" Type="http://schemas.openxmlformats.org/officeDocument/2006/relationships/image" Target="media/fImage3135341208145.png"></Relationship><Relationship Id="rId32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0</Lines>
  <LinksUpToDate>false</LinksUpToDate>
  <Pages>25</Pages>
  <Paragraphs>0</Paragraphs>
  <Words>330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ModifiedBy/>
</cp:coreProperties>
</file>