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95" w:rsidRPr="001F3B95" w:rsidRDefault="001F3B95" w:rsidP="001F3B95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000000"/>
          <w:kern w:val="0"/>
          <w:sz w:val="39"/>
          <w:szCs w:val="39"/>
        </w:rPr>
      </w:pPr>
      <w:r w:rsidRPr="001F3B95">
        <w:rPr>
          <w:rFonts w:ascii="微软雅黑" w:eastAsia="微软雅黑" w:hAnsi="微软雅黑" w:cs="宋体" w:hint="eastAsia"/>
          <w:color w:val="000000"/>
          <w:kern w:val="0"/>
          <w:sz w:val="39"/>
          <w:szCs w:val="39"/>
        </w:rPr>
        <w:t>关于《济南市最低生活保障管理办法》政策解读</w:t>
      </w:r>
    </w:p>
    <w:p w:rsidR="001F3B95" w:rsidRPr="001F3B95" w:rsidRDefault="001F3B95" w:rsidP="001F3B9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一、制定文件的背景</w:t>
      </w:r>
    </w:p>
    <w:p w:rsidR="001F3B95" w:rsidRPr="001F3B95" w:rsidRDefault="001F3B95" w:rsidP="001F3B95">
      <w:pPr>
        <w:widowControl/>
        <w:shd w:val="clear" w:color="auto" w:fill="FFFFFF"/>
        <w:spacing w:line="555" w:lineRule="atLeast"/>
        <w:ind w:firstLine="6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低保是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党和政府为保障困难群众基本生活而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作出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的一项基础性制度，是社会救助体系中的核心制度安排。近年来，我市各级民政部门认真贯彻上级工作要求，大幅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提高低保标准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，适度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拓展低保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范围，精准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落实低保政策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，在维护社会和谐稳定、打赢脱贫攻坚战等方面都发挥了关键作用。截至2021年12月底，全市城乡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分别达到每人每月904元和676元，在全国副省级城市中居第6和第9名；全市城乡低保人数分别达到1.4万人和8.3万人，62%的建档立卡贫困户纳入了保障范围。</w:t>
      </w:r>
    </w:p>
    <w:p w:rsidR="001F3B95" w:rsidRPr="001F3B95" w:rsidRDefault="001F3B95" w:rsidP="001F3B95">
      <w:pPr>
        <w:widowControl/>
        <w:shd w:val="clear" w:color="auto" w:fill="FFFFFF"/>
        <w:spacing w:line="555" w:lineRule="atLeast"/>
        <w:ind w:firstLine="6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2021年6月，民政部印发了《最低生活保障审核确认办法》（民发〔2021〕57号），2021年年底，省民政厅印发了《山东省最低生活保障管理办法》（鲁民〔2021〕75号），</w:t>
      </w:r>
      <w:r w:rsidR="00FD7B5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济南市民政局出台了《济南市最低生活保障管理办法》（济民发【2022】11号），</w:t>
      </w:r>
      <w:r w:rsidR="00FD7B58"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适度扩大</w:t>
      </w:r>
      <w:proofErr w:type="gramStart"/>
      <w:r w:rsidR="00FD7B58"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了低保的</w:t>
      </w:r>
      <w:proofErr w:type="gramEnd"/>
      <w:r w:rsidR="00FD7B58"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保障范围，并</w:t>
      </w:r>
      <w:proofErr w:type="gramStart"/>
      <w:r w:rsidR="00FD7B58"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对低保审核</w:t>
      </w:r>
      <w:proofErr w:type="gramEnd"/>
      <w:r w:rsidR="00FD7B58"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确认流程进行了优化和完善。</w:t>
      </w:r>
    </w:p>
    <w:p w:rsidR="001F3B95" w:rsidRPr="001F3B95" w:rsidRDefault="001F3B95" w:rsidP="001F3B95">
      <w:pPr>
        <w:widowControl/>
        <w:shd w:val="clear" w:color="auto" w:fill="FFFFFF"/>
        <w:spacing w:line="555" w:lineRule="atLeast"/>
        <w:ind w:firstLine="6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二、政策依据</w:t>
      </w:r>
    </w:p>
    <w:p w:rsidR="001F3B95" w:rsidRPr="001F3B95" w:rsidRDefault="001F3B95" w:rsidP="001F3B95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Calibri" w:eastAsia="黑体" w:hAnsi="Calibri" w:cs="Calibri"/>
          <w:color w:val="333333"/>
          <w:kern w:val="0"/>
          <w:sz w:val="32"/>
          <w:szCs w:val="32"/>
        </w:rPr>
        <w:t>   </w:t>
      </w:r>
      <w:r w:rsidRPr="001F3B95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该文件根据《民政部关于印发〈最低生活保障审核确认办法〉的通知》（民发〔2021〕57号）和《山东省最低生活保障管理办法》（鲁民〔2021〕75号）等文件要求制定。</w:t>
      </w:r>
    </w:p>
    <w:p w:rsidR="001F3B95" w:rsidRPr="001F3B95" w:rsidRDefault="001F3B95" w:rsidP="001F3B95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  <w:r w:rsidRPr="001F3B95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  <w:r w:rsidRPr="001F3B95">
        <w:rPr>
          <w:rFonts w:ascii="Calibri" w:eastAsia="黑体" w:hAnsi="Calibri" w:cs="Calibri"/>
          <w:color w:val="333333"/>
          <w:kern w:val="0"/>
          <w:sz w:val="32"/>
          <w:szCs w:val="32"/>
        </w:rPr>
        <w:t> </w:t>
      </w: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三、主要目的</w:t>
      </w:r>
    </w:p>
    <w:p w:rsidR="001F3B95" w:rsidRPr="001F3B95" w:rsidRDefault="001F3B95" w:rsidP="001F3B95">
      <w:pPr>
        <w:widowControl/>
        <w:shd w:val="clear" w:color="auto" w:fill="FFFFFF"/>
        <w:spacing w:line="555" w:lineRule="atLeast"/>
        <w:ind w:firstLine="6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为贯彻落实好民政部和省民政厅文件精神，进一步完善最低生活保障（以下简称低保）制度，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加强低保规范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管理，结合近年来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我市低保制度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的实施情况和工作经验，拟出台《济南市最低生活保障管理办法》。</w:t>
      </w:r>
    </w:p>
    <w:p w:rsidR="001F3B95" w:rsidRPr="001F3B95" w:rsidRDefault="001F3B95" w:rsidP="001F3B95">
      <w:pPr>
        <w:widowControl/>
        <w:shd w:val="clear" w:color="auto" w:fill="FFFFFF"/>
        <w:spacing w:line="6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四、主要内容和亮点</w:t>
      </w:r>
    </w:p>
    <w:p w:rsidR="001F3B95" w:rsidRPr="001F3B95" w:rsidRDefault="001F3B95" w:rsidP="001F3B95">
      <w:pPr>
        <w:widowControl/>
        <w:shd w:val="clear" w:color="auto" w:fill="FFFFFF"/>
        <w:spacing w:line="6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《低保办法》共九章，五十六条。主要内容包括总则、认定条件、申请和受理、家庭经济状况调查、审核确认、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低保资金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筹集管理发放、服务管理和监督检查等内容。与2020年出台的《济南市最低生活保障管理办法》相比，主要有以下变化和创新：</w:t>
      </w:r>
    </w:p>
    <w:p w:rsidR="001F3B95" w:rsidRPr="001F3B95" w:rsidRDefault="001F3B95" w:rsidP="001F3B9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（一）适度拓展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了低保范围</w:t>
      </w:r>
      <w:proofErr w:type="gramEnd"/>
      <w:r w:rsidRPr="001F3B9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一是扩大了重残单人保的保障范围。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将低保边缘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家庭重残单人保的范围由一级、二级重度残疾人扩大到三级智力残疾人、三级精神残疾人。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二是放宽了外来转移人口在居住地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申请低保的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条件。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将2020年《低保办法》中所有家庭成员均要签订劳动合同、缴纳保险放宽为至少有一名家庭成员签订劳动合同、缴纳保险即可。</w:t>
      </w:r>
    </w:p>
    <w:p w:rsidR="001F3B95" w:rsidRPr="001F3B95" w:rsidRDefault="001F3B95" w:rsidP="001F3B95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（二）优化简化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了低保审核</w:t>
      </w:r>
      <w:proofErr w:type="gramEnd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确认程序。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明确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了低保审核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确认权全部下放到镇（街道）后的办理流程，审核时限由民政部要求的30个工作日压缩至15个工作日，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一是取消了2020年《低保办法》规定的口头申请环节。二是压缩了信息核对的时限。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由10个工作日压缩为包括信息核对在内的整个审核环节时限为10个工作日。</w:t>
      </w:r>
    </w:p>
    <w:p w:rsidR="001F3B95" w:rsidRPr="001F3B95" w:rsidRDefault="001F3B95" w:rsidP="001F3B95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lastRenderedPageBreak/>
        <w:t>（三）完善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了低保申请</w:t>
      </w:r>
      <w:proofErr w:type="gramEnd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家庭收入认定办法。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一是明确了赡养费计算公式。《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低保办法》对非共同生活的赡养人应当给付的赡养费标准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作出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原则性规定：按赡养人收入扣除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之后的一定比例推算。每位赡养人每月应当给付的赡养费=（家庭人均月收入-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2倍）×家庭人口数×50%÷应赡养人数。没有法律文书不能精准认定的，每个子女参照当地最低工资标准的20%计算。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二是增加了不计入家庭收入的项目。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明确规定：政府给予的耕地地力保护补贴（即原来的良种补贴）不计入家庭收入；对精神、智力和重度肢体残疾人辅助性就业取得的收入不超过当地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低保标准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的部分，在核算家庭收入时给予扣减。三是细化了家庭收入包含的内容。明确家庭收入包括工资性收入、经营净收入、财产净收入、转移净收入等四类收入基础上，对每一种家庭收入包括的具体内容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作出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了明确。</w:t>
      </w:r>
    </w:p>
    <w:p w:rsidR="001F3B95" w:rsidRPr="001F3B95" w:rsidRDefault="001F3B95" w:rsidP="001F3B95">
      <w:pPr>
        <w:widowControl/>
        <w:shd w:val="clear" w:color="auto" w:fill="FFFFFF"/>
        <w:spacing w:line="58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（四）加强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了低保与</w:t>
      </w:r>
      <w:proofErr w:type="gramEnd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社会福利、社会保险以及其他社会救助制度的衔接。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分散供养的孤儿家庭符合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低保条件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的，家庭成员共同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纳入低保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范围，但孤儿本人不再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发放低保补助金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低保老年人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不再提交经济困难老年人补贴申请，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低保残疾人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不再提交残疾人两项补贴申请，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由各区县民政部门每月通过山东省社会救助综合管理平台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进行低保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老年人、残疾人信息比对，及时调整经济困难老年人补贴和残疾人两项补贴发放情况。</w:t>
      </w:r>
    </w:p>
    <w:p w:rsidR="001F3B95" w:rsidRPr="001F3B95" w:rsidRDefault="001F3B95" w:rsidP="001F3B9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lastRenderedPageBreak/>
        <w:t>（五）完善了</w:t>
      </w:r>
      <w:proofErr w:type="gramStart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低保规范</w:t>
      </w:r>
      <w:proofErr w:type="gramEnd"/>
      <w:r w:rsidRPr="001F3B95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管理的有关规定。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一是对农村低保分档补助的档数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作出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规定。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目前全市有5个区县农村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低保实行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分档补助，为规范此项工作，明确要求：农村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低保可以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采取分档方式发放低保金，各档计发标准应与申请家庭的困难程度和人员状况相符合，原则上不得少于4档，严禁实行平均发放。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二是明确了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低保对象卡折委托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代管的有关要求。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对于无法自行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支取低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保金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的低保对象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，镇（街道）或者村（居）委会相关工作人员代为保管用于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领取低活保金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的银行存折或银行卡的，应当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与低保家庭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成员签订书面协议并报镇（街道）备案。</w:t>
      </w:r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三是建立</w:t>
      </w:r>
      <w:proofErr w:type="gramStart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了低保容错</w:t>
      </w:r>
      <w:proofErr w:type="gramEnd"/>
      <w:r w:rsidRPr="001F3B95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纠错机制。</w:t>
      </w: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首次规定对秉持公心、履职尽责但因客观原因出现失误偏差且能够及时纠正的，依法依规</w:t>
      </w:r>
      <w:proofErr w:type="gramStart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免于问</w:t>
      </w:r>
      <w:proofErr w:type="gramEnd"/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责。</w:t>
      </w:r>
    </w:p>
    <w:p w:rsidR="001F3B95" w:rsidRPr="001F3B95" w:rsidRDefault="001F3B95" w:rsidP="001F3B95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五、解读机构及咨询方式</w:t>
      </w:r>
    </w:p>
    <w:p w:rsidR="001F3B95" w:rsidRPr="001F3B95" w:rsidRDefault="001F3B95" w:rsidP="001F3B9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政策解读单位：济南市民政局社会救助处</w:t>
      </w:r>
    </w:p>
    <w:p w:rsidR="001F3B95" w:rsidRPr="001F3B95" w:rsidRDefault="001F3B95" w:rsidP="001F3B9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具体联系人：王辉</w:t>
      </w:r>
    </w:p>
    <w:p w:rsidR="001F3B95" w:rsidRPr="001F3B95" w:rsidRDefault="001F3B95" w:rsidP="001F3B95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3B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咨询电话：0531-66602527</w:t>
      </w:r>
    </w:p>
    <w:p w:rsidR="00986A0A" w:rsidRPr="001F3B95" w:rsidRDefault="00986A0A"/>
    <w:sectPr w:rsidR="00986A0A" w:rsidRPr="001F3B95" w:rsidSect="00C3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4E" w:rsidRDefault="000E2F4E" w:rsidP="00FD7B58">
      <w:r>
        <w:separator/>
      </w:r>
    </w:p>
  </w:endnote>
  <w:endnote w:type="continuationSeparator" w:id="0">
    <w:p w:rsidR="000E2F4E" w:rsidRDefault="000E2F4E" w:rsidP="00FD7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4E" w:rsidRDefault="000E2F4E" w:rsidP="00FD7B58">
      <w:r>
        <w:separator/>
      </w:r>
    </w:p>
  </w:footnote>
  <w:footnote w:type="continuationSeparator" w:id="0">
    <w:p w:rsidR="000E2F4E" w:rsidRDefault="000E2F4E" w:rsidP="00FD7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FC9"/>
    <w:rsid w:val="000E2F4E"/>
    <w:rsid w:val="001F3B95"/>
    <w:rsid w:val="00581FC9"/>
    <w:rsid w:val="00986A0A"/>
    <w:rsid w:val="00B97A33"/>
    <w:rsid w:val="00C3462A"/>
    <w:rsid w:val="00FD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3B9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D7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D7B5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D7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D7B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99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8" w:color="000000"/>
            <w:right w:val="none" w:sz="0" w:space="0" w:color="auto"/>
          </w:divBdr>
        </w:div>
        <w:div w:id="11209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林楠</dc:creator>
  <cp:keywords/>
  <dc:description/>
  <cp:lastModifiedBy>lenovo</cp:lastModifiedBy>
  <cp:revision>3</cp:revision>
  <dcterms:created xsi:type="dcterms:W3CDTF">2022-12-08T03:08:00Z</dcterms:created>
  <dcterms:modified xsi:type="dcterms:W3CDTF">2023-06-16T05:51:00Z</dcterms:modified>
</cp:coreProperties>
</file>