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济南市历城区“十四五”水生态环境保护规划重大行政决策社会稳定风险评估报告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eastAsia="方正小标宋简体"/>
          <w:color w:val="auto"/>
          <w:sz w:val="44"/>
          <w:szCs w:val="44"/>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评估主体</w:t>
      </w:r>
      <w:r>
        <w:rPr>
          <w:rFonts w:hint="eastAsia" w:ascii="仿宋_GB2312" w:hAnsi="仿宋_GB2312" w:eastAsia="仿宋_GB2312" w:cs="仿宋_GB2312"/>
          <w:color w:val="auto"/>
          <w:sz w:val="32"/>
          <w:szCs w:val="32"/>
          <w:lang w:eastAsia="zh-CN"/>
        </w:rPr>
        <w:t>：济南市生态环境局历城分局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实施主体</w:t>
      </w:r>
      <w:r>
        <w:rPr>
          <w:rFonts w:hint="eastAsia" w:ascii="仿宋_GB2312" w:hAnsi="仿宋_GB2312" w:eastAsia="仿宋_GB2312" w:cs="仿宋_GB2312"/>
          <w:color w:val="auto"/>
          <w:sz w:val="32"/>
          <w:szCs w:val="32"/>
          <w:lang w:eastAsia="zh-CN"/>
        </w:rPr>
        <w:t>：济南市生态环境局历城分局</w:t>
      </w:r>
      <w:r>
        <w:rPr>
          <w:rFonts w:hint="eastAsia" w:ascii="仿宋_GB2312" w:hAnsi="仿宋_GB2312" w:eastAsia="仿宋_GB2312" w:cs="仿宋_GB2312"/>
          <w:color w:val="auto"/>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评估日期（盖章）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2023年3月16日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jc w:val="both"/>
        <w:textAlignment w:val="auto"/>
        <w:rPr>
          <w:rFonts w:hint="eastAsia" w:ascii="仿宋_GB2312" w:hAnsi="仿宋_GB2312" w:eastAsia="仿宋_GB2312" w:cs="仿宋_GB2312"/>
          <w:color w:val="auto"/>
          <w:sz w:val="32"/>
          <w:szCs w:val="32"/>
          <w:lang w:val="en-US" w:eastAsia="zh-CN"/>
        </w:rPr>
      </w:pPr>
      <w:bookmarkStart w:id="0" w:name="_GoBack"/>
      <w:bookmarkEnd w:id="0"/>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一、风险评估</w:t>
      </w:r>
      <w:r>
        <w:rPr>
          <w:rFonts w:hint="eastAsia" w:ascii="黑体" w:hAnsi="黑体" w:eastAsia="黑体" w:cs="黑体"/>
          <w:color w:val="auto"/>
          <w:sz w:val="32"/>
          <w:szCs w:val="32"/>
        </w:rPr>
        <w:t>主要内容</w:t>
      </w:r>
    </w:p>
    <w:p>
      <w:pPr>
        <w:keepNext w:val="0"/>
        <w:keepLines w:val="0"/>
        <w:pageBreakBefore w:val="0"/>
        <w:kinsoku/>
        <w:wordWrap/>
        <w:overflowPunct/>
        <w:topLinePunct w:val="0"/>
        <w:autoSpaceDE/>
        <w:autoSpaceDN/>
        <w:bidi w:val="0"/>
        <w:adjustRightInd/>
        <w:snapToGrid/>
        <w:spacing w:line="600" w:lineRule="exact"/>
        <w:ind w:left="0" w:leftChars="0" w:firstLine="64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（一）基本情况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以习近平新时代中国特色社会主义思想为指导，为全面贯彻党的二十大精神，深入贯彻习近平生态文明思想，扎实做好全区“十四五”水生态环境保护工作，依据济南市人民政府《济南市“十四五”水生态环境保护规划》要求，市生态环境局历城分局制定了《济南市历城区“十四五”水生态环境保护规划》。《规划》全文共五部分，分别从基本情况、总体思路与目标、规划任务要求、骨干工程项目、保障措施等五个方面进行规划。突出围绕深化污染减排、保障生态流量、推动水生态保护与修复推进重要湿地保护治理等三个方面进行任务要求，到</w:t>
      </w:r>
      <w:r>
        <w:rPr>
          <w:rFonts w:hint="eastAsia" w:ascii="仿宋_GB2312" w:hAnsi="仿宋_GB2312" w:eastAsia="仿宋_GB2312" w:cs="仿宋_GB2312"/>
          <w:color w:val="auto"/>
          <w:sz w:val="32"/>
          <w:szCs w:val="32"/>
          <w:highlight w:val="none"/>
          <w:lang w:val="en-US" w:eastAsia="zh-CN"/>
        </w:rPr>
        <w:t>2025年，全区水环境质量持续改善，水资源、水生态、水环境统筹推进格局初步形成，水生态环境治理体系和治理能力现代化水平显著提高。</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制定</w:t>
      </w:r>
      <w:r>
        <w:rPr>
          <w:rFonts w:hint="eastAsia" w:ascii="楷体_GB2312" w:hAnsi="楷体_GB2312" w:eastAsia="楷体_GB2312" w:cs="楷体_GB2312"/>
          <w:color w:val="auto"/>
          <w:sz w:val="32"/>
          <w:szCs w:val="32"/>
          <w:lang w:eastAsia="zh-CN"/>
        </w:rPr>
        <w:t>征求意见公告</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对该《规划》制定征求意见公告，面向社会公开征求意见。</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638" w:leftChars="304" w:right="0" w:rightChars="0" w:firstLine="0" w:firstLineChars="0"/>
        <w:jc w:val="left"/>
        <w:textAlignment w:val="auto"/>
        <w:rPr>
          <w:rStyle w:val="11"/>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eastAsia="zh-CN"/>
        </w:rPr>
        <w:t>征求意见稿公示网址：</w:t>
      </w:r>
      <w:r>
        <w:rPr>
          <w:rStyle w:val="11"/>
          <w:rFonts w:hint="eastAsia" w:ascii="仿宋_GB2312" w:hAnsi="仿宋_GB2312" w:eastAsia="仿宋_GB2312" w:cs="仿宋_GB2312"/>
          <w:sz w:val="32"/>
          <w:szCs w:val="32"/>
          <w:lang w:eastAsia="zh-CN"/>
        </w:rPr>
        <w:fldChar w:fldCharType="begin"/>
      </w:r>
      <w:r>
        <w:rPr>
          <w:rStyle w:val="11"/>
          <w:rFonts w:hint="eastAsia" w:ascii="仿宋_GB2312" w:hAnsi="仿宋_GB2312" w:eastAsia="仿宋_GB2312" w:cs="仿宋_GB2312"/>
          <w:sz w:val="32"/>
          <w:szCs w:val="32"/>
          <w:lang w:eastAsia="zh-CN"/>
        </w:rPr>
        <w:instrText xml:space="preserve"> HYPERLINK "http://www.licheng.gov.cn/art/2023/2/16/art_11875_4" </w:instrText>
      </w:r>
      <w:r>
        <w:rPr>
          <w:rStyle w:val="11"/>
          <w:rFonts w:hint="eastAsia" w:ascii="仿宋_GB2312" w:hAnsi="仿宋_GB2312" w:eastAsia="仿宋_GB2312" w:cs="仿宋_GB2312"/>
          <w:sz w:val="32"/>
          <w:szCs w:val="32"/>
          <w:lang w:eastAsia="zh-CN"/>
        </w:rPr>
        <w:fldChar w:fldCharType="separate"/>
      </w:r>
      <w:r>
        <w:rPr>
          <w:rStyle w:val="11"/>
          <w:rFonts w:hint="eastAsia" w:ascii="仿宋_GB2312" w:hAnsi="仿宋_GB2312" w:eastAsia="仿宋_GB2312" w:cs="仿宋_GB2312"/>
          <w:sz w:val="32"/>
          <w:szCs w:val="32"/>
          <w:lang w:eastAsia="zh-CN"/>
        </w:rPr>
        <w:t>http://www.licheng.gov.cn/art/2023/2/16/art_11875_4</w:t>
      </w:r>
      <w:r>
        <w:rPr>
          <w:rStyle w:val="11"/>
          <w:rFonts w:hint="eastAsia" w:ascii="仿宋_GB2312" w:hAnsi="仿宋_GB2312" w:eastAsia="仿宋_GB2312" w:cs="仿宋_GB2312"/>
          <w:sz w:val="32"/>
          <w:szCs w:val="32"/>
          <w:lang w:eastAsia="zh-CN"/>
        </w:rPr>
        <w:fldChar w:fldCharType="end"/>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818300.html。</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638" w:leftChars="304" w:right="0" w:rightChars="0" w:firstLine="0" w:firstLineChars="0"/>
        <w:jc w:val="left"/>
        <w:textAlignment w:val="auto"/>
        <w:rPr>
          <w:rStyle w:val="11"/>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lang w:eastAsia="zh-CN"/>
        </w:rPr>
        <w:t>反馈意见公示网址：</w:t>
      </w:r>
      <w:r>
        <w:rPr>
          <w:rStyle w:val="11"/>
          <w:rFonts w:hint="eastAsia" w:ascii="仿宋_GB2312" w:hAnsi="仿宋_GB2312" w:eastAsia="仿宋_GB2312" w:cs="仿宋_GB2312"/>
          <w:sz w:val="32"/>
          <w:szCs w:val="32"/>
          <w:lang w:eastAsia="zh-CN"/>
        </w:rPr>
        <w:fldChar w:fldCharType="begin"/>
      </w:r>
      <w:r>
        <w:rPr>
          <w:rStyle w:val="11"/>
          <w:rFonts w:hint="eastAsia" w:ascii="仿宋_GB2312" w:hAnsi="仿宋_GB2312" w:eastAsia="仿宋_GB2312" w:cs="仿宋_GB2312"/>
          <w:sz w:val="32"/>
          <w:szCs w:val="32"/>
          <w:lang w:eastAsia="zh-CN"/>
        </w:rPr>
        <w:instrText xml:space="preserve"> HYPERLINK "http://www.licheng.gov.cn/art/2023/3/15/art_11875_4818301.html" </w:instrText>
      </w:r>
      <w:r>
        <w:rPr>
          <w:rStyle w:val="11"/>
          <w:rFonts w:hint="eastAsia" w:ascii="仿宋_GB2312" w:hAnsi="仿宋_GB2312" w:eastAsia="仿宋_GB2312" w:cs="仿宋_GB2312"/>
          <w:sz w:val="32"/>
          <w:szCs w:val="32"/>
          <w:lang w:eastAsia="zh-CN"/>
        </w:rPr>
        <w:fldChar w:fldCharType="separate"/>
      </w:r>
      <w:r>
        <w:rPr>
          <w:rStyle w:val="11"/>
          <w:rFonts w:hint="eastAsia" w:ascii="仿宋_GB2312" w:hAnsi="仿宋_GB2312" w:eastAsia="仿宋_GB2312" w:cs="仿宋_GB2312"/>
          <w:sz w:val="32"/>
          <w:szCs w:val="32"/>
          <w:lang w:eastAsia="zh-CN"/>
        </w:rPr>
        <w:t>http://www.licheng.gov.cn/art/2023/3/15/art_11875_4</w:t>
      </w:r>
      <w:r>
        <w:rPr>
          <w:rStyle w:val="11"/>
          <w:rFonts w:hint="eastAsia" w:ascii="仿宋_GB2312" w:hAnsi="仿宋_GB2312" w:eastAsia="仿宋_GB2312" w:cs="仿宋_GB2312"/>
          <w:sz w:val="32"/>
          <w:szCs w:val="32"/>
          <w:lang w:eastAsia="zh-CN"/>
        </w:rPr>
        <w:fldChar w:fldCharType="end"/>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left"/>
        <w:textAlignment w:val="auto"/>
        <w:rPr>
          <w:rStyle w:val="11"/>
          <w:rFonts w:hint="eastAsia" w:ascii="仿宋_GB2312" w:hAnsi="仿宋_GB2312" w:eastAsia="仿宋_GB2312" w:cs="仿宋_GB2312"/>
          <w:sz w:val="32"/>
          <w:szCs w:val="32"/>
          <w:lang w:eastAsia="zh-CN"/>
        </w:rPr>
      </w:pPr>
      <w:r>
        <w:rPr>
          <w:rStyle w:val="11"/>
          <w:rFonts w:hint="eastAsia" w:ascii="仿宋_GB2312" w:hAnsi="仿宋_GB2312" w:eastAsia="仿宋_GB2312" w:cs="仿宋_GB2312"/>
          <w:sz w:val="32"/>
          <w:szCs w:val="32"/>
          <w:lang w:eastAsia="zh-CN"/>
        </w:rPr>
        <w:t>818301.html。</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highlight w:val="yellow"/>
          <w:lang w:val="en-US" w:eastAsia="zh-CN"/>
        </w:rPr>
      </w:pPr>
      <w:r>
        <w:rPr>
          <w:rFonts w:hint="eastAsia" w:ascii="楷体_GB2312" w:hAnsi="楷体_GB2312" w:eastAsia="楷体_GB2312" w:cs="楷体_GB2312"/>
          <w:color w:val="auto"/>
          <w:sz w:val="32"/>
          <w:szCs w:val="32"/>
          <w:highlight w:val="none"/>
          <w:lang w:val="en-US" w:eastAsia="zh-CN"/>
        </w:rPr>
        <w:t>（三）评估过程</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宋体" w:eastAsia="仿宋_GB2312" w:cs="仿宋_GB2312"/>
          <w:color w:val="000000"/>
          <w:sz w:val="32"/>
          <w:szCs w:val="32"/>
          <w:lang w:eastAsia="zh-CN"/>
        </w:rPr>
        <w:t>查阅</w:t>
      </w:r>
      <w:r>
        <w:rPr>
          <w:rFonts w:hint="eastAsia" w:ascii="仿宋_GB2312" w:hAnsi="宋体" w:eastAsia="仿宋_GB2312" w:cs="仿宋_GB2312"/>
          <w:color w:val="000000"/>
          <w:sz w:val="32"/>
          <w:szCs w:val="32"/>
        </w:rPr>
        <w:t>水务、住建、农业农村等相关部门</w:t>
      </w:r>
      <w:r>
        <w:rPr>
          <w:rFonts w:hint="eastAsia" w:ascii="仿宋_GB2312" w:hAnsi="宋体" w:eastAsia="仿宋_GB2312" w:cs="仿宋_GB2312"/>
          <w:color w:val="000000"/>
          <w:sz w:val="32"/>
          <w:szCs w:val="32"/>
          <w:lang w:eastAsia="zh-CN"/>
        </w:rPr>
        <w:t>文件</w:t>
      </w:r>
      <w:r>
        <w:rPr>
          <w:rFonts w:hint="eastAsia" w:ascii="仿宋_GB2312" w:hAnsi="宋体" w:eastAsia="仿宋_GB2312" w:cs="仿宋_GB2312"/>
          <w:color w:val="000000"/>
          <w:sz w:val="32"/>
          <w:szCs w:val="32"/>
        </w:rPr>
        <w:t>资料，</w:t>
      </w:r>
      <w:r>
        <w:rPr>
          <w:rFonts w:hint="eastAsia" w:ascii="仿宋_GB2312" w:hAnsi="宋体" w:eastAsia="仿宋_GB2312" w:cs="仿宋_GB2312"/>
          <w:color w:val="000000"/>
          <w:sz w:val="32"/>
          <w:szCs w:val="32"/>
          <w:lang w:eastAsia="zh-CN"/>
        </w:rPr>
        <w:t>根据前期规划编制布点情况实地调研</w:t>
      </w:r>
      <w:r>
        <w:rPr>
          <w:rFonts w:hint="eastAsia" w:ascii="仿宋_GB2312" w:hAnsi="宋体" w:eastAsia="仿宋_GB2312" w:cs="仿宋_GB2312"/>
          <w:color w:val="000000"/>
          <w:sz w:val="32"/>
          <w:szCs w:val="32"/>
        </w:rPr>
        <w:t>全区河流水体水生态环境现状</w:t>
      </w:r>
      <w:r>
        <w:rPr>
          <w:rFonts w:hint="eastAsia" w:ascii="仿宋_GB2312" w:hAnsi="宋体" w:eastAsia="仿宋_GB2312" w:cs="仿宋_GB2312"/>
          <w:color w:val="000000"/>
          <w:sz w:val="32"/>
          <w:szCs w:val="32"/>
          <w:lang w:eastAsia="zh-CN"/>
        </w:rPr>
        <w:t>，结合收集到的资料分析和现场踏勘切实做好规划的评估工作。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（四）收集资料</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eastAsia="zh-CN"/>
        </w:rPr>
        <w:t>评估资料主要包括：征求意见反馈采纳情况、历城区重要河库平面图、历城区河湖水系分布及水环境现状、骨干工程项目清单、政府发布的环境政策文件以及所在区域的自然和社会信息等。</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（五）评估内容</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合法性</w:t>
      </w:r>
      <w:r>
        <w:rPr>
          <w:rFonts w:hint="eastAsia" w:ascii="仿宋_GB2312" w:hAnsi="仿宋_GB2312" w:eastAsia="仿宋_GB2312" w:cs="仿宋_GB2312"/>
          <w:b/>
          <w:bCs/>
          <w:color w:val="auto"/>
          <w:sz w:val="32"/>
          <w:szCs w:val="32"/>
          <w:lang w:eastAsia="zh-CN"/>
        </w:rPr>
        <w:t>及合理性评估。</w:t>
      </w:r>
      <w:r>
        <w:rPr>
          <w:rFonts w:hint="eastAsia" w:ascii="仿宋_GB2312" w:hAnsi="仿宋_GB2312" w:eastAsia="仿宋_GB2312" w:cs="仿宋_GB2312"/>
          <w:color w:val="auto"/>
          <w:sz w:val="32"/>
          <w:szCs w:val="32"/>
          <w:lang w:eastAsia="zh-CN"/>
        </w:rPr>
        <w:t>《中华人民共和国水污染防治法》第四条规定，县级以上人民政府应当将水环境保护工作纳入国民经济和社会发展规划。</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8月23日，山东省人民政府办公厅印发《山东省“十四五”生态环境保护规划》，2022年12月29日，山东省生态环境厅发布《山东省“十四五”生态环境保护规划》，2023年1月17日，济南市人民政府印发《济南市“十四五”水生态环境保护规划》通知，确定了济南市“十四五”期间水生态环境保护的目标，到2025年，水环境质量持续改善，市控以上重点河流水质全面达到功能区规划要求，黄河、小清河干流总氮浓度得到有效控制。</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经评估，</w:t>
      </w:r>
      <w:r>
        <w:rPr>
          <w:rFonts w:hint="eastAsia" w:ascii="仿宋_GB2312" w:hAnsi="仿宋_GB2312" w:eastAsia="仿宋_GB2312" w:cs="仿宋_GB2312"/>
          <w:color w:val="auto"/>
          <w:sz w:val="32"/>
          <w:szCs w:val="32"/>
          <w:highlight w:val="none"/>
          <w:lang w:eastAsia="zh-CN"/>
        </w:rPr>
        <w:t>市生态环境局历城分局制定的</w:t>
      </w:r>
      <w:r>
        <w:rPr>
          <w:rFonts w:hint="eastAsia" w:ascii="仿宋_GB2312" w:hAnsi="仿宋_GB2312" w:eastAsia="仿宋_GB2312" w:cs="仿宋_GB2312"/>
          <w:color w:val="auto"/>
          <w:sz w:val="32"/>
          <w:szCs w:val="32"/>
          <w:lang w:val="en-US" w:eastAsia="zh-CN"/>
        </w:rPr>
        <w:t>《济南市历城区“十四五”水生态环境保护规划》符合山东省、济南市有关“十四五”水生态环境保护规划的要求，内容未发现有明显违反法律法规之处。市生态环境局历城分局制定的《济南市历城区“十四五”水生态环境保护规划》内容规定较为合理，制定与实施具有必要性和可行性，能够结合单位的实践经验和实际情况，具有较强的可操作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合规性评估</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Cs/>
          <w:color w:val="auto"/>
          <w:kern w:val="0"/>
          <w:sz w:val="32"/>
          <w:szCs w:val="32"/>
          <w:highlight w:val="none"/>
          <w:lang w:val="en-US" w:eastAsia="zh-CN"/>
        </w:rPr>
        <w:t>认真贯彻落实党的二十大精神，深入贯彻习近平生态文明思想，践行“绿水青山就是金山银山”理念以及黄河流域生态保护和高质量发展重大国家战略，加快推进历城区水污染防治工作可持续发展，</w:t>
      </w:r>
      <w:r>
        <w:rPr>
          <w:rFonts w:hint="eastAsia" w:ascii="仿宋_GB2312" w:hAnsi="仿宋_GB2312" w:eastAsia="仿宋_GB2312" w:cs="仿宋_GB2312"/>
          <w:color w:val="auto"/>
          <w:sz w:val="32"/>
          <w:szCs w:val="32"/>
        </w:rPr>
        <w:t>以改善水生态环境质量为核心，坚持精准治污、科学治污、依法治污，统筹水资源、水环境、水生态治理，深入打好碧水保卫攻坚战，全面提升全区水生态环境质量，构建水生态环境保护新格局。</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rPr>
          <w:rFonts w:hint="eastAsia" w:ascii="仿宋_GB2312" w:hAnsi="黑体" w:eastAsia="仿宋_GB2312" w:cs="仿宋_GB2312"/>
          <w:sz w:val="32"/>
          <w:szCs w:val="32"/>
          <w:highlight w:val="none"/>
          <w:lang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社会稳定风险。</w:t>
      </w:r>
      <w:r>
        <w:rPr>
          <w:rFonts w:hint="eastAsia" w:ascii="仿宋_GB2312" w:hAnsi="黑体" w:eastAsia="仿宋_GB2312" w:cs="仿宋_GB2312"/>
          <w:sz w:val="32"/>
          <w:szCs w:val="32"/>
          <w:highlight w:val="none"/>
        </w:rPr>
        <w:t>按照“分类管理、责任到人、分级管理”的工作原则，部门协同合作，快速反应</w:t>
      </w:r>
      <w:r>
        <w:rPr>
          <w:rFonts w:hint="eastAsia" w:ascii="仿宋_GB2312" w:hAnsi="黑体" w:eastAsia="仿宋_GB2312" w:cs="仿宋_GB2312"/>
          <w:sz w:val="32"/>
          <w:szCs w:val="32"/>
          <w:highlight w:val="none"/>
          <w:lang w:eastAsia="zh-CN"/>
        </w:rPr>
        <w:t>，</w:t>
      </w:r>
      <w:r>
        <w:rPr>
          <w:rFonts w:hint="eastAsia" w:ascii="仿宋_GB2312" w:hAnsi="黑体" w:eastAsia="仿宋_GB2312" w:cs="仿宋_GB2312"/>
          <w:sz w:val="32"/>
          <w:szCs w:val="32"/>
          <w:highlight w:val="none"/>
        </w:rPr>
        <w:t>针对环境污染突发事件，制定应急处置工作流程，明确各项工作措施，切实做好环境突发事件应急管理工作。</w:t>
      </w:r>
      <w:r>
        <w:rPr>
          <w:rFonts w:hint="eastAsia" w:ascii="仿宋_GB2312" w:hAnsi="黑体" w:eastAsia="仿宋_GB2312" w:cs="仿宋_GB2312"/>
          <w:sz w:val="32"/>
          <w:szCs w:val="32"/>
          <w:highlight w:val="none"/>
          <w:lang w:eastAsia="zh-CN"/>
        </w:rPr>
        <w:t>规划的实施不会引发较大的影响社会治安和社会稳定的事件，风险程度和范围整体可控。</w:t>
      </w:r>
    </w:p>
    <w:p>
      <w:pPr>
        <w:keepNext w:val="0"/>
        <w:keepLines w:val="0"/>
        <w:pageBreakBefore w:val="0"/>
        <w:kinsoku/>
        <w:wordWrap/>
        <w:overflowPunct/>
        <w:topLinePunct w:val="0"/>
        <w:autoSpaceDE/>
        <w:autoSpaceDN/>
        <w:bidi w:val="0"/>
        <w:adjustRightInd/>
        <w:snapToGrid/>
        <w:spacing w:line="600" w:lineRule="exact"/>
        <w:ind w:left="0" w:leftChars="0" w:firstLine="64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color w:val="auto"/>
          <w:sz w:val="32"/>
          <w:szCs w:val="32"/>
          <w:highlight w:val="none"/>
          <w:lang w:val="en-US" w:eastAsia="zh-CN"/>
        </w:rPr>
        <w:t>4.公共安全风险。</w:t>
      </w:r>
      <w:r>
        <w:rPr>
          <w:rFonts w:hint="eastAsia" w:ascii="仿宋_GB2312" w:hAnsi="仿宋_GB2312" w:eastAsia="仿宋_GB2312" w:cs="仿宋_GB2312"/>
          <w:b w:val="0"/>
          <w:bCs w:val="0"/>
          <w:color w:val="auto"/>
          <w:sz w:val="32"/>
          <w:szCs w:val="32"/>
          <w:highlight w:val="none"/>
          <w:lang w:val="en-US" w:eastAsia="zh-CN"/>
        </w:rPr>
        <w:t>规划的实施使全区</w:t>
      </w:r>
      <w:r>
        <w:rPr>
          <w:rFonts w:hint="eastAsia" w:ascii="仿宋_GB2312" w:hAnsi="黑体" w:eastAsia="仿宋_GB2312" w:cs="仿宋_GB2312"/>
          <w:b w:val="0"/>
          <w:bCs w:val="0"/>
          <w:sz w:val="32"/>
          <w:szCs w:val="32"/>
          <w:highlight w:val="none"/>
        </w:rPr>
        <w:t>水生态系统功能初步恢复，水生生物多样性保护水平得到提升。水资</w:t>
      </w:r>
      <w:r>
        <w:rPr>
          <w:rFonts w:hint="eastAsia" w:ascii="仿宋_GB2312" w:hAnsi="黑体" w:eastAsia="仿宋_GB2312" w:cs="仿宋_GB2312"/>
          <w:b w:val="0"/>
          <w:bCs w:val="0"/>
          <w:sz w:val="32"/>
          <w:szCs w:val="32"/>
        </w:rPr>
        <w:t>源、水生态、水环境统筹推进格局初步形成，水生态环境治理体系和治理能力现代化水平显著提高。</w:t>
      </w:r>
      <w:r>
        <w:rPr>
          <w:rFonts w:hint="eastAsia" w:ascii="仿宋_GB2312" w:hAnsi="黑体" w:eastAsia="仿宋_GB2312" w:cs="仿宋_GB2312"/>
          <w:b w:val="0"/>
          <w:bCs w:val="0"/>
          <w:sz w:val="32"/>
          <w:szCs w:val="32"/>
          <w:lang w:eastAsia="zh-CN"/>
        </w:rPr>
        <w:t>展望至</w:t>
      </w:r>
      <w:r>
        <w:rPr>
          <w:rFonts w:hint="eastAsia" w:ascii="仿宋_GB2312" w:hAnsi="黑体" w:eastAsia="仿宋_GB2312" w:cs="仿宋_GB2312"/>
          <w:b w:val="0"/>
          <w:bCs w:val="0"/>
          <w:sz w:val="32"/>
          <w:szCs w:val="32"/>
          <w:lang w:val="en-US" w:eastAsia="zh-CN"/>
        </w:rPr>
        <w:t>2035年</w:t>
      </w:r>
      <w:r>
        <w:rPr>
          <w:rFonts w:hint="eastAsia" w:ascii="仿宋_GB2312" w:hAnsi="黑体" w:eastAsia="仿宋_GB2312" w:cs="仿宋_GB2312"/>
          <w:sz w:val="32"/>
          <w:szCs w:val="32"/>
        </w:rPr>
        <w:t>全区水环境质量总体改善，城乡黑臭水体全面消除，城乡居民饮水安全得到全面保障。河湖生态流量得到全面保障，生物多样性保护水平明显提升。“水清岸绿、鱼翔浅底”“有河有水、有鱼有草、人水和谐”的目标基本实现。</w:t>
      </w:r>
      <w:r>
        <w:rPr>
          <w:rFonts w:hint="eastAsia" w:ascii="仿宋_GB2312" w:hAnsi="黑体" w:eastAsia="仿宋_GB2312" w:cs="仿宋_GB2312"/>
          <w:sz w:val="32"/>
          <w:szCs w:val="32"/>
          <w:lang w:eastAsia="zh-CN"/>
        </w:rPr>
        <w:t>符合国家安全法促进人与自然和谐发展的要求，规划的实施不存在危害国家安全、公共安全等因素。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黑体" w:eastAsia="仿宋_GB2312" w:cs="仿宋_GB2312"/>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生态环境主要</w:t>
      </w:r>
      <w:r>
        <w:rPr>
          <w:rFonts w:hint="eastAsia" w:ascii="仿宋_GB2312" w:hAnsi="仿宋_GB2312" w:eastAsia="仿宋_GB2312" w:cs="仿宋_GB2312"/>
          <w:b/>
          <w:bCs/>
          <w:color w:val="auto"/>
          <w:sz w:val="32"/>
          <w:szCs w:val="32"/>
        </w:rPr>
        <w:t>风险</w:t>
      </w:r>
      <w:r>
        <w:rPr>
          <w:rFonts w:hint="eastAsia" w:ascii="仿宋_GB2312" w:hAnsi="仿宋_GB2312" w:eastAsia="仿宋_GB2312" w:cs="仿宋_GB2312"/>
          <w:b/>
          <w:bCs/>
          <w:color w:val="auto"/>
          <w:sz w:val="32"/>
          <w:szCs w:val="32"/>
          <w:lang w:eastAsia="zh-CN"/>
        </w:rPr>
        <w:t>。</w:t>
      </w:r>
      <w:r>
        <w:rPr>
          <w:rFonts w:hint="eastAsia" w:ascii="仿宋_GB2312" w:hAnsi="黑体" w:eastAsia="仿宋_GB2312" w:cs="仿宋_GB2312"/>
          <w:sz w:val="32"/>
          <w:szCs w:val="32"/>
        </w:rPr>
        <w:t>水环境上，赵王河等水体仍旧超标，全福河、巨野河等水体不稳定达标；水资源上，多数河流生态基流不能保证；水生态上，河道淤积、两侧缺少生态缓冲带，影响水生态系统稳定平衡。</w:t>
      </w:r>
      <w:r>
        <w:rPr>
          <w:rFonts w:hint="eastAsia" w:ascii="仿宋_GB2312" w:hAnsi="黑体" w:eastAsia="仿宋_GB2312" w:cs="仿宋_GB2312"/>
          <w:sz w:val="32"/>
          <w:szCs w:val="32"/>
          <w:lang w:eastAsia="zh-CN"/>
        </w:rPr>
        <w:t>经评估，</w:t>
      </w:r>
      <w:r>
        <w:rPr>
          <w:rFonts w:hint="eastAsia" w:ascii="仿宋_GB2312" w:hAnsi="黑体" w:eastAsia="仿宋_GB2312" w:cs="仿宋_GB2312"/>
          <w:sz w:val="32"/>
          <w:szCs w:val="32"/>
        </w:rPr>
        <w:t>随着水污染防治各项措施的开展，历城区水生态环境</w:t>
      </w:r>
      <w:r>
        <w:rPr>
          <w:rFonts w:hint="eastAsia" w:ascii="仿宋_GB2312" w:hAnsi="黑体" w:eastAsia="仿宋_GB2312" w:cs="仿宋_GB2312"/>
          <w:sz w:val="32"/>
          <w:szCs w:val="32"/>
          <w:lang w:eastAsia="zh-CN"/>
        </w:rPr>
        <w:t>将会</w:t>
      </w:r>
      <w:r>
        <w:rPr>
          <w:rFonts w:hint="eastAsia" w:ascii="仿宋_GB2312" w:hAnsi="黑体" w:eastAsia="仿宋_GB2312" w:cs="仿宋_GB2312"/>
          <w:sz w:val="32"/>
          <w:szCs w:val="32"/>
        </w:rPr>
        <w:t>得到初步改善，</w:t>
      </w:r>
      <w:r>
        <w:rPr>
          <w:rFonts w:hint="eastAsia" w:ascii="仿宋_GB2312" w:hAnsi="黑体" w:eastAsia="仿宋_GB2312" w:cs="仿宋_GB2312"/>
          <w:sz w:val="32"/>
          <w:szCs w:val="32"/>
          <w:lang w:eastAsia="zh-CN"/>
        </w:rPr>
        <w:t>消除生态环境主要风险</w:t>
      </w:r>
      <w:r>
        <w:rPr>
          <w:rFonts w:hint="eastAsia" w:ascii="仿宋_GB2312" w:hAnsi="黑体" w:eastAsia="仿宋_GB2312" w:cs="仿宋_GB2312"/>
          <w:sz w:val="32"/>
          <w:szCs w:val="32"/>
        </w:rPr>
        <w:t>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default" w:ascii="仿宋_GB2312" w:hAnsi="黑体" w:eastAsia="仿宋_GB2312" w:cs="仿宋_GB2312"/>
          <w:sz w:val="32"/>
          <w:szCs w:val="32"/>
          <w:lang w:val="en-US" w:eastAsia="zh-CN"/>
        </w:rPr>
      </w:pPr>
      <w:r>
        <w:rPr>
          <w:rFonts w:hint="eastAsia" w:ascii="仿宋_GB2312" w:hAnsi="黑体" w:eastAsia="仿宋_GB2312" w:cs="仿宋_GB2312"/>
          <w:b/>
          <w:bCs/>
          <w:sz w:val="32"/>
          <w:szCs w:val="32"/>
          <w:lang w:val="en-US" w:eastAsia="zh-CN"/>
        </w:rPr>
        <w:t>6.财政风险。</w:t>
      </w:r>
      <w:r>
        <w:rPr>
          <w:rFonts w:hint="eastAsia" w:ascii="仿宋_GB2312" w:hAnsi="黑体" w:eastAsia="仿宋_GB2312" w:cs="仿宋_GB2312"/>
          <w:b w:val="0"/>
          <w:bCs w:val="0"/>
          <w:sz w:val="32"/>
          <w:szCs w:val="32"/>
          <w:lang w:val="en-US" w:eastAsia="zh-CN"/>
        </w:rPr>
        <w:t>在争取中央、省、市财政专项资金的支持下，</w:t>
      </w:r>
      <w:r>
        <w:rPr>
          <w:rFonts w:hint="eastAsia" w:ascii="仿宋_GB2312" w:hAnsi="黑体" w:eastAsia="仿宋_GB2312" w:cs="仿宋_GB2312"/>
          <w:b w:val="0"/>
          <w:bCs w:val="0"/>
          <w:sz w:val="32"/>
          <w:szCs w:val="32"/>
        </w:rPr>
        <w:t>积极推行绿色金融，创新生态环保投资运营机制</w:t>
      </w:r>
      <w:r>
        <w:rPr>
          <w:rFonts w:hint="eastAsia" w:ascii="仿宋_GB2312" w:hAnsi="黑体" w:eastAsia="仿宋_GB2312" w:cs="仿宋_GB2312"/>
          <w:b w:val="0"/>
          <w:bCs w:val="0"/>
          <w:sz w:val="32"/>
          <w:szCs w:val="32"/>
          <w:lang w:eastAsia="zh-CN"/>
        </w:rPr>
        <w:t>，</w:t>
      </w:r>
      <w:r>
        <w:rPr>
          <w:rFonts w:hint="eastAsia" w:ascii="仿宋_GB2312" w:hAnsi="黑体" w:eastAsia="仿宋_GB2312" w:cs="仿宋_GB2312"/>
          <w:b w:val="0"/>
          <w:bCs w:val="0"/>
          <w:sz w:val="32"/>
          <w:szCs w:val="32"/>
        </w:rPr>
        <w:t>努力形成“政府主导、市场运作、社会参与”的多元化投入机制</w:t>
      </w:r>
      <w:r>
        <w:rPr>
          <w:rFonts w:hint="eastAsia" w:ascii="仿宋_GB2312" w:hAnsi="黑体" w:eastAsia="仿宋_GB2312" w:cs="仿宋_GB2312"/>
          <w:b w:val="0"/>
          <w:bCs w:val="0"/>
          <w:sz w:val="32"/>
          <w:szCs w:val="32"/>
          <w:lang w:eastAsia="zh-CN"/>
        </w:rPr>
        <w:t>。经评估，可能造成大额财政资金流失及带来重大政府性债务的风险较小。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.舆情风险</w:t>
      </w:r>
      <w:r>
        <w:rPr>
          <w:rFonts w:hint="eastAsia" w:ascii="仿宋_GB2312" w:hAnsi="仿宋_GB2312" w:eastAsia="仿宋_GB2312" w:cs="仿宋_GB2312"/>
          <w:b/>
          <w:bCs/>
          <w:color w:val="auto"/>
          <w:sz w:val="32"/>
          <w:szCs w:val="32"/>
          <w:lang w:eastAsia="zh-CN"/>
        </w:rPr>
        <w:t>及</w:t>
      </w:r>
      <w:r>
        <w:rPr>
          <w:rFonts w:hint="eastAsia" w:ascii="仿宋_GB2312" w:hAnsi="仿宋_GB2312" w:eastAsia="仿宋_GB2312" w:cs="仿宋_GB2312"/>
          <w:b/>
          <w:bCs/>
          <w:color w:val="auto"/>
          <w:sz w:val="32"/>
          <w:szCs w:val="32"/>
        </w:rPr>
        <w:t>预防措施</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eastAsia="zh-CN"/>
        </w:rPr>
        <w:t>水体存在较强的流动性，随着社会的发展，人民群众对美好生活的质量要求普遍提高，规划的实施也致力于让</w:t>
      </w:r>
      <w:r>
        <w:rPr>
          <w:rFonts w:hint="eastAsia" w:ascii="仿宋_GB2312" w:hAnsi="仿宋_GB2312" w:eastAsia="仿宋_GB2312" w:cs="仿宋_GB2312"/>
          <w:b w:val="0"/>
          <w:bCs w:val="0"/>
          <w:sz w:val="32"/>
          <w:szCs w:val="32"/>
          <w:lang w:val="en-US" w:eastAsia="zh-CN"/>
        </w:rPr>
        <w:t>一条条昔日的“黑水河”成为百姓心中的景观河、幸福河。为进一步提升全区水环境质量的持续改善，提升人民群众生活的幸福感，实现</w:t>
      </w:r>
      <w:r>
        <w:rPr>
          <w:rFonts w:hint="eastAsia" w:ascii="仿宋_GB2312" w:hAnsi="黑体" w:eastAsia="仿宋_GB2312" w:cs="仿宋_GB2312"/>
          <w:sz w:val="32"/>
          <w:szCs w:val="32"/>
        </w:rPr>
        <w:t>“水清岸绿、鱼翔浅底”“有河有水、有鱼有草、人水和谐”</w:t>
      </w:r>
      <w:r>
        <w:rPr>
          <w:rFonts w:hint="eastAsia" w:ascii="仿宋_GB2312" w:hAnsi="黑体" w:eastAsia="仿宋_GB2312" w:cs="仿宋_GB2312"/>
          <w:sz w:val="32"/>
          <w:szCs w:val="32"/>
          <w:lang w:eastAsia="zh-CN"/>
        </w:rPr>
        <w:t>展望目标，主要从以下几个方面采取预防措施：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lang w:val="en-US" w:eastAsia="zh-CN"/>
        </w:rPr>
        <w:t>（1）加强城镇生活污水治理。进一步建设污水处理设施及</w:t>
      </w:r>
      <w:r>
        <w:rPr>
          <w:rFonts w:hint="eastAsia" w:ascii="仿宋_GB2312" w:hAnsi="仿宋_GB2312" w:eastAsia="仿宋_GB2312" w:cs="仿宋_GB2312"/>
          <w:b w:val="0"/>
          <w:bCs w:val="0"/>
          <w:color w:val="auto"/>
          <w:sz w:val="32"/>
          <w:szCs w:val="32"/>
          <w:highlight w:val="none"/>
        </w:rPr>
        <w:t>污水处理配套管网</w:t>
      </w:r>
      <w:r>
        <w:rPr>
          <w:rFonts w:hint="eastAsia" w:ascii="仿宋_GB2312" w:hAnsi="仿宋_GB2312" w:eastAsia="仿宋_GB2312" w:cs="仿宋_GB2312"/>
          <w:b w:val="0"/>
          <w:bCs w:val="0"/>
          <w:color w:val="auto"/>
          <w:sz w:val="32"/>
          <w:szCs w:val="32"/>
          <w:highlight w:val="none"/>
          <w:lang w:eastAsia="zh-CN"/>
        </w:rPr>
        <w:t>的</w:t>
      </w:r>
      <w:r>
        <w:rPr>
          <w:rFonts w:hint="eastAsia" w:ascii="仿宋_GB2312" w:hAnsi="仿宋_GB2312" w:eastAsia="仿宋_GB2312" w:cs="仿宋_GB2312"/>
          <w:b w:val="0"/>
          <w:bCs w:val="0"/>
          <w:color w:val="auto"/>
          <w:sz w:val="32"/>
          <w:szCs w:val="32"/>
          <w:highlight w:val="none"/>
        </w:rPr>
        <w:t>建设</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加强污水收集处理设施运营管理，确保设施有效运行</w:t>
      </w:r>
      <w:r>
        <w:rPr>
          <w:rFonts w:hint="eastAsia" w:ascii="仿宋_GB2312" w:hAnsi="仿宋_GB2312" w:eastAsia="仿宋_GB2312" w:cs="仿宋_GB2312"/>
          <w:b w:val="0"/>
          <w:bCs w:val="0"/>
          <w:color w:val="auto"/>
          <w:sz w:val="32"/>
          <w:szCs w:val="32"/>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（2）加强</w:t>
      </w:r>
      <w:r>
        <w:rPr>
          <w:rFonts w:hint="eastAsia" w:ascii="仿宋_GB2312" w:hAnsi="仿宋_GB2312" w:eastAsia="仿宋_GB2312" w:cs="仿宋_GB2312"/>
          <w:b w:val="0"/>
          <w:bCs w:val="0"/>
          <w:color w:val="auto"/>
          <w:sz w:val="32"/>
          <w:szCs w:val="32"/>
          <w:highlight w:val="none"/>
        </w:rPr>
        <w:t>农村生活污水治理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完善农村生活污水收集处理设施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加快农村生活污水整治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强化污水处理站运营维护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积极开展农村黑臭水体治理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到2023年，完成全区农村黑臭水体整治。</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完善工业企业污染管理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推进工业废水全面达标排放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探索加强入海河流总氮管控。</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（4）加强入河排污口排查整治。</w:t>
      </w:r>
      <w:r>
        <w:rPr>
          <w:rFonts w:hint="eastAsia" w:ascii="仿宋_GB2312" w:hAnsi="仿宋_GB2312" w:eastAsia="仿宋_GB2312" w:cs="仿宋_GB2312"/>
          <w:color w:val="auto"/>
          <w:sz w:val="32"/>
          <w:szCs w:val="32"/>
          <w:highlight w:val="none"/>
        </w:rPr>
        <w:t>大力推进入河排污口整治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加强合规入河排污口的审批设置与规范化管理。</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黑体" w:eastAsia="仿宋_GB2312" w:cs="仿宋_GB2312"/>
          <w:color w:val="auto"/>
          <w:sz w:val="32"/>
          <w:szCs w:val="30"/>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实施河流水系连通工程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保障河湖生态流量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构建再生水循环利用体系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促进再生水循环利用</w:t>
      </w:r>
      <w:r>
        <w:rPr>
          <w:rFonts w:hint="eastAsia" w:ascii="仿宋_GB2312" w:hAnsi="仿宋_GB2312" w:eastAsia="仿宋_GB2312" w:cs="仿宋_GB2312"/>
          <w:b w:val="0"/>
          <w:bCs w:val="0"/>
          <w:color w:val="auto"/>
          <w:sz w:val="32"/>
          <w:szCs w:val="32"/>
          <w:lang w:eastAsia="zh-CN"/>
        </w:rPr>
        <w:t>；</w:t>
      </w:r>
      <w:r>
        <w:rPr>
          <w:rFonts w:hint="eastAsia" w:ascii="仿宋_GB2312" w:hAnsi="黑体" w:eastAsia="仿宋_GB2312" w:cs="仿宋_GB2312"/>
          <w:color w:val="auto"/>
          <w:sz w:val="32"/>
          <w:szCs w:val="30"/>
        </w:rPr>
        <w:t>加强重点领域用水管理，强化水资源刚性约束。</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黑体" w:eastAsia="仿宋_GB2312" w:cs="仿宋_GB2312"/>
          <w:color w:val="auto"/>
          <w:sz w:val="32"/>
          <w:szCs w:val="30"/>
          <w:lang w:val="en-US" w:eastAsia="zh-CN"/>
        </w:rPr>
      </w:pPr>
      <w:r>
        <w:rPr>
          <w:rFonts w:hint="eastAsia" w:ascii="仿宋_GB2312" w:hAnsi="黑体" w:eastAsia="仿宋_GB2312" w:cs="仿宋_GB2312"/>
          <w:color w:val="auto"/>
          <w:sz w:val="32"/>
          <w:szCs w:val="30"/>
          <w:lang w:val="en-US" w:eastAsia="zh-CN"/>
        </w:rPr>
        <w:t>经评估，不会产生大范围的严重负面舆情。</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二、评估结论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过对市生态环境局历城分局制定的《济南市历城区“十四五”水环境保护规划》合法性、合理性等方面的评估，《规划》的用语规范、逻辑严密、内容设计较为合理，符合有关法律法规和相关政策的要求，不存在明显相互冲突的情况，其制定的目的和内容具有合理性和可操作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统筹考虑、综合分析评估报告情况</w:t>
      </w:r>
      <w:r>
        <w:rPr>
          <w:rFonts w:hint="eastAsia" w:ascii="仿宋_GB2312" w:hAnsi="仿宋_GB2312" w:eastAsia="仿宋_GB2312" w:cs="仿宋_GB2312"/>
          <w:color w:val="auto"/>
          <w:sz w:val="32"/>
          <w:szCs w:val="32"/>
          <w:lang w:eastAsia="zh-CN"/>
        </w:rPr>
        <w:t>，此项</w:t>
      </w:r>
      <w:r>
        <w:rPr>
          <w:rFonts w:hint="eastAsia" w:ascii="仿宋_GB2312" w:hAnsi="仿宋_GB2312" w:eastAsia="仿宋_GB2312" w:cs="仿宋_GB2312"/>
          <w:color w:val="auto"/>
          <w:sz w:val="32"/>
          <w:szCs w:val="32"/>
          <w:lang w:val="en-US" w:eastAsia="zh-CN"/>
        </w:rPr>
        <w:t>《规划》印发为</w:t>
      </w:r>
      <w:r>
        <w:rPr>
          <w:rFonts w:hint="eastAsia" w:ascii="仿宋_GB2312" w:hAnsi="仿宋_GB2312" w:eastAsia="仿宋_GB2312" w:cs="仿宋_GB2312"/>
          <w:color w:val="auto"/>
          <w:sz w:val="32"/>
          <w:szCs w:val="32"/>
        </w:rPr>
        <w:t>低风险</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3840" w:firstLineChars="1200"/>
        <w:jc w:val="right"/>
        <w:textAlignment w:val="auto"/>
        <w:rPr>
          <w:rFonts w:hint="eastAsia" w:ascii="仿宋_GB2312" w:hAnsi="仿宋_GB2312" w:eastAsia="仿宋_GB2312" w:cs="仿宋_GB2312"/>
          <w:color w:val="auto"/>
          <w:sz w:val="32"/>
          <w:szCs w:val="3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3840" w:firstLineChars="120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济南市生态环境局历城分局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2023年3月16日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方正小标宋简体" w:eastAsia="方正小标宋简体"/>
          <w:color w:val="auto"/>
          <w:sz w:val="44"/>
          <w:szCs w:val="44"/>
          <w:lang w:eastAsia="zh-CN"/>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OTU2MDMxMzc1NWNkODliZmViOWRiNDYzMTQ2ZmIifQ=="/>
  </w:docVars>
  <w:rsids>
    <w:rsidRoot w:val="00000000"/>
    <w:rsid w:val="015019CD"/>
    <w:rsid w:val="02921106"/>
    <w:rsid w:val="02967EA9"/>
    <w:rsid w:val="032F2AA5"/>
    <w:rsid w:val="039E5CD6"/>
    <w:rsid w:val="041A7D75"/>
    <w:rsid w:val="04AF7034"/>
    <w:rsid w:val="05AA7FA0"/>
    <w:rsid w:val="05BB187F"/>
    <w:rsid w:val="077E30FC"/>
    <w:rsid w:val="07D433FC"/>
    <w:rsid w:val="084936F6"/>
    <w:rsid w:val="08686C12"/>
    <w:rsid w:val="086D0A26"/>
    <w:rsid w:val="08BB05C9"/>
    <w:rsid w:val="0AF5129C"/>
    <w:rsid w:val="0B923DDB"/>
    <w:rsid w:val="0CF45AC0"/>
    <w:rsid w:val="0DED058C"/>
    <w:rsid w:val="0E7848F2"/>
    <w:rsid w:val="0FE84E05"/>
    <w:rsid w:val="10142978"/>
    <w:rsid w:val="12DE3101"/>
    <w:rsid w:val="13516F9E"/>
    <w:rsid w:val="13F81710"/>
    <w:rsid w:val="140867A7"/>
    <w:rsid w:val="15136852"/>
    <w:rsid w:val="15C55E30"/>
    <w:rsid w:val="16212087"/>
    <w:rsid w:val="17D130C3"/>
    <w:rsid w:val="17FA7C45"/>
    <w:rsid w:val="195C4B86"/>
    <w:rsid w:val="1A440124"/>
    <w:rsid w:val="1AB06FD1"/>
    <w:rsid w:val="1CC00A8C"/>
    <w:rsid w:val="1F7C126E"/>
    <w:rsid w:val="1F83728A"/>
    <w:rsid w:val="20077350"/>
    <w:rsid w:val="2072425F"/>
    <w:rsid w:val="21661712"/>
    <w:rsid w:val="216950FC"/>
    <w:rsid w:val="23497184"/>
    <w:rsid w:val="23F9189E"/>
    <w:rsid w:val="2603506E"/>
    <w:rsid w:val="266467E1"/>
    <w:rsid w:val="276E2ACE"/>
    <w:rsid w:val="28AE752E"/>
    <w:rsid w:val="29875C53"/>
    <w:rsid w:val="2B271119"/>
    <w:rsid w:val="2DBF6F68"/>
    <w:rsid w:val="2DEB589F"/>
    <w:rsid w:val="2EC7365F"/>
    <w:rsid w:val="30874C33"/>
    <w:rsid w:val="32E171DA"/>
    <w:rsid w:val="33FA758F"/>
    <w:rsid w:val="353963B9"/>
    <w:rsid w:val="37D404AE"/>
    <w:rsid w:val="397654C3"/>
    <w:rsid w:val="39E14937"/>
    <w:rsid w:val="3A697F19"/>
    <w:rsid w:val="3B5A7DC3"/>
    <w:rsid w:val="3D375DF1"/>
    <w:rsid w:val="3DDA377E"/>
    <w:rsid w:val="3E7A7215"/>
    <w:rsid w:val="3EAE2855"/>
    <w:rsid w:val="407B5E2E"/>
    <w:rsid w:val="40EF4420"/>
    <w:rsid w:val="43E35D1B"/>
    <w:rsid w:val="460A1A37"/>
    <w:rsid w:val="46344A28"/>
    <w:rsid w:val="486840E3"/>
    <w:rsid w:val="48995AB1"/>
    <w:rsid w:val="4AF53393"/>
    <w:rsid w:val="4B262403"/>
    <w:rsid w:val="4B6E71B0"/>
    <w:rsid w:val="4CDA5881"/>
    <w:rsid w:val="4E121BD9"/>
    <w:rsid w:val="4E4B46CC"/>
    <w:rsid w:val="4F9774DC"/>
    <w:rsid w:val="51992935"/>
    <w:rsid w:val="51F15F26"/>
    <w:rsid w:val="53680430"/>
    <w:rsid w:val="559F40DF"/>
    <w:rsid w:val="566D1E43"/>
    <w:rsid w:val="56767494"/>
    <w:rsid w:val="56C23B69"/>
    <w:rsid w:val="582462F5"/>
    <w:rsid w:val="58E018E3"/>
    <w:rsid w:val="5970097E"/>
    <w:rsid w:val="59FA7177"/>
    <w:rsid w:val="5A893841"/>
    <w:rsid w:val="5AA67615"/>
    <w:rsid w:val="5B3F5BF8"/>
    <w:rsid w:val="5BCA0084"/>
    <w:rsid w:val="5CE117CD"/>
    <w:rsid w:val="5D382F79"/>
    <w:rsid w:val="5E8B75EE"/>
    <w:rsid w:val="5F764F56"/>
    <w:rsid w:val="622E4EAD"/>
    <w:rsid w:val="63240882"/>
    <w:rsid w:val="637A2B57"/>
    <w:rsid w:val="63C26E1B"/>
    <w:rsid w:val="65112F8B"/>
    <w:rsid w:val="66651715"/>
    <w:rsid w:val="67D91E50"/>
    <w:rsid w:val="67D93501"/>
    <w:rsid w:val="682B4624"/>
    <w:rsid w:val="687450B0"/>
    <w:rsid w:val="69B056DD"/>
    <w:rsid w:val="6A2769CD"/>
    <w:rsid w:val="6C74423F"/>
    <w:rsid w:val="6D9540D1"/>
    <w:rsid w:val="6FA46DEF"/>
    <w:rsid w:val="70961071"/>
    <w:rsid w:val="71E60137"/>
    <w:rsid w:val="72F254A4"/>
    <w:rsid w:val="72F27BD9"/>
    <w:rsid w:val="730F715F"/>
    <w:rsid w:val="73860AB0"/>
    <w:rsid w:val="74CB1CC2"/>
    <w:rsid w:val="75A73FD8"/>
    <w:rsid w:val="78537844"/>
    <w:rsid w:val="795F5AEB"/>
    <w:rsid w:val="79C92609"/>
    <w:rsid w:val="7A6276EF"/>
    <w:rsid w:val="7B686C73"/>
    <w:rsid w:val="7BCD402F"/>
    <w:rsid w:val="7C1837C7"/>
    <w:rsid w:val="7E294793"/>
    <w:rsid w:val="7F9860F8"/>
    <w:rsid w:val="7FA539C0"/>
    <w:rsid w:val="7FD77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outlineLvl w:val="2"/>
    </w:pPr>
    <w:rPr>
      <w:rFonts w:eastAsia="仿宋_GB2312"/>
      <w:bCs/>
      <w:sz w:val="32"/>
      <w:szCs w:val="32"/>
    </w:rPr>
  </w:style>
  <w:style w:type="paragraph" w:styleId="3">
    <w:name w:val="heading 4"/>
    <w:basedOn w:val="1"/>
    <w:next w:val="1"/>
    <w:unhideWhenUsed/>
    <w:qFormat/>
    <w:uiPriority w:val="9"/>
    <w:pPr>
      <w:keepNext/>
      <w:keepLines/>
      <w:outlineLvl w:val="3"/>
    </w:pPr>
    <w:rPr>
      <w:rFonts w:ascii="等线 Light" w:hAnsi="等线 Light" w:eastAsia="仿宋_GB2312" w:cs="Times New Roman"/>
      <w:bCs/>
      <w:sz w:val="32"/>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link w:val="11"/>
    <w:qFormat/>
    <w:uiPriority w:val="0"/>
    <w:rPr>
      <w:sz w:val="24"/>
    </w:rPr>
  </w:style>
  <w:style w:type="character" w:styleId="9">
    <w:name w:val="Hyperlink"/>
    <w:basedOn w:val="8"/>
    <w:qFormat/>
    <w:uiPriority w:val="0"/>
    <w:rPr>
      <w:color w:val="0000FF"/>
      <w:u w:val="single"/>
    </w:rPr>
  </w:style>
  <w:style w:type="paragraph" w:customStyle="1" w:styleId="10">
    <w:name w:val="表标题"/>
    <w:basedOn w:val="1"/>
    <w:qFormat/>
    <w:uiPriority w:val="0"/>
    <w:pPr>
      <w:ind w:firstLine="0" w:firstLineChars="0"/>
      <w:jc w:val="center"/>
    </w:pPr>
    <w:rPr>
      <w:rFonts w:eastAsia="黑体" w:cs="Times New Roman"/>
      <w:sz w:val="24"/>
    </w:rPr>
  </w:style>
  <w:style w:type="character" w:customStyle="1" w:styleId="11">
    <w:name w:val="普通(网站) Char"/>
    <w:link w:val="6"/>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2537</Words>
  <Characters>2697</Characters>
  <Lines>0</Lines>
  <Paragraphs>0</Paragraphs>
  <TotalTime>2</TotalTime>
  <ScaleCrop>false</ScaleCrop>
  <LinksUpToDate>false</LinksUpToDate>
  <CharactersWithSpaces>2736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2023-04-14T06:53:00Z</dcterms:created>
  <dc:creator>Administrator</dc:creator>
  <cp:lastModifiedBy>滕静静</cp:lastModifiedBy>
  <dcterms:modified xsi:type="dcterms:W3CDTF">2023-06-20T08:05:22Z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AB3DF3E14D02437887D2324F0AE0EA2A_12</vt:lpwstr>
  </property>
</Properties>
</file>