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900" w:lineRule="exact"/>
        <w:ind w:firstLine="0" w:firstLineChars="0"/>
        <w:jc w:val="center"/>
        <w:rPr>
          <w:rFonts w:ascii="宋体" w:hAnsi="宋体" w:eastAsia="方正小标宋简体"/>
          <w:kern w:val="0"/>
          <w:sz w:val="62"/>
          <w:szCs w:val="62"/>
        </w:rPr>
      </w:pPr>
    </w:p>
    <w:p>
      <w:pPr>
        <w:overflowPunct w:val="0"/>
        <w:spacing w:line="900" w:lineRule="exact"/>
        <w:ind w:firstLine="0" w:firstLineChars="0"/>
        <w:jc w:val="center"/>
        <w:rPr>
          <w:rFonts w:ascii="宋体" w:hAnsi="宋体" w:eastAsia="方正小标宋简体"/>
          <w:kern w:val="0"/>
          <w:sz w:val="62"/>
          <w:szCs w:val="62"/>
        </w:rPr>
      </w:pPr>
    </w:p>
    <w:p>
      <w:pPr>
        <w:overflowPunct w:val="0"/>
        <w:spacing w:line="900" w:lineRule="exact"/>
        <w:ind w:firstLine="0" w:firstLineChars="0"/>
        <w:jc w:val="center"/>
        <w:rPr>
          <w:rFonts w:hint="eastAsia" w:ascii="文星标宋" w:hAnsi="文星标宋" w:eastAsia="文星标宋" w:cs="文星标宋"/>
          <w:spacing w:val="-6"/>
          <w:kern w:val="0"/>
          <w:sz w:val="56"/>
          <w:szCs w:val="52"/>
        </w:rPr>
      </w:pPr>
      <w:r>
        <w:rPr>
          <w:rFonts w:hint="eastAsia" w:ascii="文星标宋" w:hAnsi="文星标宋" w:eastAsia="文星标宋" w:cs="文星标宋"/>
          <w:spacing w:val="-6"/>
          <w:kern w:val="0"/>
          <w:sz w:val="56"/>
          <w:szCs w:val="52"/>
        </w:rPr>
        <w:t>济南市历城区国民经济和社会发展</w:t>
      </w:r>
    </w:p>
    <w:p>
      <w:pPr>
        <w:overflowPunct w:val="0"/>
        <w:spacing w:line="900" w:lineRule="exact"/>
        <w:ind w:firstLine="0" w:firstLineChars="0"/>
        <w:jc w:val="center"/>
        <w:rPr>
          <w:rFonts w:hint="eastAsia" w:ascii="文星标宋" w:hAnsi="文星标宋" w:eastAsia="文星标宋" w:cs="文星标宋"/>
          <w:spacing w:val="-6"/>
          <w:kern w:val="0"/>
          <w:sz w:val="56"/>
          <w:szCs w:val="52"/>
        </w:rPr>
      </w:pPr>
      <w:r>
        <w:rPr>
          <w:rFonts w:hint="eastAsia" w:ascii="文星标宋" w:hAnsi="文星标宋" w:eastAsia="文星标宋" w:cs="文星标宋"/>
          <w:spacing w:val="-6"/>
          <w:kern w:val="0"/>
          <w:sz w:val="56"/>
          <w:szCs w:val="52"/>
        </w:rPr>
        <w:t>第十四个五年规划和二〇三五年</w:t>
      </w:r>
    </w:p>
    <w:p>
      <w:pPr>
        <w:overflowPunct w:val="0"/>
        <w:spacing w:line="900" w:lineRule="exact"/>
        <w:ind w:firstLine="0" w:firstLineChars="0"/>
        <w:jc w:val="center"/>
        <w:rPr>
          <w:rFonts w:hint="eastAsia" w:ascii="文星标宋" w:hAnsi="文星标宋" w:eastAsia="文星标宋" w:cs="文星标宋"/>
          <w:spacing w:val="-6"/>
          <w:kern w:val="0"/>
          <w:sz w:val="56"/>
          <w:szCs w:val="52"/>
        </w:rPr>
      </w:pPr>
      <w:r>
        <w:rPr>
          <w:rFonts w:hint="eastAsia" w:ascii="文星标宋" w:hAnsi="文星标宋" w:eastAsia="文星标宋" w:cs="文星标宋"/>
          <w:spacing w:val="-6"/>
          <w:kern w:val="0"/>
          <w:sz w:val="56"/>
          <w:szCs w:val="52"/>
        </w:rPr>
        <w:t>远景目标纲要</w:t>
      </w:r>
    </w:p>
    <w:p>
      <w:pPr>
        <w:ind w:firstLine="0" w:firstLineChars="0"/>
        <w:jc w:val="both"/>
        <w:rPr>
          <w:rFonts w:cs="宋体"/>
        </w:rPr>
      </w:pPr>
    </w:p>
    <w:p>
      <w:pPr>
        <w:ind w:firstLine="0" w:firstLineChars="0"/>
        <w:jc w:val="both"/>
        <w:rPr>
          <w:rFonts w:cs="宋体"/>
          <w:b/>
          <w:bCs/>
        </w:rPr>
      </w:pPr>
    </w:p>
    <w:p>
      <w:pPr>
        <w:pStyle w:val="2"/>
        <w:ind w:firstLine="0" w:firstLineChars="0"/>
        <w:rPr>
          <w:rFonts w:cs="宋体"/>
          <w:b/>
          <w:bCs/>
        </w:rPr>
      </w:pPr>
    </w:p>
    <w:p>
      <w:pPr>
        <w:ind w:firstLine="0" w:firstLineChars="0"/>
        <w:rPr>
          <w:rFonts w:asciiTheme="minorHAnsi" w:hAnsiTheme="minorHAnsi" w:cstheme="minorBidi"/>
        </w:rPr>
      </w:pPr>
    </w:p>
    <w:p>
      <w:pPr>
        <w:ind w:firstLine="0" w:firstLineChars="0"/>
        <w:jc w:val="both"/>
        <w:rPr>
          <w:rFonts w:cs="宋体"/>
          <w:b/>
          <w:bCs/>
        </w:rPr>
      </w:pPr>
    </w:p>
    <w:p>
      <w:pPr>
        <w:pStyle w:val="2"/>
        <w:ind w:firstLine="643"/>
        <w:rPr>
          <w:rFonts w:cs="宋体"/>
          <w:b/>
          <w:bCs/>
        </w:rPr>
      </w:pPr>
    </w:p>
    <w:p/>
    <w:p>
      <w:pPr>
        <w:pStyle w:val="2"/>
        <w:ind w:firstLine="0" w:firstLineChars="0"/>
        <w:rPr>
          <w:rFonts w:cs="宋体"/>
          <w:b/>
          <w:bCs/>
        </w:rPr>
      </w:pPr>
    </w:p>
    <w:p>
      <w:pPr>
        <w:ind w:firstLine="0" w:firstLineChars="0"/>
      </w:pPr>
    </w:p>
    <w:p>
      <w:pPr>
        <w:ind w:firstLine="0" w:firstLineChars="0"/>
        <w:jc w:val="both"/>
        <w:rPr>
          <w:rFonts w:cs="宋体"/>
          <w:b/>
          <w:bCs/>
        </w:rPr>
      </w:pPr>
    </w:p>
    <w:p>
      <w:pPr>
        <w:overflowPunct w:val="0"/>
        <w:ind w:firstLine="0" w:firstLineChars="0"/>
        <w:jc w:val="center"/>
        <w:rPr>
          <w:rFonts w:ascii="Times New Roman" w:hAnsi="Times New Roman" w:eastAsia="楷体_GB2312"/>
          <w:bCs/>
          <w:sz w:val="44"/>
          <w:szCs w:val="44"/>
        </w:rPr>
      </w:pPr>
    </w:p>
    <w:p>
      <w:pPr>
        <w:overflowPunct w:val="0"/>
        <w:ind w:firstLine="0" w:firstLineChars="0"/>
        <w:jc w:val="center"/>
        <w:rPr>
          <w:rFonts w:ascii="Times New Roman" w:hAnsi="Times New Roman" w:eastAsia="楷体_GB2312"/>
          <w:bCs/>
          <w:sz w:val="44"/>
          <w:szCs w:val="44"/>
        </w:rPr>
      </w:pPr>
    </w:p>
    <w:p>
      <w:pPr>
        <w:overflowPunct w:val="0"/>
        <w:ind w:firstLine="0" w:firstLineChars="0"/>
        <w:jc w:val="center"/>
        <w:rPr>
          <w:rFonts w:ascii="楷体_GB2312" w:eastAsia="楷体_GB2312" w:hAnsiTheme="majorEastAsia"/>
          <w:bCs/>
          <w:color w:val="FFFFFF" w:themeColor="background1"/>
          <w:sz w:val="44"/>
          <w:szCs w:val="44"/>
          <w14:textFill>
            <w14:solidFill>
              <w14:schemeClr w14:val="bg1"/>
            </w14:solidFill>
          </w14:textFill>
        </w:rPr>
      </w:pPr>
      <w:r>
        <w:rPr>
          <w:rFonts w:hint="eastAsia" w:ascii="楷体_GB2312" w:eastAsia="楷体_GB2312" w:hAnsiTheme="majorEastAsia"/>
          <w:bCs/>
          <w:color w:val="FFFFFF" w:themeColor="background1"/>
          <w:sz w:val="44"/>
          <w:szCs w:val="44"/>
          <w14:textFill>
            <w14:solidFill>
              <w14:schemeClr w14:val="bg1"/>
            </w14:solidFill>
          </w14:textFill>
        </w:rPr>
        <w:t>2021年1月</w:t>
      </w:r>
    </w:p>
    <w:p>
      <w:pPr>
        <w:pStyle w:val="7"/>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AndChars" w:linePitch="312" w:charSpace="0"/>
        </w:sectPr>
      </w:pPr>
    </w:p>
    <w:sdt>
      <w:sdtPr>
        <w:rPr>
          <w:rFonts w:hint="eastAsia" w:ascii="黑体" w:hAnsi="黑体" w:eastAsia="黑体" w:cs="黑体"/>
          <w:sz w:val="36"/>
          <w:szCs w:val="36"/>
        </w:rPr>
        <w:id w:val="147469640"/>
        <w:docPartObj>
          <w:docPartGallery w:val="Table of Contents"/>
          <w:docPartUnique/>
        </w:docPartObj>
      </w:sdtPr>
      <w:sdtEndPr>
        <w:rPr>
          <w:rFonts w:hint="eastAsia" w:ascii="仿宋_GB2312" w:hAnsi="仿宋" w:eastAsia="仿宋_GB2312" w:cs="仿宋"/>
          <w:b/>
          <w:sz w:val="32"/>
          <w:szCs w:val="32"/>
        </w:rPr>
      </w:sdtEndPr>
      <w:sdtContent>
        <w:p>
          <w:pPr>
            <w:spacing w:line="360" w:lineRule="auto"/>
            <w:ind w:firstLine="0" w:firstLineChars="0"/>
            <w:jc w:val="center"/>
            <w:rPr>
              <w:rFonts w:ascii="黑体" w:hAnsi="黑体" w:eastAsia="黑体" w:cs="黑体"/>
              <w:sz w:val="36"/>
              <w:szCs w:val="36"/>
            </w:rPr>
          </w:pPr>
          <w:r>
            <w:rPr>
              <w:rFonts w:hint="eastAsia" w:ascii="黑体" w:hAnsi="黑体" w:eastAsia="黑体" w:cs="黑体"/>
              <w:sz w:val="36"/>
              <w:szCs w:val="36"/>
            </w:rPr>
            <w:t>目  录</w:t>
          </w:r>
        </w:p>
        <w:p>
          <w:pPr>
            <w:pStyle w:val="2"/>
            <w:tabs>
              <w:tab w:val="right" w:leader="dot" w:pos="8306"/>
            </w:tabs>
            <w:ind w:firstLine="0" w:firstLineChars="0"/>
            <w:rPr>
              <w:rFonts w:ascii="黑体" w:hAnsi="黑体" w:eastAsia="黑体" w:cs="黑体"/>
            </w:rPr>
          </w:pPr>
          <w:r>
            <w:rPr>
              <w:rFonts w:hint="eastAsia" w:ascii="仿宋_GB2312" w:hAnsi="仿宋" w:cs="仿宋"/>
              <w:szCs w:val="32"/>
            </w:rPr>
            <w:fldChar w:fldCharType="begin"/>
          </w:r>
          <w:r>
            <w:rPr>
              <w:rFonts w:hint="eastAsia" w:ascii="仿宋_GB2312" w:hAnsi="仿宋" w:cs="仿宋"/>
              <w:szCs w:val="32"/>
            </w:rPr>
            <w:instrText xml:space="preserve">TOC \o "1-2" \h \u </w:instrText>
          </w:r>
          <w:r>
            <w:rPr>
              <w:rFonts w:hint="eastAsia" w:ascii="仿宋_GB2312" w:hAnsi="仿宋" w:cs="仿宋"/>
              <w:szCs w:val="32"/>
            </w:rPr>
            <w:fldChar w:fldCharType="separate"/>
          </w:r>
          <w:r>
            <w:fldChar w:fldCharType="begin"/>
          </w:r>
          <w:r>
            <w:instrText xml:space="preserve"> HYPERLINK \l "_Toc18565" </w:instrText>
          </w:r>
          <w:r>
            <w:fldChar w:fldCharType="separate"/>
          </w:r>
          <w:r>
            <w:rPr>
              <w:rFonts w:hint="eastAsia" w:ascii="黑体" w:hAnsi="黑体" w:eastAsia="黑体" w:cs="黑体"/>
            </w:rPr>
            <w:t>第一章 开启全面建设社会主义现代化强区新篇章</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_Toc18565 </w:instrText>
          </w:r>
          <w:r>
            <w:rPr>
              <w:rFonts w:hint="eastAsia" w:ascii="黑体" w:hAnsi="黑体" w:eastAsia="黑体" w:cs="黑体"/>
            </w:rPr>
            <w:fldChar w:fldCharType="separate"/>
          </w:r>
          <w:r>
            <w:rPr>
              <w:rFonts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"_Toc9262" </w:instrText>
          </w:r>
          <w:r>
            <w:fldChar w:fldCharType="separate"/>
          </w:r>
          <w:r>
            <w:rPr>
              <w:rFonts w:hint="eastAsia" w:ascii="楷体_GB2312" w:hAnsi="楷体_GB2312" w:eastAsia="楷体_GB2312" w:cs="楷体_GB2312"/>
            </w:rPr>
            <w:t>第一节 发展基础</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_Toc9262 </w:instrText>
          </w:r>
          <w:r>
            <w:rPr>
              <w:rFonts w:hint="eastAsia" w:ascii="楷体_GB2312" w:hAnsi="楷体_GB2312" w:eastAsia="楷体_GB2312" w:cs="楷体_GB2312"/>
            </w:rPr>
            <w:fldChar w:fldCharType="separate"/>
          </w:r>
          <w:r>
            <w:rPr>
              <w:rFonts w:ascii="楷体_GB2312" w:hAnsi="楷体_GB2312" w:eastAsia="楷体_GB2312" w:cs="楷体_GB2312"/>
            </w:rPr>
            <w:t>1</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"_Toc29894" </w:instrText>
          </w:r>
          <w:r>
            <w:fldChar w:fldCharType="separate"/>
          </w:r>
          <w:r>
            <w:rPr>
              <w:rFonts w:hint="eastAsia" w:ascii="楷体_GB2312" w:hAnsi="楷体_GB2312" w:eastAsia="楷体_GB2312" w:cs="楷体_GB2312"/>
            </w:rPr>
            <w:t>第二节 面临环境</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_Toc29894 </w:instrText>
          </w:r>
          <w:r>
            <w:rPr>
              <w:rFonts w:hint="eastAsia" w:ascii="楷体_GB2312" w:hAnsi="楷体_GB2312" w:eastAsia="楷体_GB2312" w:cs="楷体_GB2312"/>
            </w:rPr>
            <w:fldChar w:fldCharType="separate"/>
          </w:r>
          <w:r>
            <w:rPr>
              <w:rFonts w:ascii="楷体_GB2312" w:hAnsi="楷体_GB2312" w:eastAsia="楷体_GB2312" w:cs="楷体_GB2312"/>
            </w:rPr>
            <w:t>6</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rPr>
              <w:rFonts w:ascii="黑体" w:hAnsi="黑体" w:eastAsia="黑体" w:cs="黑体"/>
            </w:rPr>
          </w:pPr>
          <w:r>
            <w:fldChar w:fldCharType="begin"/>
          </w:r>
          <w:r>
            <w:instrText xml:space="preserve"> HYPERLINK \l "_Toc21624" </w:instrText>
          </w:r>
          <w:r>
            <w:fldChar w:fldCharType="separate"/>
          </w:r>
          <w:r>
            <w:rPr>
              <w:rFonts w:hint="eastAsia" w:ascii="黑体" w:hAnsi="黑体" w:eastAsia="黑体" w:cs="黑体"/>
            </w:rPr>
            <w:t>第二章 聚力建设省会东部现代化强区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_Toc21624 </w:instrText>
          </w:r>
          <w:r>
            <w:rPr>
              <w:rFonts w:hint="eastAsia" w:ascii="黑体" w:hAnsi="黑体" w:eastAsia="黑体" w:cs="黑体"/>
            </w:rPr>
            <w:fldChar w:fldCharType="separate"/>
          </w:r>
          <w:r>
            <w:rPr>
              <w:rFonts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"_Toc3165" </w:instrText>
          </w:r>
          <w:r>
            <w:fldChar w:fldCharType="separate"/>
          </w:r>
          <w:r>
            <w:rPr>
              <w:rFonts w:hint="eastAsia" w:ascii="楷体_GB2312" w:hAnsi="楷体_GB2312" w:eastAsia="楷体_GB2312" w:cs="楷体_GB2312"/>
            </w:rPr>
            <w:t>第一节 指导思想</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_Toc3165 </w:instrText>
          </w:r>
          <w:r>
            <w:rPr>
              <w:rFonts w:hint="eastAsia" w:ascii="楷体_GB2312" w:hAnsi="楷体_GB2312" w:eastAsia="楷体_GB2312" w:cs="楷体_GB2312"/>
            </w:rPr>
            <w:fldChar w:fldCharType="separate"/>
          </w:r>
          <w:r>
            <w:rPr>
              <w:rFonts w:ascii="楷体_GB2312" w:hAnsi="楷体_GB2312" w:eastAsia="楷体_GB2312" w:cs="楷体_GB2312"/>
            </w:rPr>
            <w:t>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"_Toc15724" </w:instrText>
          </w:r>
          <w:r>
            <w:fldChar w:fldCharType="separate"/>
          </w:r>
          <w:r>
            <w:rPr>
              <w:rFonts w:hint="eastAsia" w:ascii="楷体_GB2312" w:hAnsi="楷体_GB2312" w:eastAsia="楷体_GB2312" w:cs="楷体_GB2312"/>
            </w:rPr>
            <w:t>第二节 基本原则</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_Toc15724 </w:instrText>
          </w:r>
          <w:r>
            <w:rPr>
              <w:rFonts w:hint="eastAsia" w:ascii="楷体_GB2312" w:hAnsi="楷体_GB2312" w:eastAsia="楷体_GB2312" w:cs="楷体_GB2312"/>
            </w:rPr>
            <w:fldChar w:fldCharType="separate"/>
          </w:r>
          <w:r>
            <w:rPr>
              <w:rFonts w:ascii="楷体_GB2312" w:hAnsi="楷体_GB2312" w:eastAsia="楷体_GB2312" w:cs="楷体_GB2312"/>
            </w:rPr>
            <w:t>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"_Toc18168" </w:instrText>
          </w:r>
          <w:r>
            <w:fldChar w:fldCharType="separate"/>
          </w:r>
          <w:r>
            <w:rPr>
              <w:rFonts w:hint="eastAsia" w:ascii="楷体_GB2312" w:hAnsi="楷体_GB2312" w:eastAsia="楷体_GB2312" w:cs="楷体_GB2312"/>
            </w:rPr>
            <w:t>第三节 发展目标</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_Toc18168 </w:instrText>
          </w:r>
          <w:r>
            <w:rPr>
              <w:rFonts w:hint="eastAsia" w:ascii="楷体_GB2312" w:hAnsi="楷体_GB2312" w:eastAsia="楷体_GB2312" w:cs="楷体_GB2312"/>
            </w:rPr>
            <w:fldChar w:fldCharType="separate"/>
          </w:r>
          <w:r>
            <w:rPr>
              <w:rFonts w:ascii="楷体_GB2312" w:hAnsi="楷体_GB2312" w:eastAsia="楷体_GB2312" w:cs="楷体_GB2312"/>
            </w:rPr>
            <w:t>10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"_Toc8024" </w:instrText>
          </w:r>
          <w:r>
            <w:fldChar w:fldCharType="separate"/>
          </w:r>
          <w:r>
            <w:rPr>
              <w:rFonts w:hint="eastAsia" w:ascii="黑体" w:hAnsi="黑体" w:eastAsia="黑体" w:cs="黑体"/>
            </w:rPr>
            <w:t>第三章 打造黄河流域创新发展示范区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_Toc8024 </w:instrText>
          </w:r>
          <w:r>
            <w:rPr>
              <w:rFonts w:hint="eastAsia" w:ascii="黑体" w:hAnsi="黑体" w:eastAsia="黑体" w:cs="黑体"/>
            </w:rPr>
            <w:fldChar w:fldCharType="separate"/>
          </w:r>
          <w:r>
            <w:rPr>
              <w:rFonts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"_Toc5530" </w:instrText>
          </w:r>
          <w:r>
            <w:fldChar w:fldCharType="separate"/>
          </w:r>
          <w:r>
            <w:rPr>
              <w:rFonts w:hint="eastAsia" w:ascii="楷体_GB2312" w:hAnsi="楷体_GB2312" w:eastAsia="楷体_GB2312" w:cs="楷体_GB2312"/>
            </w:rPr>
            <w:t>第一节 推进沿黄城区人文生态融合</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_Toc5530 </w:instrText>
          </w:r>
          <w:r>
            <w:rPr>
              <w:rFonts w:hint="eastAsia" w:ascii="楷体_GB2312" w:hAnsi="楷体_GB2312" w:eastAsia="楷体_GB2312" w:cs="楷体_GB2312"/>
            </w:rPr>
            <w:fldChar w:fldCharType="separate"/>
          </w:r>
          <w:r>
            <w:rPr>
              <w:rFonts w:ascii="楷体_GB2312" w:hAnsi="楷体_GB2312" w:eastAsia="楷体_GB2312" w:cs="楷体_GB2312"/>
            </w:rPr>
            <w:t>17</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"_Toc22879" </w:instrText>
          </w:r>
          <w:r>
            <w:fldChar w:fldCharType="separate"/>
          </w:r>
          <w:r>
            <w:rPr>
              <w:rFonts w:hint="eastAsia" w:ascii="楷体_GB2312" w:hAnsi="楷体_GB2312" w:eastAsia="楷体_GB2312" w:cs="楷体_GB2312"/>
            </w:rPr>
            <w:t>第二节 激活黄河流域创新发展要素</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_Toc22879 </w:instrText>
          </w:r>
          <w:r>
            <w:rPr>
              <w:rFonts w:hint="eastAsia" w:ascii="楷体_GB2312" w:hAnsi="楷体_GB2312" w:eastAsia="楷体_GB2312" w:cs="楷体_GB2312"/>
            </w:rPr>
            <w:fldChar w:fldCharType="separate"/>
          </w:r>
          <w:r>
            <w:rPr>
              <w:rFonts w:ascii="楷体_GB2312" w:hAnsi="楷体_GB2312" w:eastAsia="楷体_GB2312" w:cs="楷体_GB2312"/>
            </w:rPr>
            <w:t>18</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rPr>
              <w:rFonts w:ascii="黑体" w:hAnsi="黑体" w:eastAsia="黑体" w:cs="黑体"/>
            </w:rPr>
          </w:pPr>
          <w:r>
            <w:fldChar w:fldCharType="begin"/>
          </w:r>
          <w:r>
            <w:instrText xml:space="preserve"> HYPERLINK \l "_Toc27742" </w:instrText>
          </w:r>
          <w:r>
            <w:fldChar w:fldCharType="separate"/>
          </w:r>
          <w:r>
            <w:rPr>
              <w:rFonts w:hint="eastAsia" w:ascii="黑体" w:hAnsi="黑体" w:eastAsia="黑体" w:cs="黑体"/>
            </w:rPr>
            <w:t>第四章 构建区域融合协同发展大格局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_Toc27742 </w:instrText>
          </w:r>
          <w:r>
            <w:rPr>
              <w:rFonts w:hint="eastAsia" w:ascii="黑体" w:hAnsi="黑体" w:eastAsia="黑体" w:cs="黑体"/>
            </w:rPr>
            <w:fldChar w:fldCharType="separate"/>
          </w:r>
          <w:r>
            <w:rPr>
              <w:rFonts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"_Toc25259" </w:instrText>
          </w:r>
          <w:r>
            <w:fldChar w:fldCharType="separate"/>
          </w:r>
          <w:r>
            <w:rPr>
              <w:rFonts w:hint="eastAsia" w:ascii="楷体_GB2312" w:hAnsi="楷体_GB2312" w:eastAsia="楷体_GB2312" w:cs="楷体_GB2312"/>
            </w:rPr>
            <w:t>第一节 优化空间功能布局</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_Toc25259 </w:instrText>
          </w:r>
          <w:r>
            <w:rPr>
              <w:rFonts w:hint="eastAsia" w:ascii="楷体_GB2312" w:hAnsi="楷体_GB2312" w:eastAsia="楷体_GB2312" w:cs="楷体_GB2312"/>
            </w:rPr>
            <w:fldChar w:fldCharType="separate"/>
          </w:r>
          <w:r>
            <w:rPr>
              <w:rFonts w:ascii="楷体_GB2312" w:hAnsi="楷体_GB2312" w:eastAsia="楷体_GB2312" w:cs="楷体_GB2312"/>
            </w:rPr>
            <w:t>20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"_Toc21334" </w:instrText>
          </w:r>
          <w:r>
            <w:fldChar w:fldCharType="separate"/>
          </w:r>
          <w:r>
            <w:rPr>
              <w:rFonts w:hint="eastAsia" w:ascii="楷体_GB2312" w:hAnsi="楷体_GB2312" w:eastAsia="楷体_GB2312" w:cs="楷体_GB2312"/>
            </w:rPr>
            <w:t>第二节 促进全域协同发展</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_Toc21334 </w:instrText>
          </w:r>
          <w:r>
            <w:rPr>
              <w:rFonts w:hint="eastAsia" w:ascii="楷体_GB2312" w:hAnsi="楷体_GB2312" w:eastAsia="楷体_GB2312" w:cs="楷体_GB2312"/>
            </w:rPr>
            <w:fldChar w:fldCharType="separate"/>
          </w:r>
          <w:r>
            <w:rPr>
              <w:rFonts w:ascii="楷体_GB2312" w:hAnsi="楷体_GB2312" w:eastAsia="楷体_GB2312" w:cs="楷体_GB2312"/>
            </w:rPr>
            <w:t>25</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rPr>
              <w:rFonts w:ascii="黑体" w:hAnsi="黑体" w:eastAsia="黑体" w:cs="黑体"/>
            </w:rPr>
          </w:pPr>
          <w:r>
            <w:fldChar w:fldCharType="begin"/>
          </w:r>
          <w:r>
            <w:instrText xml:space="preserve"> HYPERLINK \l "_Toc8781" </w:instrText>
          </w:r>
          <w:r>
            <w:fldChar w:fldCharType="separate"/>
          </w:r>
          <w:r>
            <w:rPr>
              <w:rFonts w:hint="eastAsia" w:ascii="黑体" w:hAnsi="黑体" w:eastAsia="黑体" w:cs="黑体"/>
            </w:rPr>
            <w:t>第五章 全面塑造创新驱动发展新优势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_Toc8781 </w:instrText>
          </w:r>
          <w:r>
            <w:rPr>
              <w:rFonts w:hint="eastAsia" w:ascii="黑体" w:hAnsi="黑体" w:eastAsia="黑体" w:cs="黑体"/>
            </w:rPr>
            <w:fldChar w:fldCharType="separate"/>
          </w:r>
          <w:r>
            <w:rPr>
              <w:rFonts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"_Toc16244" </w:instrText>
          </w:r>
          <w:r>
            <w:fldChar w:fldCharType="separate"/>
          </w:r>
          <w:r>
            <w:rPr>
              <w:rFonts w:hint="eastAsia" w:ascii="楷体_GB2312" w:hAnsi="楷体_GB2312" w:eastAsia="楷体_GB2312" w:cs="楷体_GB2312"/>
            </w:rPr>
            <w:t>第一节 强化全区科技创新力量</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_Toc16244 </w:instrText>
          </w:r>
          <w:r>
            <w:rPr>
              <w:rFonts w:hint="eastAsia" w:ascii="楷体_GB2312" w:hAnsi="楷体_GB2312" w:eastAsia="楷体_GB2312" w:cs="楷体_GB2312"/>
            </w:rPr>
            <w:fldChar w:fldCharType="separate"/>
          </w:r>
          <w:r>
            <w:rPr>
              <w:rFonts w:ascii="楷体_GB2312" w:hAnsi="楷体_GB2312" w:eastAsia="楷体_GB2312" w:cs="楷体_GB2312"/>
            </w:rPr>
            <w:t>28</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"_Toc17161" </w:instrText>
          </w:r>
          <w:r>
            <w:fldChar w:fldCharType="separate"/>
          </w:r>
          <w:r>
            <w:rPr>
              <w:rFonts w:hint="eastAsia" w:ascii="楷体_GB2312" w:hAnsi="楷体_GB2312" w:eastAsia="楷体_GB2312" w:cs="楷体_GB2312"/>
            </w:rPr>
            <w:t>第二节 提升企业技术创新能力</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_Toc17161 </w:instrText>
          </w:r>
          <w:r>
            <w:rPr>
              <w:rFonts w:hint="eastAsia" w:ascii="楷体_GB2312" w:hAnsi="楷体_GB2312" w:eastAsia="楷体_GB2312" w:cs="楷体_GB2312"/>
            </w:rPr>
            <w:fldChar w:fldCharType="separate"/>
          </w:r>
          <w:r>
            <w:rPr>
              <w:rFonts w:ascii="楷体_GB2312" w:hAnsi="楷体_GB2312" w:eastAsia="楷体_GB2312" w:cs="楷体_GB2312"/>
            </w:rPr>
            <w:t>29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"_Toc31643" </w:instrText>
          </w:r>
          <w:r>
            <w:fldChar w:fldCharType="separate"/>
          </w:r>
          <w:r>
            <w:rPr>
              <w:rFonts w:hint="eastAsia" w:ascii="楷体_GB2312" w:hAnsi="楷体_GB2312" w:eastAsia="楷体_GB2312" w:cs="楷体_GB2312"/>
            </w:rPr>
            <w:t>第三节 构建良好科技创新生态</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_Toc31643 </w:instrText>
          </w:r>
          <w:r>
            <w:rPr>
              <w:rFonts w:hint="eastAsia" w:ascii="楷体_GB2312" w:hAnsi="楷体_GB2312" w:eastAsia="楷体_GB2312" w:cs="楷体_GB2312"/>
            </w:rPr>
            <w:fldChar w:fldCharType="separate"/>
          </w:r>
          <w:r>
            <w:rPr>
              <w:rFonts w:ascii="楷体_GB2312" w:hAnsi="楷体_GB2312" w:eastAsia="楷体_GB2312" w:cs="楷体_GB2312"/>
            </w:rPr>
            <w:t>31</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"_Toc19106" </w:instrText>
          </w:r>
          <w:r>
            <w:fldChar w:fldCharType="separate"/>
          </w:r>
          <w:r>
            <w:rPr>
              <w:rFonts w:hint="eastAsia" w:ascii="楷体_GB2312" w:hAnsi="楷体_GB2312" w:eastAsia="楷体_GB2312" w:cs="楷体_GB2312"/>
            </w:rPr>
            <w:t>第四节 大力实施人才强区战略</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_Toc19106 </w:instrText>
          </w:r>
          <w:r>
            <w:rPr>
              <w:rFonts w:hint="eastAsia" w:ascii="楷体_GB2312" w:hAnsi="楷体_GB2312" w:eastAsia="楷体_GB2312" w:cs="楷体_GB2312"/>
            </w:rPr>
            <w:fldChar w:fldCharType="separate"/>
          </w:r>
          <w:r>
            <w:rPr>
              <w:rFonts w:ascii="楷体_GB2312" w:hAnsi="楷体_GB2312" w:eastAsia="楷体_GB2312" w:cs="楷体_GB2312"/>
            </w:rPr>
            <w:t>33</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"_Toc27462" </w:instrText>
          </w:r>
          <w:r>
            <w:fldChar w:fldCharType="separate"/>
          </w:r>
          <w:r>
            <w:rPr>
              <w:rFonts w:hint="eastAsia" w:ascii="黑体" w:hAnsi="黑体" w:eastAsia="黑体" w:cs="黑体"/>
            </w:rPr>
            <w:t>第六章 做强产业构筑智造历城强引擎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_Toc27462 </w:instrText>
          </w:r>
          <w:r>
            <w:rPr>
              <w:rFonts w:hint="eastAsia" w:ascii="黑体" w:hAnsi="黑体" w:eastAsia="黑体" w:cs="黑体"/>
            </w:rPr>
            <w:fldChar w:fldCharType="separate"/>
          </w:r>
          <w:r>
            <w:rPr>
              <w:rFonts w:ascii="黑体" w:hAnsi="黑体" w:eastAsia="黑体" w:cs="黑体"/>
            </w:rPr>
            <w:t>34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"_Toc14432" </w:instrText>
          </w:r>
          <w:r>
            <w:fldChar w:fldCharType="separate"/>
          </w:r>
          <w:r>
            <w:rPr>
              <w:rFonts w:hint="eastAsia" w:ascii="楷体_GB2312" w:hAnsi="楷体_GB2312" w:eastAsia="楷体_GB2312" w:cs="楷体_GB2312"/>
            </w:rPr>
            <w:t>第一节 深入落实工业强市战略</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_Toc14432 </w:instrText>
          </w:r>
          <w:r>
            <w:rPr>
              <w:rFonts w:hint="eastAsia" w:ascii="楷体_GB2312" w:hAnsi="楷体_GB2312" w:eastAsia="楷体_GB2312" w:cs="楷体_GB2312"/>
            </w:rPr>
            <w:fldChar w:fldCharType="separate"/>
          </w:r>
          <w:r>
            <w:rPr>
              <w:rFonts w:ascii="楷体_GB2312" w:hAnsi="楷体_GB2312" w:eastAsia="楷体_GB2312" w:cs="楷体_GB2312"/>
            </w:rPr>
            <w:t>34</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"_Toc31598" </w:instrText>
          </w:r>
          <w:r>
            <w:fldChar w:fldCharType="separate"/>
          </w:r>
          <w:r>
            <w:rPr>
              <w:rFonts w:hint="eastAsia" w:ascii="楷体_GB2312" w:hAnsi="楷体_GB2312" w:eastAsia="楷体_GB2312" w:cs="楷体_GB2312"/>
            </w:rPr>
            <w:t>第二节 提升全产业链竞争实力</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_Toc31598 </w:instrText>
          </w:r>
          <w:r>
            <w:rPr>
              <w:rFonts w:hint="eastAsia" w:ascii="楷体_GB2312" w:hAnsi="楷体_GB2312" w:eastAsia="楷体_GB2312" w:cs="楷体_GB2312"/>
            </w:rPr>
            <w:fldChar w:fldCharType="separate"/>
          </w:r>
          <w:r>
            <w:rPr>
              <w:rFonts w:ascii="楷体_GB2312" w:hAnsi="楷体_GB2312" w:eastAsia="楷体_GB2312" w:cs="楷体_GB2312"/>
            </w:rPr>
            <w:t>37</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"_Toc19684" </w:instrText>
          </w:r>
          <w:r>
            <w:fldChar w:fldCharType="separate"/>
          </w:r>
          <w:r>
            <w:rPr>
              <w:rFonts w:hint="eastAsia" w:ascii="楷体_GB2312" w:hAnsi="楷体_GB2312" w:eastAsia="楷体_GB2312" w:cs="楷体_GB2312"/>
            </w:rPr>
            <w:t>第三节 加速发展数字化新引擎</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_Toc19684 </w:instrText>
          </w:r>
          <w:r>
            <w:rPr>
              <w:rFonts w:hint="eastAsia" w:ascii="楷体_GB2312" w:hAnsi="楷体_GB2312" w:eastAsia="楷体_GB2312" w:cs="楷体_GB2312"/>
            </w:rPr>
            <w:fldChar w:fldCharType="separate"/>
          </w:r>
          <w:r>
            <w:rPr>
              <w:rFonts w:ascii="楷体_GB2312" w:hAnsi="楷体_GB2312" w:eastAsia="楷体_GB2312" w:cs="楷体_GB2312"/>
            </w:rPr>
            <w:t>39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"_Toc31633" </w:instrText>
          </w:r>
          <w:r>
            <w:fldChar w:fldCharType="separate"/>
          </w:r>
          <w:r>
            <w:rPr>
              <w:rFonts w:hint="eastAsia" w:ascii="楷体_GB2312" w:hAnsi="楷体_GB2312" w:eastAsia="楷体_GB2312" w:cs="楷体_GB2312"/>
            </w:rPr>
            <w:t>第四节 推动服务业高质量发展</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_Toc31633 </w:instrText>
          </w:r>
          <w:r>
            <w:rPr>
              <w:rFonts w:hint="eastAsia" w:ascii="楷体_GB2312" w:hAnsi="楷体_GB2312" w:eastAsia="楷体_GB2312" w:cs="楷体_GB2312"/>
            </w:rPr>
            <w:fldChar w:fldCharType="separate"/>
          </w:r>
          <w:r>
            <w:rPr>
              <w:rFonts w:ascii="楷体_GB2312" w:hAnsi="楷体_GB2312" w:eastAsia="楷体_GB2312" w:cs="楷体_GB2312"/>
            </w:rPr>
            <w:t>40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"_Toc28043" </w:instrText>
          </w:r>
          <w:r>
            <w:fldChar w:fldCharType="separate"/>
          </w:r>
          <w:r>
            <w:rPr>
              <w:rFonts w:hint="eastAsia" w:ascii="楷体_GB2312" w:hAnsi="楷体_GB2312" w:eastAsia="楷体_GB2312" w:cs="楷体_GB2312"/>
            </w:rPr>
            <w:t>第五节 统筹推进基础设施建设</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_Toc28043 </w:instrText>
          </w:r>
          <w:r>
            <w:rPr>
              <w:rFonts w:hint="eastAsia" w:ascii="楷体_GB2312" w:hAnsi="楷体_GB2312" w:eastAsia="楷体_GB2312" w:cs="楷体_GB2312"/>
            </w:rPr>
            <w:fldChar w:fldCharType="separate"/>
          </w:r>
          <w:r>
            <w:rPr>
              <w:rFonts w:ascii="楷体_GB2312" w:hAnsi="楷体_GB2312" w:eastAsia="楷体_GB2312" w:cs="楷体_GB2312"/>
            </w:rPr>
            <w:t>42</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"_Toc10252" </w:instrText>
          </w:r>
          <w:r>
            <w:fldChar w:fldCharType="separate"/>
          </w:r>
          <w:r>
            <w:rPr>
              <w:rFonts w:hint="eastAsia" w:ascii="黑体" w:hAnsi="黑体" w:eastAsia="黑体" w:cs="黑体"/>
            </w:rPr>
            <w:t>第七章 融入双循环打造对外开放新门户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_Toc10252 </w:instrText>
          </w:r>
          <w:r>
            <w:rPr>
              <w:rFonts w:hint="eastAsia" w:ascii="黑体" w:hAnsi="黑体" w:eastAsia="黑体" w:cs="黑体"/>
            </w:rPr>
            <w:fldChar w:fldCharType="separate"/>
          </w:r>
          <w:r>
            <w:rPr>
              <w:rFonts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"_Toc26601" </w:instrText>
          </w:r>
          <w:r>
            <w:fldChar w:fldCharType="separate"/>
          </w:r>
          <w:r>
            <w:rPr>
              <w:rFonts w:hint="eastAsia" w:ascii="楷体_GB2312" w:hAnsi="楷体_GB2312" w:eastAsia="楷体_GB2312" w:cs="楷体_GB2312"/>
            </w:rPr>
            <w:t>第一节 高水平推进自贸区建设</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_Toc26601 </w:instrText>
          </w:r>
          <w:r>
            <w:rPr>
              <w:rFonts w:hint="eastAsia" w:ascii="楷体_GB2312" w:hAnsi="楷体_GB2312" w:eastAsia="楷体_GB2312" w:cs="楷体_GB2312"/>
            </w:rPr>
            <w:fldChar w:fldCharType="separate"/>
          </w:r>
          <w:r>
            <w:rPr>
              <w:rFonts w:ascii="楷体_GB2312" w:hAnsi="楷体_GB2312" w:eastAsia="楷体_GB2312" w:cs="楷体_GB2312"/>
            </w:rPr>
            <w:t>45</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"_Toc14373" </w:instrText>
          </w:r>
          <w:r>
            <w:fldChar w:fldCharType="separate"/>
          </w:r>
          <w:r>
            <w:rPr>
              <w:rFonts w:hint="eastAsia" w:ascii="楷体_GB2312" w:hAnsi="楷体_GB2312" w:eastAsia="楷体_GB2312" w:cs="楷体_GB2312"/>
            </w:rPr>
            <w:t>第二节 高标准打造国际内陆港</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_Toc14373 </w:instrText>
          </w:r>
          <w:r>
            <w:rPr>
              <w:rFonts w:hint="eastAsia" w:ascii="楷体_GB2312" w:hAnsi="楷体_GB2312" w:eastAsia="楷体_GB2312" w:cs="楷体_GB2312"/>
            </w:rPr>
            <w:fldChar w:fldCharType="separate"/>
          </w:r>
          <w:r>
            <w:rPr>
              <w:rFonts w:ascii="楷体_GB2312" w:hAnsi="楷体_GB2312" w:eastAsia="楷体_GB2312" w:cs="楷体_GB2312"/>
            </w:rPr>
            <w:t>46</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"_Toc15911" </w:instrText>
          </w:r>
          <w:r>
            <w:fldChar w:fldCharType="separate"/>
          </w:r>
          <w:r>
            <w:rPr>
              <w:rFonts w:hint="eastAsia" w:ascii="楷体_GB2312" w:hAnsi="楷体_GB2312" w:eastAsia="楷体_GB2312" w:cs="楷体_GB2312"/>
            </w:rPr>
            <w:t>第三节 拓展对外贸易发展空间</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_Toc15911 </w:instrText>
          </w:r>
          <w:r>
            <w:rPr>
              <w:rFonts w:hint="eastAsia" w:ascii="楷体_GB2312" w:hAnsi="楷体_GB2312" w:eastAsia="楷体_GB2312" w:cs="楷体_GB2312"/>
            </w:rPr>
            <w:fldChar w:fldCharType="separate"/>
          </w:r>
          <w:r>
            <w:rPr>
              <w:rFonts w:ascii="楷体_GB2312" w:hAnsi="楷体_GB2312" w:eastAsia="楷体_GB2312" w:cs="楷体_GB2312"/>
            </w:rPr>
            <w:t>48</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"_Toc5491" </w:instrText>
          </w:r>
          <w:r>
            <w:fldChar w:fldCharType="separate"/>
          </w:r>
          <w:r>
            <w:rPr>
              <w:rFonts w:hint="eastAsia" w:ascii="楷体_GB2312" w:hAnsi="楷体_GB2312" w:eastAsia="楷体_GB2312" w:cs="楷体_GB2312"/>
            </w:rPr>
            <w:t>第四节 着力推进消费繁荣升级</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_Toc5491 </w:instrText>
          </w:r>
          <w:r>
            <w:rPr>
              <w:rFonts w:hint="eastAsia" w:ascii="楷体_GB2312" w:hAnsi="楷体_GB2312" w:eastAsia="楷体_GB2312" w:cs="楷体_GB2312"/>
            </w:rPr>
            <w:fldChar w:fldCharType="separate"/>
          </w:r>
          <w:r>
            <w:rPr>
              <w:rFonts w:ascii="楷体_GB2312" w:hAnsi="楷体_GB2312" w:eastAsia="楷体_GB2312" w:cs="楷体_GB2312"/>
            </w:rPr>
            <w:t>49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"_Toc11080" </w:instrText>
          </w:r>
          <w:r>
            <w:fldChar w:fldCharType="separate"/>
          </w:r>
          <w:r>
            <w:rPr>
              <w:rFonts w:hint="eastAsia" w:ascii="楷体_GB2312" w:hAnsi="楷体_GB2312" w:eastAsia="楷体_GB2312" w:cs="楷体_GB2312"/>
            </w:rPr>
            <w:t>第五节 多措并举扩大有效投资</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_Toc11080 </w:instrText>
          </w:r>
          <w:r>
            <w:rPr>
              <w:rFonts w:hint="eastAsia" w:ascii="楷体_GB2312" w:hAnsi="楷体_GB2312" w:eastAsia="楷体_GB2312" w:cs="楷体_GB2312"/>
            </w:rPr>
            <w:fldChar w:fldCharType="separate"/>
          </w:r>
          <w:r>
            <w:rPr>
              <w:rFonts w:ascii="楷体_GB2312" w:hAnsi="楷体_GB2312" w:eastAsia="楷体_GB2312" w:cs="楷体_GB2312"/>
            </w:rPr>
            <w:t>50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rPr>
              <w:rFonts w:ascii="黑体" w:hAnsi="黑体" w:eastAsia="黑体" w:cs="黑体"/>
            </w:rPr>
          </w:pPr>
          <w:r>
            <w:fldChar w:fldCharType="begin"/>
          </w:r>
          <w:r>
            <w:instrText xml:space="preserve"> HYPERLINK \l "_Toc20365" </w:instrText>
          </w:r>
          <w:r>
            <w:fldChar w:fldCharType="separate"/>
          </w:r>
          <w:r>
            <w:rPr>
              <w:rFonts w:hint="eastAsia" w:ascii="黑体" w:hAnsi="黑体" w:eastAsia="黑体" w:cs="黑体"/>
            </w:rPr>
            <w:t>第八章 开启城乡融合协调发展新局面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_Toc20365 </w:instrText>
          </w:r>
          <w:r>
            <w:rPr>
              <w:rFonts w:hint="eastAsia" w:ascii="黑体" w:hAnsi="黑体" w:eastAsia="黑体" w:cs="黑体"/>
            </w:rPr>
            <w:fldChar w:fldCharType="separate"/>
          </w:r>
          <w:r>
            <w:rPr>
              <w:rFonts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"_Toc18082" </w:instrText>
          </w:r>
          <w:r>
            <w:fldChar w:fldCharType="separate"/>
          </w:r>
          <w:r>
            <w:rPr>
              <w:rFonts w:hint="eastAsia" w:ascii="楷体_GB2312" w:hAnsi="楷体_GB2312" w:eastAsia="楷体_GB2312" w:cs="楷体_GB2312"/>
            </w:rPr>
            <w:t>第一节 健全融合发展体制机制</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_Toc18082 </w:instrText>
          </w:r>
          <w:r>
            <w:rPr>
              <w:rFonts w:hint="eastAsia" w:ascii="楷体_GB2312" w:hAnsi="楷体_GB2312" w:eastAsia="楷体_GB2312" w:cs="楷体_GB2312"/>
            </w:rPr>
            <w:fldChar w:fldCharType="separate"/>
          </w:r>
          <w:r>
            <w:rPr>
              <w:rFonts w:ascii="楷体_GB2312" w:hAnsi="楷体_GB2312" w:eastAsia="楷体_GB2312" w:cs="楷体_GB2312"/>
            </w:rPr>
            <w:t>52</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"_Toc13860" </w:instrText>
          </w:r>
          <w:r>
            <w:fldChar w:fldCharType="separate"/>
          </w:r>
          <w:r>
            <w:rPr>
              <w:rFonts w:hint="eastAsia" w:ascii="楷体_GB2312" w:hAnsi="楷体_GB2312" w:eastAsia="楷体_GB2312" w:cs="楷体_GB2312"/>
            </w:rPr>
            <w:t>第二节 深入推进新型城镇化</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_Toc13860 </w:instrText>
          </w:r>
          <w:r>
            <w:rPr>
              <w:rFonts w:hint="eastAsia" w:ascii="楷体_GB2312" w:hAnsi="楷体_GB2312" w:eastAsia="楷体_GB2312" w:cs="楷体_GB2312"/>
            </w:rPr>
            <w:fldChar w:fldCharType="separate"/>
          </w:r>
          <w:r>
            <w:rPr>
              <w:rFonts w:ascii="楷体_GB2312" w:hAnsi="楷体_GB2312" w:eastAsia="楷体_GB2312" w:cs="楷体_GB2312"/>
            </w:rPr>
            <w:t>53</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"_Toc10253" </w:instrText>
          </w:r>
          <w:r>
            <w:fldChar w:fldCharType="separate"/>
          </w:r>
          <w:r>
            <w:rPr>
              <w:rFonts w:hint="eastAsia" w:ascii="楷体_GB2312" w:hAnsi="楷体_GB2312" w:eastAsia="楷体_GB2312" w:cs="楷体_GB2312"/>
            </w:rPr>
            <w:t>第三节 高水平实施乡村振兴</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_Toc10253 </w:instrText>
          </w:r>
          <w:r>
            <w:rPr>
              <w:rFonts w:hint="eastAsia" w:ascii="楷体_GB2312" w:hAnsi="楷体_GB2312" w:eastAsia="楷体_GB2312" w:cs="楷体_GB2312"/>
            </w:rPr>
            <w:fldChar w:fldCharType="separate"/>
          </w:r>
          <w:r>
            <w:rPr>
              <w:rFonts w:ascii="楷体_GB2312" w:hAnsi="楷体_GB2312" w:eastAsia="楷体_GB2312" w:cs="楷体_GB2312"/>
            </w:rPr>
            <w:t>54</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"_Toc5362" </w:instrText>
          </w:r>
          <w:r>
            <w:fldChar w:fldCharType="separate"/>
          </w:r>
          <w:r>
            <w:rPr>
              <w:rFonts w:hint="eastAsia" w:ascii="黑体" w:hAnsi="黑体" w:eastAsia="黑体" w:cs="黑体"/>
            </w:rPr>
            <w:t>第九章 全面深化改革实现发展新突破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_Toc5362 </w:instrText>
          </w:r>
          <w:r>
            <w:rPr>
              <w:rFonts w:hint="eastAsia" w:ascii="黑体" w:hAnsi="黑体" w:eastAsia="黑体" w:cs="黑体"/>
            </w:rPr>
            <w:fldChar w:fldCharType="separate"/>
          </w:r>
          <w:r>
            <w:rPr>
              <w:rFonts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"_Toc14996" </w:instrText>
          </w:r>
          <w:r>
            <w:fldChar w:fldCharType="separate"/>
          </w:r>
          <w:r>
            <w:rPr>
              <w:rFonts w:hint="eastAsia" w:ascii="楷体_GB2312" w:hAnsi="楷体_GB2312" w:eastAsia="楷体_GB2312" w:cs="楷体_GB2312"/>
            </w:rPr>
            <w:t>第一节 激发市场主体活力</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_Toc14996 </w:instrText>
          </w:r>
          <w:r>
            <w:rPr>
              <w:rFonts w:hint="eastAsia" w:ascii="楷体_GB2312" w:hAnsi="楷体_GB2312" w:eastAsia="楷体_GB2312" w:cs="楷体_GB2312"/>
            </w:rPr>
            <w:fldChar w:fldCharType="separate"/>
          </w:r>
          <w:r>
            <w:rPr>
              <w:rFonts w:ascii="楷体_GB2312" w:hAnsi="楷体_GB2312" w:eastAsia="楷体_GB2312" w:cs="楷体_GB2312"/>
            </w:rPr>
            <w:t>57</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"_Toc10280" </w:instrText>
          </w:r>
          <w:r>
            <w:fldChar w:fldCharType="separate"/>
          </w:r>
          <w:r>
            <w:rPr>
              <w:rFonts w:hint="eastAsia" w:ascii="楷体_GB2312" w:hAnsi="楷体_GB2312" w:eastAsia="楷体_GB2312" w:cs="楷体_GB2312"/>
            </w:rPr>
            <w:t>第二节 深化财税金融改革</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_Toc10280 </w:instrText>
          </w:r>
          <w:r>
            <w:rPr>
              <w:rFonts w:hint="eastAsia" w:ascii="楷体_GB2312" w:hAnsi="楷体_GB2312" w:eastAsia="楷体_GB2312" w:cs="楷体_GB2312"/>
            </w:rPr>
            <w:fldChar w:fldCharType="separate"/>
          </w:r>
          <w:r>
            <w:rPr>
              <w:rFonts w:ascii="楷体_GB2312" w:hAnsi="楷体_GB2312" w:eastAsia="楷体_GB2312" w:cs="楷体_GB2312"/>
            </w:rPr>
            <w:t>58</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"_Toc6577" </w:instrText>
          </w:r>
          <w:r>
            <w:fldChar w:fldCharType="separate"/>
          </w:r>
          <w:r>
            <w:rPr>
              <w:rFonts w:hint="eastAsia" w:ascii="楷体_GB2312" w:hAnsi="楷体_GB2312" w:eastAsia="楷体_GB2312" w:cs="楷体_GB2312"/>
            </w:rPr>
            <w:t>第三节 推进要素市场化配置</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_Toc6577 </w:instrText>
          </w:r>
          <w:r>
            <w:rPr>
              <w:rFonts w:hint="eastAsia" w:ascii="楷体_GB2312" w:hAnsi="楷体_GB2312" w:eastAsia="楷体_GB2312" w:cs="楷体_GB2312"/>
            </w:rPr>
            <w:fldChar w:fldCharType="separate"/>
          </w:r>
          <w:r>
            <w:rPr>
              <w:rFonts w:ascii="楷体_GB2312" w:hAnsi="楷体_GB2312" w:eastAsia="楷体_GB2312" w:cs="楷体_GB2312"/>
            </w:rPr>
            <w:t>59</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"_Toc21821" </w:instrText>
          </w:r>
          <w:r>
            <w:fldChar w:fldCharType="separate"/>
          </w:r>
          <w:r>
            <w:rPr>
              <w:rFonts w:hint="eastAsia" w:ascii="楷体_GB2312" w:hAnsi="楷体_GB2312" w:eastAsia="楷体_GB2312" w:cs="楷体_GB2312"/>
            </w:rPr>
            <w:t>第四节 打造一流营商环境</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_Toc21821 </w:instrText>
          </w:r>
          <w:r>
            <w:rPr>
              <w:rFonts w:hint="eastAsia" w:ascii="楷体_GB2312" w:hAnsi="楷体_GB2312" w:eastAsia="楷体_GB2312" w:cs="楷体_GB2312"/>
            </w:rPr>
            <w:fldChar w:fldCharType="separate"/>
          </w:r>
          <w:r>
            <w:rPr>
              <w:rFonts w:ascii="楷体_GB2312" w:hAnsi="楷体_GB2312" w:eastAsia="楷体_GB2312" w:cs="楷体_GB2312"/>
            </w:rPr>
            <w:t>60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"_Toc30035" </w:instrText>
          </w:r>
          <w:r>
            <w:fldChar w:fldCharType="separate"/>
          </w:r>
          <w:r>
            <w:rPr>
              <w:rFonts w:hint="eastAsia" w:ascii="黑体" w:hAnsi="黑体" w:eastAsia="黑体" w:cs="黑体"/>
            </w:rPr>
            <w:t>第十章 打造人与自然和谐共生新样板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_Toc30035 </w:instrText>
          </w:r>
          <w:r>
            <w:rPr>
              <w:rFonts w:hint="eastAsia" w:ascii="黑体" w:hAnsi="黑体" w:eastAsia="黑体" w:cs="黑体"/>
            </w:rPr>
            <w:fldChar w:fldCharType="separate"/>
          </w:r>
          <w:r>
            <w:rPr>
              <w:rFonts w:ascii="黑体" w:hAnsi="黑体" w:eastAsia="黑体" w:cs="黑体"/>
            </w:rPr>
            <w:t>61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"_Toc21329" </w:instrText>
          </w:r>
          <w:r>
            <w:fldChar w:fldCharType="separate"/>
          </w:r>
          <w:r>
            <w:rPr>
              <w:rFonts w:hint="eastAsia" w:ascii="楷体_GB2312" w:hAnsi="楷体_GB2312" w:eastAsia="楷体_GB2312" w:cs="楷体_GB2312"/>
            </w:rPr>
            <w:t>第一节 推进生态文明建设</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_Toc21329 </w:instrText>
          </w:r>
          <w:r>
            <w:rPr>
              <w:rFonts w:hint="eastAsia" w:ascii="楷体_GB2312" w:hAnsi="楷体_GB2312" w:eastAsia="楷体_GB2312" w:cs="楷体_GB2312"/>
            </w:rPr>
            <w:fldChar w:fldCharType="separate"/>
          </w:r>
          <w:r>
            <w:rPr>
              <w:rFonts w:ascii="楷体_GB2312" w:hAnsi="楷体_GB2312" w:eastAsia="楷体_GB2312" w:cs="楷体_GB2312"/>
            </w:rPr>
            <w:t>61</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"_Toc6985" </w:instrText>
          </w:r>
          <w:r>
            <w:fldChar w:fldCharType="separate"/>
          </w:r>
          <w:r>
            <w:rPr>
              <w:rFonts w:hint="eastAsia" w:ascii="楷体_GB2312" w:hAnsi="楷体_GB2312" w:eastAsia="楷体_GB2312" w:cs="楷体_GB2312"/>
            </w:rPr>
            <w:t>第二节 推动绿色低碳发展</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_Toc6985 </w:instrText>
          </w:r>
          <w:r>
            <w:rPr>
              <w:rFonts w:hint="eastAsia" w:ascii="楷体_GB2312" w:hAnsi="楷体_GB2312" w:eastAsia="楷体_GB2312" w:cs="楷体_GB2312"/>
            </w:rPr>
            <w:fldChar w:fldCharType="separate"/>
          </w:r>
          <w:r>
            <w:rPr>
              <w:rFonts w:ascii="楷体_GB2312" w:hAnsi="楷体_GB2312" w:eastAsia="楷体_GB2312" w:cs="楷体_GB2312"/>
            </w:rPr>
            <w:t>62</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"_Toc1916" </w:instrText>
          </w:r>
          <w:r>
            <w:fldChar w:fldCharType="separate"/>
          </w:r>
          <w:r>
            <w:rPr>
              <w:rFonts w:hint="eastAsia" w:ascii="楷体_GB2312" w:hAnsi="楷体_GB2312" w:eastAsia="楷体_GB2312" w:cs="楷体_GB2312"/>
            </w:rPr>
            <w:t>第三节 加大环境整治力度</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_Toc1916 </w:instrText>
          </w:r>
          <w:r>
            <w:rPr>
              <w:rFonts w:hint="eastAsia" w:ascii="楷体_GB2312" w:hAnsi="楷体_GB2312" w:eastAsia="楷体_GB2312" w:cs="楷体_GB2312"/>
            </w:rPr>
            <w:fldChar w:fldCharType="separate"/>
          </w:r>
          <w:r>
            <w:rPr>
              <w:rFonts w:ascii="楷体_GB2312" w:hAnsi="楷体_GB2312" w:eastAsia="楷体_GB2312" w:cs="楷体_GB2312"/>
            </w:rPr>
            <w:t>63</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"_Toc30914" </w:instrText>
          </w:r>
          <w:r>
            <w:fldChar w:fldCharType="separate"/>
          </w:r>
          <w:r>
            <w:rPr>
              <w:rFonts w:hint="eastAsia" w:ascii="黑体" w:hAnsi="黑体" w:eastAsia="黑体" w:cs="黑体"/>
            </w:rPr>
            <w:t>第十一章 促进文化繁荣提升城市软实力</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_Toc30914 </w:instrText>
          </w:r>
          <w:r>
            <w:rPr>
              <w:rFonts w:hint="eastAsia" w:ascii="黑体" w:hAnsi="黑体" w:eastAsia="黑体" w:cs="黑体"/>
            </w:rPr>
            <w:fldChar w:fldCharType="separate"/>
          </w:r>
          <w:r>
            <w:rPr>
              <w:rFonts w:ascii="黑体" w:hAnsi="黑体" w:eastAsia="黑体" w:cs="黑体"/>
            </w:rPr>
            <w:t>65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"_Toc15554" </w:instrText>
          </w:r>
          <w:r>
            <w:fldChar w:fldCharType="separate"/>
          </w:r>
          <w:r>
            <w:rPr>
              <w:rFonts w:hint="eastAsia" w:ascii="楷体_GB2312" w:hAnsi="楷体_GB2312" w:eastAsia="楷体_GB2312" w:cs="楷体_GB2312"/>
            </w:rPr>
            <w:t>第一节 擦亮全区文化文明底色</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_Toc15554 </w:instrText>
          </w:r>
          <w:r>
            <w:rPr>
              <w:rFonts w:hint="eastAsia" w:ascii="楷体_GB2312" w:hAnsi="楷体_GB2312" w:eastAsia="楷体_GB2312" w:cs="楷体_GB2312"/>
            </w:rPr>
            <w:fldChar w:fldCharType="separate"/>
          </w:r>
          <w:r>
            <w:rPr>
              <w:rFonts w:ascii="楷体_GB2312" w:hAnsi="楷体_GB2312" w:eastAsia="楷体_GB2312" w:cs="楷体_GB2312"/>
            </w:rPr>
            <w:t>65</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"_Toc15613" </w:instrText>
          </w:r>
          <w:r>
            <w:fldChar w:fldCharType="separate"/>
          </w:r>
          <w:r>
            <w:rPr>
              <w:rFonts w:hint="eastAsia" w:ascii="楷体_GB2312" w:hAnsi="楷体_GB2312" w:eastAsia="楷体_GB2312" w:cs="楷体_GB2312"/>
            </w:rPr>
            <w:t>第二节 激发公共文化服务效能</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_Toc15613 </w:instrText>
          </w:r>
          <w:r>
            <w:rPr>
              <w:rFonts w:hint="eastAsia" w:ascii="楷体_GB2312" w:hAnsi="楷体_GB2312" w:eastAsia="楷体_GB2312" w:cs="楷体_GB2312"/>
            </w:rPr>
            <w:fldChar w:fldCharType="separate"/>
          </w:r>
          <w:r>
            <w:rPr>
              <w:rFonts w:ascii="楷体_GB2312" w:hAnsi="楷体_GB2312" w:eastAsia="楷体_GB2312" w:cs="楷体_GB2312"/>
            </w:rPr>
            <w:t>66</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"_Toc23687" </w:instrText>
          </w:r>
          <w:r>
            <w:fldChar w:fldCharType="separate"/>
          </w:r>
          <w:r>
            <w:rPr>
              <w:rFonts w:hint="eastAsia" w:ascii="楷体_GB2312" w:hAnsi="楷体_GB2312" w:eastAsia="楷体_GB2312" w:cs="楷体_GB2312"/>
            </w:rPr>
            <w:t>第三节 释放文化产业发展活力</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_Toc23687 </w:instrText>
          </w:r>
          <w:r>
            <w:rPr>
              <w:rFonts w:hint="eastAsia" w:ascii="楷体_GB2312" w:hAnsi="楷体_GB2312" w:eastAsia="楷体_GB2312" w:cs="楷体_GB2312"/>
            </w:rPr>
            <w:fldChar w:fldCharType="separate"/>
          </w:r>
          <w:r>
            <w:rPr>
              <w:rFonts w:ascii="楷体_GB2312" w:hAnsi="楷体_GB2312" w:eastAsia="楷体_GB2312" w:cs="楷体_GB2312"/>
            </w:rPr>
            <w:t>67</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"_Toc20073" </w:instrText>
          </w:r>
          <w:r>
            <w:fldChar w:fldCharType="separate"/>
          </w:r>
          <w:r>
            <w:rPr>
              <w:rFonts w:hint="eastAsia" w:ascii="黑体" w:hAnsi="黑体" w:eastAsia="黑体" w:cs="黑体"/>
            </w:rPr>
            <w:t>第十二章 建设惠及民生幸福共享大家园</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_Toc20073 </w:instrText>
          </w:r>
          <w:r>
            <w:rPr>
              <w:rFonts w:hint="eastAsia" w:ascii="黑体" w:hAnsi="黑体" w:eastAsia="黑体" w:cs="黑体"/>
            </w:rPr>
            <w:fldChar w:fldCharType="separate"/>
          </w:r>
          <w:r>
            <w:rPr>
              <w:rFonts w:ascii="黑体" w:hAnsi="黑体" w:eastAsia="黑体" w:cs="黑体"/>
            </w:rPr>
            <w:t>70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"_Toc13233" </w:instrText>
          </w:r>
          <w:r>
            <w:fldChar w:fldCharType="separate"/>
          </w:r>
          <w:r>
            <w:rPr>
              <w:rFonts w:hint="eastAsia" w:ascii="楷体_GB2312" w:hAnsi="楷体_GB2312" w:eastAsia="楷体_GB2312" w:cs="楷体_GB2312"/>
            </w:rPr>
            <w:t>第一节 提升就业创业服务能力</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_Toc13233 </w:instrText>
          </w:r>
          <w:r>
            <w:rPr>
              <w:rFonts w:hint="eastAsia" w:ascii="楷体_GB2312" w:hAnsi="楷体_GB2312" w:eastAsia="楷体_GB2312" w:cs="楷体_GB2312"/>
            </w:rPr>
            <w:fldChar w:fldCharType="separate"/>
          </w:r>
          <w:r>
            <w:rPr>
              <w:rFonts w:ascii="楷体_GB2312" w:hAnsi="楷体_GB2312" w:eastAsia="楷体_GB2312" w:cs="楷体_GB2312"/>
            </w:rPr>
            <w:t>70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"_Toc3516" </w:instrText>
          </w:r>
          <w:r>
            <w:fldChar w:fldCharType="separate"/>
          </w:r>
          <w:r>
            <w:rPr>
              <w:rFonts w:hint="eastAsia" w:ascii="楷体_GB2312" w:hAnsi="楷体_GB2312" w:eastAsia="楷体_GB2312" w:cs="楷体_GB2312"/>
            </w:rPr>
            <w:t>第二节 保障教育优质均衡发展</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_Toc3516 </w:instrText>
          </w:r>
          <w:r>
            <w:rPr>
              <w:rFonts w:hint="eastAsia" w:ascii="楷体_GB2312" w:hAnsi="楷体_GB2312" w:eastAsia="楷体_GB2312" w:cs="楷体_GB2312"/>
            </w:rPr>
            <w:fldChar w:fldCharType="separate"/>
          </w:r>
          <w:r>
            <w:rPr>
              <w:rFonts w:ascii="楷体_GB2312" w:hAnsi="楷体_GB2312" w:eastAsia="楷体_GB2312" w:cs="楷体_GB2312"/>
            </w:rPr>
            <w:t>71</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"_Toc29155" </w:instrText>
          </w:r>
          <w:r>
            <w:fldChar w:fldCharType="separate"/>
          </w:r>
          <w:r>
            <w:rPr>
              <w:rFonts w:hint="eastAsia" w:ascii="楷体_GB2312" w:hAnsi="楷体_GB2312" w:eastAsia="楷体_GB2312" w:cs="楷体_GB2312"/>
            </w:rPr>
            <w:t>第三节 全面提升医疗健康水平</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_Toc29155 </w:instrText>
          </w:r>
          <w:r>
            <w:rPr>
              <w:rFonts w:hint="eastAsia" w:ascii="楷体_GB2312" w:hAnsi="楷体_GB2312" w:eastAsia="楷体_GB2312" w:cs="楷体_GB2312"/>
            </w:rPr>
            <w:fldChar w:fldCharType="separate"/>
          </w:r>
          <w:r>
            <w:rPr>
              <w:rFonts w:ascii="楷体_GB2312" w:hAnsi="楷体_GB2312" w:eastAsia="楷体_GB2312" w:cs="楷体_GB2312"/>
            </w:rPr>
            <w:t>72</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"_Toc32459" </w:instrText>
          </w:r>
          <w:r>
            <w:fldChar w:fldCharType="separate"/>
          </w:r>
          <w:r>
            <w:rPr>
              <w:rFonts w:hint="eastAsia" w:ascii="楷体_GB2312" w:hAnsi="楷体_GB2312" w:eastAsia="楷体_GB2312" w:cs="楷体_GB2312"/>
            </w:rPr>
            <w:t>第四节 健全完善社会保障体系</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_Toc32459 </w:instrText>
          </w:r>
          <w:r>
            <w:rPr>
              <w:rFonts w:hint="eastAsia" w:ascii="楷体_GB2312" w:hAnsi="楷体_GB2312" w:eastAsia="楷体_GB2312" w:cs="楷体_GB2312"/>
            </w:rPr>
            <w:fldChar w:fldCharType="separate"/>
          </w:r>
          <w:r>
            <w:rPr>
              <w:rFonts w:ascii="楷体_GB2312" w:hAnsi="楷体_GB2312" w:eastAsia="楷体_GB2312" w:cs="楷体_GB2312"/>
            </w:rPr>
            <w:t>74</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"_Toc15212" </w:instrText>
          </w:r>
          <w:r>
            <w:fldChar w:fldCharType="separate"/>
          </w:r>
          <w:r>
            <w:rPr>
              <w:rFonts w:hint="eastAsia" w:ascii="黑体" w:hAnsi="黑体" w:eastAsia="黑体" w:cs="黑体"/>
            </w:rPr>
            <w:t>第十三章 争创社会治理智慧高效典范区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_Toc15212 </w:instrText>
          </w:r>
          <w:r>
            <w:rPr>
              <w:rFonts w:hint="eastAsia" w:ascii="黑体" w:hAnsi="黑体" w:eastAsia="黑体" w:cs="黑体"/>
            </w:rPr>
            <w:fldChar w:fldCharType="separate"/>
          </w:r>
          <w:r>
            <w:rPr>
              <w:rFonts w:ascii="黑体" w:hAnsi="黑体" w:eastAsia="黑体" w:cs="黑体"/>
            </w:rPr>
            <w:t>76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"_Toc27950" </w:instrText>
          </w:r>
          <w:r>
            <w:fldChar w:fldCharType="separate"/>
          </w:r>
          <w:r>
            <w:rPr>
              <w:rFonts w:hint="eastAsia" w:ascii="楷体_GB2312" w:hAnsi="楷体_GB2312" w:eastAsia="楷体_GB2312" w:cs="楷体_GB2312"/>
            </w:rPr>
            <w:t>第一节 完善社会治理体系建设</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_Toc27950 </w:instrText>
          </w:r>
          <w:r>
            <w:rPr>
              <w:rFonts w:hint="eastAsia" w:ascii="楷体_GB2312" w:hAnsi="楷体_GB2312" w:eastAsia="楷体_GB2312" w:cs="楷体_GB2312"/>
            </w:rPr>
            <w:fldChar w:fldCharType="separate"/>
          </w:r>
          <w:r>
            <w:rPr>
              <w:rFonts w:ascii="楷体_GB2312" w:hAnsi="楷体_GB2312" w:eastAsia="楷体_GB2312" w:cs="楷体_GB2312"/>
            </w:rPr>
            <w:t>76</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"_Toc11238" </w:instrText>
          </w:r>
          <w:r>
            <w:fldChar w:fldCharType="separate"/>
          </w:r>
          <w:r>
            <w:rPr>
              <w:rFonts w:hint="eastAsia" w:ascii="楷体_GB2312" w:hAnsi="楷体_GB2312" w:eastAsia="楷体_GB2312" w:cs="楷体_GB2312"/>
            </w:rPr>
            <w:t>第二节 全面提升法治建设水平</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_Toc11238 </w:instrText>
          </w:r>
          <w:r>
            <w:rPr>
              <w:rFonts w:hint="eastAsia" w:ascii="楷体_GB2312" w:hAnsi="楷体_GB2312" w:eastAsia="楷体_GB2312" w:cs="楷体_GB2312"/>
            </w:rPr>
            <w:fldChar w:fldCharType="separate"/>
          </w:r>
          <w:r>
            <w:rPr>
              <w:rFonts w:ascii="楷体_GB2312" w:hAnsi="楷体_GB2312" w:eastAsia="楷体_GB2312" w:cs="楷体_GB2312"/>
            </w:rPr>
            <w:t>78</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"_Toc4851" </w:instrText>
          </w:r>
          <w:r>
            <w:fldChar w:fldCharType="separate"/>
          </w:r>
          <w:r>
            <w:rPr>
              <w:rFonts w:hint="eastAsia" w:ascii="楷体_GB2312" w:hAnsi="楷体_GB2312" w:eastAsia="楷体_GB2312" w:cs="楷体_GB2312"/>
            </w:rPr>
            <w:t>第三节 加快社会信用体系建设</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_Toc4851 </w:instrText>
          </w:r>
          <w:r>
            <w:rPr>
              <w:rFonts w:hint="eastAsia" w:ascii="楷体_GB2312" w:hAnsi="楷体_GB2312" w:eastAsia="楷体_GB2312" w:cs="楷体_GB2312"/>
            </w:rPr>
            <w:fldChar w:fldCharType="separate"/>
          </w:r>
          <w:r>
            <w:rPr>
              <w:rFonts w:ascii="楷体_GB2312" w:hAnsi="楷体_GB2312" w:eastAsia="楷体_GB2312" w:cs="楷体_GB2312"/>
            </w:rPr>
            <w:t>78</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rPr>
              <w:rFonts w:ascii="黑体" w:hAnsi="黑体" w:eastAsia="黑体" w:cs="黑体"/>
            </w:rPr>
          </w:pPr>
          <w:r>
            <w:fldChar w:fldCharType="begin"/>
          </w:r>
          <w:r>
            <w:instrText xml:space="preserve"> HYPERLINK \l "_Toc22170" </w:instrText>
          </w:r>
          <w:r>
            <w:fldChar w:fldCharType="separate"/>
          </w:r>
          <w:r>
            <w:rPr>
              <w:rFonts w:hint="eastAsia" w:ascii="黑体" w:hAnsi="黑体" w:eastAsia="黑体" w:cs="黑体"/>
            </w:rPr>
            <w:t>第十四章 构建和谐安全稳定社会大格局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_Toc22170 </w:instrText>
          </w:r>
          <w:r>
            <w:rPr>
              <w:rFonts w:hint="eastAsia" w:ascii="黑体" w:hAnsi="黑体" w:eastAsia="黑体" w:cs="黑体"/>
            </w:rPr>
            <w:fldChar w:fldCharType="separate"/>
          </w:r>
          <w:r>
            <w:rPr>
              <w:rFonts w:ascii="黑体" w:hAnsi="黑体" w:eastAsia="黑体" w:cs="黑体"/>
            </w:rPr>
            <w:t>80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"_Toc14826" </w:instrText>
          </w:r>
          <w:r>
            <w:fldChar w:fldCharType="separate"/>
          </w:r>
          <w:r>
            <w:rPr>
              <w:rFonts w:hint="eastAsia" w:ascii="楷体_GB2312" w:hAnsi="楷体_GB2312" w:eastAsia="楷体_GB2312" w:cs="楷体_GB2312"/>
            </w:rPr>
            <w:t>第一节 保障经济社会安全</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_Toc14826 </w:instrText>
          </w:r>
          <w:r>
            <w:rPr>
              <w:rFonts w:hint="eastAsia" w:ascii="楷体_GB2312" w:hAnsi="楷体_GB2312" w:eastAsia="楷体_GB2312" w:cs="楷体_GB2312"/>
            </w:rPr>
            <w:fldChar w:fldCharType="separate"/>
          </w:r>
          <w:r>
            <w:rPr>
              <w:rFonts w:ascii="楷体_GB2312" w:hAnsi="楷体_GB2312" w:eastAsia="楷体_GB2312" w:cs="楷体_GB2312"/>
            </w:rPr>
            <w:t>80</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"_Toc31516" </w:instrText>
          </w:r>
          <w:r>
            <w:fldChar w:fldCharType="separate"/>
          </w:r>
          <w:r>
            <w:rPr>
              <w:rFonts w:hint="eastAsia" w:ascii="楷体_GB2312" w:hAnsi="楷体_GB2312" w:eastAsia="楷体_GB2312" w:cs="楷体_GB2312"/>
            </w:rPr>
            <w:t>第二节 保障人民生命安全</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_Toc31516 </w:instrText>
          </w:r>
          <w:r>
            <w:rPr>
              <w:rFonts w:hint="eastAsia" w:ascii="楷体_GB2312" w:hAnsi="楷体_GB2312" w:eastAsia="楷体_GB2312" w:cs="楷体_GB2312"/>
            </w:rPr>
            <w:fldChar w:fldCharType="separate"/>
          </w:r>
          <w:r>
            <w:rPr>
              <w:rFonts w:ascii="楷体_GB2312" w:hAnsi="楷体_GB2312" w:eastAsia="楷体_GB2312" w:cs="楷体_GB2312"/>
            </w:rPr>
            <w:t>81</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pPr>
          <w:r>
            <w:fldChar w:fldCharType="begin"/>
          </w:r>
          <w:r>
            <w:instrText xml:space="preserve"> HYPERLINK \l "_Toc21585" </w:instrText>
          </w:r>
          <w:r>
            <w:fldChar w:fldCharType="separate"/>
          </w:r>
          <w:r>
            <w:rPr>
              <w:rFonts w:hint="eastAsia" w:ascii="黑体" w:hAnsi="黑体" w:eastAsia="黑体" w:cs="黑体"/>
            </w:rPr>
            <w:t>第十五章 建立科学有效规划实施新机制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_Toc21585 </w:instrText>
          </w:r>
          <w:r>
            <w:rPr>
              <w:rFonts w:hint="eastAsia" w:ascii="黑体" w:hAnsi="黑体" w:eastAsia="黑体" w:cs="黑体"/>
            </w:rPr>
            <w:fldChar w:fldCharType="separate"/>
          </w:r>
          <w:r>
            <w:rPr>
              <w:rFonts w:ascii="黑体" w:hAnsi="黑体" w:eastAsia="黑体" w:cs="黑体"/>
            </w:rPr>
            <w:t>82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"_Toc6084" </w:instrText>
          </w:r>
          <w:r>
            <w:fldChar w:fldCharType="separate"/>
          </w:r>
          <w:r>
            <w:rPr>
              <w:rFonts w:hint="eastAsia" w:ascii="楷体_GB2312" w:hAnsi="楷体_GB2312" w:eastAsia="楷体_GB2312" w:cs="楷体_GB2312"/>
            </w:rPr>
            <w:t>第一节 强化组织领导</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_Toc6084 </w:instrText>
          </w:r>
          <w:r>
            <w:rPr>
              <w:rFonts w:hint="eastAsia" w:ascii="楷体_GB2312" w:hAnsi="楷体_GB2312" w:eastAsia="楷体_GB2312" w:cs="楷体_GB2312"/>
            </w:rPr>
            <w:fldChar w:fldCharType="separate"/>
          </w:r>
          <w:r>
            <w:rPr>
              <w:rFonts w:ascii="楷体_GB2312" w:hAnsi="楷体_GB2312" w:eastAsia="楷体_GB2312" w:cs="楷体_GB2312"/>
            </w:rPr>
            <w:t>82</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"_Toc12266" </w:instrText>
          </w:r>
          <w:r>
            <w:fldChar w:fldCharType="separate"/>
          </w:r>
          <w:r>
            <w:rPr>
              <w:rFonts w:hint="eastAsia" w:ascii="楷体_GB2312" w:hAnsi="楷体_GB2312" w:eastAsia="楷体_GB2312" w:cs="楷体_GB2312"/>
            </w:rPr>
            <w:t>第二节 强化规划落实</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_Toc12266 </w:instrText>
          </w:r>
          <w:r>
            <w:rPr>
              <w:rFonts w:hint="eastAsia" w:ascii="楷体_GB2312" w:hAnsi="楷体_GB2312" w:eastAsia="楷体_GB2312" w:cs="楷体_GB2312"/>
            </w:rPr>
            <w:fldChar w:fldCharType="separate"/>
          </w:r>
          <w:r>
            <w:rPr>
              <w:rFonts w:ascii="楷体_GB2312" w:hAnsi="楷体_GB2312" w:eastAsia="楷体_GB2312" w:cs="楷体_GB2312"/>
            </w:rPr>
            <w:t>83</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rPr>
              <w:rFonts w:ascii="楷体_GB2312" w:hAnsi="楷体_GB2312" w:eastAsia="楷体_GB2312" w:cs="楷体_GB2312"/>
            </w:rPr>
          </w:pPr>
          <w:r>
            <w:fldChar w:fldCharType="begin"/>
          </w:r>
          <w:r>
            <w:instrText xml:space="preserve"> HYPERLINK \l "_Toc4330" </w:instrText>
          </w:r>
          <w:r>
            <w:fldChar w:fldCharType="separate"/>
          </w:r>
          <w:r>
            <w:rPr>
              <w:rFonts w:hint="eastAsia" w:ascii="楷体_GB2312" w:hAnsi="楷体_GB2312" w:eastAsia="楷体_GB2312" w:cs="楷体_GB2312"/>
            </w:rPr>
            <w:t>第三节 强化项目支撑</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_Toc4330 </w:instrText>
          </w:r>
          <w:r>
            <w:rPr>
              <w:rFonts w:hint="eastAsia" w:ascii="楷体_GB2312" w:hAnsi="楷体_GB2312" w:eastAsia="楷体_GB2312" w:cs="楷体_GB2312"/>
            </w:rPr>
            <w:fldChar w:fldCharType="separate"/>
          </w:r>
          <w:r>
            <w:rPr>
              <w:rFonts w:ascii="楷体_GB2312" w:hAnsi="楷体_GB2312" w:eastAsia="楷体_GB2312" w:cs="楷体_GB2312"/>
            </w:rPr>
            <w:t>83</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11"/>
            <w:tabs>
              <w:tab w:val="right" w:leader="dot" w:pos="8306"/>
            </w:tabs>
            <w:ind w:left="0" w:leftChars="0"/>
          </w:pPr>
          <w:r>
            <w:fldChar w:fldCharType="begin"/>
          </w:r>
          <w:r>
            <w:instrText xml:space="preserve"> HYPERLINK \l "_Toc16068" </w:instrText>
          </w:r>
          <w:r>
            <w:fldChar w:fldCharType="separate"/>
          </w:r>
          <w:r>
            <w:rPr>
              <w:rFonts w:hint="eastAsia" w:ascii="楷体_GB2312" w:hAnsi="楷体_GB2312" w:eastAsia="楷体_GB2312" w:cs="楷体_GB2312"/>
            </w:rPr>
            <w:t>第四节 强化实施评估</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_Toc16068 </w:instrText>
          </w:r>
          <w:r>
            <w:rPr>
              <w:rFonts w:hint="eastAsia" w:ascii="楷体_GB2312" w:hAnsi="楷体_GB2312" w:eastAsia="楷体_GB2312" w:cs="楷体_GB2312"/>
            </w:rPr>
            <w:fldChar w:fldCharType="separate"/>
          </w:r>
          <w:r>
            <w:rPr>
              <w:rFonts w:ascii="楷体_GB2312" w:hAnsi="楷体_GB2312" w:eastAsia="楷体_GB2312" w:cs="楷体_GB2312"/>
            </w:rPr>
            <w:t>84</w:t>
          </w:r>
          <w:r>
            <w:rPr>
              <w:rFonts w:hint="eastAsia" w:ascii="楷体_GB2312" w:hAnsi="楷体_GB2312" w:eastAsia="楷体_GB2312" w:cs="楷体_GB2312"/>
            </w:rPr>
            <w:fldChar w:fldCharType="end"/>
          </w:r>
          <w:r>
            <w:rPr>
              <w:rFonts w:hint="eastAsia" w:ascii="楷体_GB2312" w:hAnsi="楷体_GB2312" w:eastAsia="楷体_GB2312" w:cs="楷体_GB2312"/>
            </w:rPr>
            <w:fldChar w:fldCharType="end"/>
          </w:r>
        </w:p>
        <w:p>
          <w:pPr>
            <w:pStyle w:val="2"/>
            <w:tabs>
              <w:tab w:val="right" w:leader="dot" w:pos="8306"/>
            </w:tabs>
            <w:ind w:firstLine="0" w:firstLineChars="0"/>
            <w:rPr>
              <w:rFonts w:ascii="黑体" w:hAnsi="黑体" w:eastAsia="黑体" w:cs="黑体"/>
            </w:rPr>
          </w:pPr>
          <w:r>
            <w:fldChar w:fldCharType="begin"/>
          </w:r>
          <w:r>
            <w:instrText xml:space="preserve"> HYPERLINK \l "_Toc6932" </w:instrText>
          </w:r>
          <w:r>
            <w:fldChar w:fldCharType="separate"/>
          </w:r>
          <w:r>
            <w:rPr>
              <w:rFonts w:hint="eastAsia" w:ascii="黑体" w:hAnsi="黑体" w:eastAsia="黑体" w:cs="黑体"/>
            </w:rPr>
            <w:t>名词解释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_Toc6932 </w:instrText>
          </w:r>
          <w:r>
            <w:rPr>
              <w:rFonts w:hint="eastAsia" w:ascii="黑体" w:hAnsi="黑体" w:eastAsia="黑体" w:cs="黑体"/>
            </w:rPr>
            <w:fldChar w:fldCharType="separate"/>
          </w:r>
          <w:r>
            <w:rPr>
              <w:rFonts w:ascii="黑体" w:hAnsi="黑体" w:eastAsia="黑体" w:cs="黑体"/>
            </w:rPr>
            <w:t>85</w:t>
          </w:r>
          <w:r>
            <w:rPr>
              <w:rFonts w:hint="eastAsia" w:ascii="黑体" w:hAnsi="黑体" w:eastAsia="黑体" w:cs="黑体"/>
            </w:rPr>
            <w:fldChar w:fldCharType="end"/>
          </w:r>
          <w:r>
            <w:rPr>
              <w:rFonts w:hint="eastAsia" w:ascii="黑体" w:hAnsi="黑体" w:eastAsia="黑体" w:cs="黑体"/>
            </w:rPr>
            <w:fldChar w:fldCharType="end"/>
          </w:r>
        </w:p>
        <w:p>
          <w:pPr>
            <w:spacing w:line="360" w:lineRule="auto"/>
            <w:jc w:val="both"/>
            <w:rPr>
              <w:rFonts w:ascii="仿宋_GB2312" w:hAnsi="仿宋" w:cs="仿宋"/>
              <w:szCs w:val="32"/>
            </w:rPr>
            <w:sectPr>
              <w:headerReference r:id="rId11" w:type="default"/>
              <w:footerReference r:id="rId12" w:type="default"/>
              <w:pgSz w:w="11906" w:h="16838"/>
              <w:pgMar w:top="1440" w:right="1800" w:bottom="1440" w:left="1800" w:header="851" w:footer="992" w:gutter="0"/>
              <w:pgNumType w:fmt="upperRoman" w:start="1"/>
              <w:cols w:space="720" w:num="1"/>
              <w:docGrid w:type="lines" w:linePitch="312" w:charSpace="0"/>
            </w:sectPr>
          </w:pPr>
          <w:r>
            <w:rPr>
              <w:rFonts w:hint="eastAsia" w:ascii="仿宋_GB2312" w:hAnsi="仿宋" w:cs="仿宋"/>
              <w:szCs w:val="32"/>
            </w:rPr>
            <w:fldChar w:fldCharType="end"/>
          </w:r>
        </w:p>
      </w:sdtContent>
    </w:sdt>
    <w:p>
      <w:pPr>
        <w:spacing w:line="560" w:lineRule="exact"/>
        <w:jc w:val="both"/>
        <w:rPr>
          <w:rFonts w:cs="宋体"/>
        </w:rPr>
      </w:pPr>
      <w:r>
        <w:rPr>
          <w:rFonts w:hint="eastAsia" w:ascii="仿宋_GB2312" w:hAnsi="仿宋" w:cs="仿宋"/>
          <w:szCs w:val="32"/>
        </w:rPr>
        <w:t>“十四五”时期，是我国全面建成小康社会、实现第一个百年奋斗目标之后，乘势而上开启全面建设社会主义现代化国家新征程、向第二个百年奋斗目标进军的第一个五年，也是历城区深入贯彻落实黄河流域生态保护和高质量发展战略，加快建设省会东部现代化强区极为关键的五年。</w:t>
      </w:r>
      <w:r>
        <w:rPr>
          <w:rFonts w:hint="eastAsia" w:cs="宋体"/>
        </w:rPr>
        <w:t>《济南市历城区国民经济和社会发展第十四个五年规划和二</w:t>
      </w:r>
      <w:r>
        <w:rPr>
          <w:rFonts w:hint="eastAsia" w:ascii="仿宋_GB2312" w:cs="宋体" w:hAnsiTheme="minorEastAsia"/>
        </w:rPr>
        <w:t>○</w:t>
      </w:r>
      <w:r>
        <w:rPr>
          <w:rFonts w:hint="eastAsia" w:cs="宋体"/>
        </w:rPr>
        <w:t>三</w:t>
      </w:r>
      <w:r>
        <w:rPr>
          <w:rFonts w:hint="eastAsia" w:ascii="仿宋_GB2312" w:hAnsi="仿宋" w:cs="仿宋"/>
          <w:szCs w:val="32"/>
        </w:rPr>
        <w:t>五年远景目标纲要》（以下简称《纲要》）根据中共中央、中共山东省委、中共济南市委和中共历城区委关于制定国民经济和社会发展第十四个五年规划和二</w:t>
      </w:r>
      <w:r>
        <w:rPr>
          <w:rFonts w:hint="eastAsia" w:ascii="仿宋_GB2312" w:cs="宋体" w:hAnsiTheme="minorEastAsia"/>
        </w:rPr>
        <w:t>○</w:t>
      </w:r>
      <w:r>
        <w:rPr>
          <w:rFonts w:hint="eastAsia" w:ascii="仿宋_GB2312" w:hAnsi="仿宋" w:cs="仿宋"/>
          <w:szCs w:val="32"/>
        </w:rPr>
        <w:t>三五年远景目标的建议编制。《纲要》主要明确未来五年历城区经济社会发展的重要任务、重大</w:t>
      </w:r>
      <w:r>
        <w:rPr>
          <w:rFonts w:hint="eastAsia" w:cs="宋体"/>
        </w:rPr>
        <w:t>举措和主要目标，是全区人民的共同愿景，是推动宏观政策连续稳定实施的重要保障，是政府履行职责的重要依据，也是经济社会发展预期的战略导向。</w:t>
      </w:r>
    </w:p>
    <w:p>
      <w:pPr>
        <w:pStyle w:val="3"/>
        <w:spacing w:line="560" w:lineRule="exact"/>
        <w:rPr>
          <w:rFonts w:hint="default"/>
        </w:rPr>
      </w:pPr>
      <w:bookmarkStart w:id="0" w:name="_Toc25339"/>
      <w:bookmarkStart w:id="1" w:name="_Toc19543"/>
      <w:bookmarkStart w:id="2" w:name="_Toc18565"/>
      <w:r>
        <w:t>第一章</w:t>
      </w:r>
      <w:bookmarkEnd w:id="0"/>
      <w:r>
        <w:t>开启全面建设社会主义现代化强区新篇章</w:t>
      </w:r>
      <w:bookmarkEnd w:id="1"/>
      <w:bookmarkEnd w:id="2"/>
    </w:p>
    <w:p>
      <w:pPr>
        <w:pStyle w:val="4"/>
        <w:spacing w:line="560" w:lineRule="exact"/>
      </w:pPr>
      <w:bookmarkStart w:id="3" w:name="_Toc17285"/>
      <w:bookmarkStart w:id="4" w:name="_Toc9262"/>
      <w:bookmarkStart w:id="5" w:name="_Toc24564"/>
      <w:r>
        <w:rPr>
          <w:rFonts w:hint="eastAsia"/>
        </w:rPr>
        <w:t>第一节发展基础</w:t>
      </w:r>
      <w:bookmarkEnd w:id="3"/>
      <w:bookmarkEnd w:id="4"/>
      <w:bookmarkEnd w:id="5"/>
    </w:p>
    <w:p>
      <w:pPr>
        <w:spacing w:line="560" w:lineRule="exact"/>
        <w:jc w:val="both"/>
        <w:rPr>
          <w:rFonts w:ascii="仿宋_GB2312" w:hAnsi="仿宋_GB2312" w:cs="仿宋_GB2312"/>
        </w:rPr>
      </w:pPr>
      <w:r>
        <w:rPr>
          <w:rFonts w:hint="eastAsia" w:ascii="仿宋_GB2312" w:hAnsi="仿宋_GB2312" w:cs="仿宋_GB2312"/>
        </w:rPr>
        <w:t>“十三五”时期，是历城区发展进程中极不平凡的五年，我区坚持以习近平新时代中国特色社会主义思想为指导，深入贯彻新发展理念，加快转变发展方式、提高区域创新能力、加强生态文明建设、持续提升城市品质，实现经济运行平稳、社会安定有序，为确保“十四五”时期经济社会发展步入崭新阶段夯实根基。</w:t>
      </w:r>
    </w:p>
    <w:p>
      <w:pPr>
        <w:spacing w:line="560" w:lineRule="exact"/>
        <w:ind w:firstLine="643"/>
        <w:jc w:val="both"/>
        <w:rPr>
          <w:rFonts w:ascii="仿宋_GB2312" w:hAnsi="仿宋_GB2312" w:cs="仿宋_GB2312"/>
        </w:rPr>
      </w:pPr>
      <w:r>
        <w:rPr>
          <w:rFonts w:hint="eastAsia" w:ascii="仿宋_GB2312" w:hAnsi="仿宋_GB2312" w:cs="仿宋_GB2312"/>
          <w:b/>
          <w:bCs/>
        </w:rPr>
        <w:t>砥砺前行，综合实力迈上新台阶。</w:t>
      </w:r>
      <w:r>
        <w:rPr>
          <w:rFonts w:hint="eastAsia" w:ascii="仿宋_GB2312" w:hAnsi="仿宋_GB2312" w:cs="仿宋_GB2312"/>
        </w:rPr>
        <w:t>始终将发展作为第一要务，主动适应经济发展新常态，经济结构不断优化、综合实力持续增强。主要经济指标增幅高于全市平均水平，2020年实现地区生产总值过千亿元，经济总量实现历史性突破。一般公共预算收入年均增长10%左右，在百亿元以上规模稳定增长。社会消费品零售总额年均增长8.5%以上。固定资产投资年均增速为19.1%，总量占比全市第一。“十三五”期间，累计开工建设各类重点项目546个，完成投资3200亿元。市场主体总量达到16.2万家。多次荣获全国综合实力、投资潜力、新型城镇化、科技创新和绿色发展“五个百强区”称号。</w:t>
      </w:r>
    </w:p>
    <w:p>
      <w:pPr>
        <w:spacing w:line="560" w:lineRule="exact"/>
        <w:ind w:firstLine="643"/>
        <w:jc w:val="both"/>
        <w:rPr>
          <w:rFonts w:ascii="仿宋_GB2312" w:hAnsi="仿宋_GB2312" w:cs="仿宋_GB2312"/>
        </w:rPr>
      </w:pPr>
      <w:r>
        <w:rPr>
          <w:rFonts w:hint="eastAsia" w:ascii="仿宋_GB2312" w:hAnsi="仿宋_GB2312" w:cs="仿宋_GB2312"/>
          <w:b/>
          <w:bCs/>
        </w:rPr>
        <w:t>激流勇进，发展质量迈上新台阶。</w:t>
      </w:r>
      <w:r>
        <w:rPr>
          <w:rFonts w:hint="eastAsia" w:ascii="仿宋_GB2312" w:hAnsi="仿宋_GB2312" w:cs="仿宋_GB2312"/>
        </w:rPr>
        <w:t>不断加快新旧动能转换，加速产业迭代升级，构建现代化产业体系，三次产业由2015年的6:40.8:53.2调整为2:25:73。提高农业现代化水平，粮食生产持续稳定，累计完成土地流转7.38万亩，农业适度规模经营化率达到52%以上，重点龙头企业达到40家。累计完成东部老工业区81家企业搬迁改造，济钢生产线于2017年整体关停。新兴产业加速发展，生物医药产业规模达到百亿级。盖世、零点等物流园区龙头企业带动作用明显，中央高端物流集聚区加快建设实施，全区物流企业达2000余家，</w:t>
      </w:r>
      <w:r>
        <w:rPr>
          <w:rFonts w:hint="eastAsia" w:ascii="仿宋_GB2312" w:hAnsi="仿宋_GB2312" w:cs="仿宋_GB2312"/>
          <w:szCs w:val="32"/>
        </w:rPr>
        <w:t>5A级物流企业8家，数量均居全市首位</w:t>
      </w:r>
      <w:r>
        <w:rPr>
          <w:rFonts w:hint="eastAsia" w:ascii="仿宋_GB2312" w:hAnsi="仿宋_GB2312" w:cs="仿宋_GB2312"/>
        </w:rPr>
        <w:t>。高新技术企业数量达249家、增长1.9倍，高技术工业产值占工业总产值比重达68.8%，研发支出占生产总值比重达2.3%。推进工业企业两化融合，上云企业突破7000家，市级以上示范企业达到15家。强化人才支撑，出台人才新政“黄金十条”，实施“历城人才聚集计划”，启动企业科技特聘助理等若干人才工程。构建多样化创新平台，与山东大学成立产学研联合办公室，与诺贝尔生理学或医学奖获得者爱德华·莫索尔、山东大学脑与类脑科学研究院等机构联合成立爱德华·莫索尔诺奖工作站；现有院士工作站4家，国家火炬计划特色产业基地2个，省级以上企业研发机构46家，众创空间及孵化器25家，引进建成国家超算济南中心等重大平台。服务业载体加快建设，鑫苑鑫中心、首创奥特莱斯、聚隆广场、银座万虹广场、印象城等一批城市综合体建成使用。市级以上总部企业28家，税收亿元楼达到5座，建成省级文化产业示范基地2个，驻区金融机构428家。</w:t>
      </w:r>
    </w:p>
    <w:p>
      <w:pPr>
        <w:spacing w:line="560" w:lineRule="exact"/>
        <w:ind w:firstLine="643"/>
        <w:jc w:val="both"/>
        <w:rPr>
          <w:rFonts w:ascii="仿宋_GB2312" w:hAnsi="仿宋_GB2312" w:cs="仿宋_GB2312"/>
          <w:szCs w:val="32"/>
        </w:rPr>
      </w:pPr>
      <w:r>
        <w:rPr>
          <w:rFonts w:hint="eastAsia" w:ascii="仿宋_GB2312" w:hAnsi="仿宋_GB2312" w:cs="仿宋_GB2312"/>
          <w:b/>
          <w:bCs/>
        </w:rPr>
        <w:t>协调推进，城乡建设迈上新台阶。</w:t>
      </w:r>
      <w:r>
        <w:rPr>
          <w:rFonts w:hint="eastAsia" w:ascii="仿宋_GB2312" w:hAnsi="仿宋_GB2312" w:cs="仿宋_GB2312"/>
          <w:szCs w:val="32"/>
        </w:rPr>
        <w:t>持续推进新型城镇化建设，扎实有效加强城市规划建设管理，城乡面貌日新月异。东部新区强势崛起，洪楼老城焕发新颜，南部山区风景如画，华山片区重现“鹊华烟雨”盛景。城市发展框架快速拉开，建成区面积大幅增加，城镇化率达86.3%。累计征迁土地1626万平方米，112个村完成改造，6.3万户群众迁入新居。济南高铁“米”字型布局在历城交汇成网，新东站成为连接半岛地区与省会经济圈的“黄金枢纽”，济青高铁、中欧班列开通运行，济乐高速、济青高速等纵横交错、通达全国，轨道交通R3线建成通车，R2线竣工试运行，黄台联络线、济莱高铁、小清河复航等重点工程加快推进。新建、改扩建道路356公里，75条城乡道路完成改造提升，农村实现村村通公路、通公交。供水、供电、供气等基础配套更加完善，城市功能品质实现明显提升。推进“智慧历城”平台建设，“三位一体”电子政务管理体系和“四位一体”城市综合管理机制初步形成，智慧教育服务平台建成，数字化图书馆、档案馆、博物馆建设初显成效，公共卫生、医疗服务、基药制度和综合管理等数字平台实现互联互通。基层综合性文化服务中心实现全覆盖。</w:t>
      </w:r>
    </w:p>
    <w:p>
      <w:pPr>
        <w:spacing w:line="560" w:lineRule="exact"/>
        <w:ind w:firstLine="643"/>
        <w:jc w:val="both"/>
        <w:rPr>
          <w:rFonts w:ascii="仿宋_GB2312" w:hAnsi="仿宋_GB2312" w:cs="仿宋_GB2312"/>
        </w:rPr>
      </w:pPr>
      <w:r>
        <w:rPr>
          <w:rFonts w:hint="eastAsia" w:ascii="仿宋_GB2312" w:hAnsi="仿宋_GB2312" w:cs="仿宋_GB2312"/>
          <w:b/>
          <w:bCs/>
        </w:rPr>
        <w:t>生态优先，环境治理迈上新台阶。</w:t>
      </w:r>
      <w:r>
        <w:rPr>
          <w:rFonts w:hint="eastAsia" w:ascii="仿宋_GB2312" w:hAnsi="仿宋_GB2312" w:cs="仿宋_GB2312"/>
        </w:rPr>
        <w:t>坚持生态优先，加强环境综合整治力度，环境治理迈上新台阶。</w:t>
      </w:r>
      <w:r>
        <w:rPr>
          <w:rFonts w:hint="eastAsia" w:ascii="仿宋_GB2312" w:hAnsi="仿宋" w:cs="仿宋"/>
          <w:szCs w:val="32"/>
        </w:rPr>
        <w:t>坚决打赢蓝天碧水净土保卫战，深入实施“四减四增”三年行动，</w:t>
      </w:r>
      <w:r>
        <w:rPr>
          <w:rFonts w:hint="eastAsia" w:ascii="仿宋_GB2312" w:hAnsi="宋体" w:cs="仿宋_GB2312"/>
          <w:snapToGrid w:val="0"/>
          <w:kern w:val="0"/>
          <w:szCs w:val="32"/>
          <w:lang w:val="zh-CN"/>
        </w:rPr>
        <w:t>PM</w:t>
      </w:r>
      <w:r>
        <w:rPr>
          <w:rFonts w:ascii="仿宋_GB2312" w:hAnsi="宋体" w:cs="仿宋_GB2312"/>
          <w:snapToGrid w:val="0"/>
          <w:kern w:val="0"/>
          <w:szCs w:val="32"/>
          <w:vertAlign w:val="subscript"/>
          <w:lang w:val="zh-CN"/>
        </w:rPr>
        <w:t>10</w:t>
      </w:r>
      <w:r>
        <w:rPr>
          <w:rFonts w:hint="eastAsia" w:ascii="仿宋_GB2312" w:hAnsi="宋体" w:cs="仿宋_GB2312"/>
          <w:snapToGrid w:val="0"/>
          <w:kern w:val="0"/>
          <w:szCs w:val="32"/>
          <w:lang w:val="zh-CN"/>
        </w:rPr>
        <w:t>、PM</w:t>
      </w:r>
      <w:r>
        <w:rPr>
          <w:rFonts w:ascii="仿宋_GB2312" w:hAnsi="宋体" w:cs="仿宋_GB2312"/>
          <w:snapToGrid w:val="0"/>
          <w:kern w:val="0"/>
          <w:szCs w:val="32"/>
          <w:vertAlign w:val="subscript"/>
          <w:lang w:val="zh-CN"/>
        </w:rPr>
        <w:t>2.5</w:t>
      </w:r>
      <w:r>
        <w:rPr>
          <w:rFonts w:hint="eastAsia" w:ascii="仿宋_GB2312" w:hAnsi="黑体"/>
          <w:szCs w:val="32"/>
        </w:rPr>
        <w:t>、</w:t>
      </w:r>
      <w:r>
        <w:rPr>
          <w:rFonts w:hint="eastAsia" w:ascii="仿宋_GB2312" w:hAnsi="Times New Roman"/>
          <w:spacing w:val="6"/>
          <w:szCs w:val="32"/>
          <w:shd w:val="clear" w:color="auto" w:fill="FFFFFF"/>
        </w:rPr>
        <w:t>SO</w:t>
      </w:r>
      <w:r>
        <w:rPr>
          <w:rFonts w:hint="eastAsia" w:ascii="仿宋_GB2312" w:hAnsi="Times New Roman"/>
          <w:spacing w:val="6"/>
          <w:szCs w:val="32"/>
          <w:vertAlign w:val="subscript"/>
        </w:rPr>
        <w:t>2</w:t>
      </w:r>
      <w:r>
        <w:rPr>
          <w:rFonts w:hint="eastAsia" w:ascii="仿宋_GB2312" w:hAnsi="黑体"/>
          <w:sz w:val="36"/>
          <w:szCs w:val="32"/>
        </w:rPr>
        <w:t>、</w:t>
      </w:r>
      <w:r>
        <w:rPr>
          <w:rFonts w:hint="eastAsia" w:ascii="仿宋_GB2312" w:hAnsi="黑体"/>
          <w:szCs w:val="32"/>
        </w:rPr>
        <w:t>NO</w:t>
      </w:r>
      <w:r>
        <w:rPr>
          <w:rFonts w:hint="eastAsia" w:ascii="仿宋_GB2312" w:hAnsi="Times New Roman"/>
          <w:spacing w:val="6"/>
          <w:szCs w:val="32"/>
          <w:vertAlign w:val="subscript"/>
        </w:rPr>
        <w:t>2</w:t>
      </w:r>
      <w:r>
        <w:rPr>
          <w:rFonts w:hint="eastAsia" w:ascii="仿宋_GB2312" w:hAnsi="黑体"/>
          <w:szCs w:val="32"/>
        </w:rPr>
        <w:t>等主要指标均完成目标任务</w:t>
      </w:r>
      <w:r>
        <w:rPr>
          <w:rFonts w:hint="eastAsia" w:ascii="仿宋_GB2312" w:hAnsi="仿宋" w:cs="仿宋"/>
          <w:szCs w:val="32"/>
        </w:rPr>
        <w:t>。切实</w:t>
      </w:r>
      <w:r>
        <w:rPr>
          <w:rFonts w:hint="eastAsia" w:ascii="仿宋_GB2312" w:hAnsi="仿宋_GB2312" w:cs="仿宋_GB2312"/>
        </w:rPr>
        <w:t>落实“河长制”，实现大辛、张马等河道黑臭水体整治竣工，开展南部山区小流域治理，完成西营街道东岭角等节水灌溉工程，实施“清河行动”，完成15条河道综合治理。</w:t>
      </w:r>
      <w:r>
        <w:rPr>
          <w:rFonts w:hint="eastAsia" w:ascii="仿宋_GB2312" w:hAnsi="黑体"/>
          <w:szCs w:val="32"/>
        </w:rPr>
        <w:t>率先在全市开展建设用地土壤污染检查。推进绿色生态</w:t>
      </w:r>
      <w:r>
        <w:rPr>
          <w:rFonts w:hint="eastAsia" w:ascii="仿宋_GB2312" w:hAnsi="仿宋_GB2312" w:cs="仿宋_GB2312"/>
        </w:rPr>
        <w:t>城区建设，围子山公园建设、小清河绿化、茂岭山治理等工程推进顺利。大力发展循环经济，实施循环经济重点工程，建材行业堆场全部密闭管理。35吨以下燃煤锅炉淘汰改造任务全部完成，全区完成分户式清洁取暖气代煤、电代煤建设近5万户。取缔关停和改造提升“散乱污”企业831家，拆违拆临1400万平米，建绿透绿84万平米，建成各类公园87处，城市宜居水平稳步提升。</w:t>
      </w:r>
    </w:p>
    <w:p>
      <w:pPr>
        <w:spacing w:line="560" w:lineRule="exact"/>
        <w:ind w:firstLine="643"/>
        <w:jc w:val="both"/>
        <w:rPr>
          <w:rFonts w:ascii="仿宋_GB2312" w:hAnsi="仿宋_GB2312" w:cs="仿宋_GB2312"/>
        </w:rPr>
      </w:pPr>
      <w:r>
        <w:rPr>
          <w:rFonts w:hint="eastAsia" w:ascii="仿宋_GB2312" w:hAnsi="仿宋_GB2312" w:cs="仿宋_GB2312"/>
          <w:b/>
          <w:bCs/>
        </w:rPr>
        <w:t>高点站位，改革开放迈上新台阶。</w:t>
      </w:r>
      <w:r>
        <w:rPr>
          <w:rFonts w:hint="eastAsia" w:ascii="仿宋_GB2312" w:hAnsi="仿宋_GB2312" w:cs="仿宋_GB2312"/>
        </w:rPr>
        <w:t>不断提高站位、明确思路、突出重点，推进改革开放落地落实。</w:t>
      </w:r>
      <w:r>
        <w:rPr>
          <w:rFonts w:hint="eastAsia" w:ascii="仿宋_GB2312"/>
          <w:szCs w:val="32"/>
        </w:rPr>
        <w:t>新便民服务中心建成启用，持续深化流程再造，在全省率先</w:t>
      </w:r>
      <w:r>
        <w:rPr>
          <w:rFonts w:hint="eastAsia" w:ascii="仿宋_GB2312" w:hAnsi="仿宋" w:cs="仿宋"/>
          <w:szCs w:val="32"/>
        </w:rPr>
        <w:t>实现全领域无差别一窗受理。</w:t>
      </w:r>
      <w:r>
        <w:rPr>
          <w:rFonts w:hint="eastAsia" w:ascii="仿宋_GB2312" w:hAnsi="仿宋_GB2312" w:cs="仿宋_GB2312"/>
        </w:rPr>
        <w:t>持续深化“放管服”改革和政府服务“跨域通办”，积极承接市级管理权限，实行“一窗受理、集成办理”服务新模式，审批服务效能大幅提升，工商登记实现“多证合一”。财税体制改革持续深化，“营改增”工作全面实施，200余个单位部门预算和“三公”经费预算全部公开。纪检监察、开发区、国企改革顺利完成，事业单位改革有序推进。优化教育设施建设及学前教育管理体制机制，促进教育聚焦“主责主业”；推进招生入学制度改革，实现“零择校”“零择班”，促进教育起点公平；成立历城二中教育集团，探索“教育集团+优质学区”发展模式。加大开放协作力度，全面落实市“县域经济差别化扶持政策”，开展结对帮扶平阴，实现“区县合作共赢”；推进东西部扶贫协作工作，累计投入各类扶贫资金1.3亿元。中国（山东）自由贸易试验区历城区块（以下简称：自贸区历城区块）成为对外开放重大平台，国际内陆港加快建设，中欧班列董家货运中心正式启用，进出口总值实现年均增长20%。创新招商引资方式，组建区投资促进局，成立专业招商队伍，开创“大服务、大招商”新局面。2020年实际利用外资达21200万美元，较2016年增长1.5倍。</w:t>
      </w:r>
    </w:p>
    <w:p>
      <w:pPr>
        <w:spacing w:line="560" w:lineRule="exact"/>
        <w:ind w:firstLine="643"/>
        <w:jc w:val="both"/>
        <w:rPr>
          <w:rFonts w:ascii="仿宋_GB2312" w:hAnsi="仿宋_GB2312" w:cs="仿宋_GB2312"/>
        </w:rPr>
      </w:pPr>
      <w:r>
        <w:rPr>
          <w:rFonts w:hint="eastAsia" w:ascii="仿宋_GB2312" w:hAnsi="仿宋_GB2312" w:cs="仿宋_GB2312"/>
          <w:b/>
          <w:bCs/>
        </w:rPr>
        <w:t>强化措施，民生保障迈上新台阶。</w:t>
      </w:r>
      <w:r>
        <w:rPr>
          <w:rFonts w:hint="eastAsia" w:ascii="仿宋_GB2312" w:hAnsi="仿宋_GB2312" w:cs="仿宋_GB2312"/>
        </w:rPr>
        <w:t>高度重视民生保障，以空前力度实施各项保障措施，使发展成果更多更公平惠及人民群众。城乡居民人均可支配收入分别年均增长6.9%和7.9%。</w:t>
      </w:r>
      <w:r>
        <w:rPr>
          <w:rFonts w:hint="eastAsia" w:ascii="仿宋_GB2312" w:hAnsi="仿宋" w:cs="仿宋"/>
          <w:szCs w:val="32"/>
        </w:rPr>
        <w:t>圆满完成脱贫攻坚任务，18个贫困村全部摘帽，7439名贫困人口实现稳定脱贫，</w:t>
      </w:r>
      <w:r>
        <w:rPr>
          <w:rFonts w:hint="eastAsia" w:ascii="仿宋_GB2312" w:hAnsi="仿宋_GB2312" w:cs="仿宋_GB2312"/>
        </w:rPr>
        <w:t>医疗、就业、教育、金融等精准扶贫扎实推进，扶贫长效机制逐步建立。在全市率先推行被征地农民养老保险制度，城乡居民养老保险参保人数达23万人，全面完成省级养老服务试验区创建任务，覆盖城乡的养老服务体系进一步健全。教育基础设施均衡发展，投资50余亿元建成60所中小学、幼儿园，新增学位7.3万个；实施历城二中新校区、彩石高中建设。累计新增就业9.5</w:t>
      </w:r>
      <w:r>
        <w:rPr>
          <w:rFonts w:hint="eastAsia" w:ascii="仿宋_GB2312" w:hAnsi="仿宋" w:cs="仿宋"/>
          <w:szCs w:val="32"/>
        </w:rPr>
        <w:t>万人，城镇登记失业率控制在3</w:t>
      </w:r>
      <w:r>
        <w:rPr>
          <w:rFonts w:ascii="仿宋_GB2312" w:hAnsi="仿宋" w:cs="仿宋"/>
          <w:szCs w:val="32"/>
        </w:rPr>
        <w:t>%</w:t>
      </w:r>
      <w:r>
        <w:rPr>
          <w:rFonts w:hint="eastAsia" w:ascii="仿宋_GB2312" w:hAnsi="仿宋" w:cs="仿宋"/>
          <w:szCs w:val="32"/>
        </w:rPr>
        <w:t>以下。加强公共卫生体系建设，建成区、街道、社区“三位一体”医疗保障体系，实现基层卫生服务网络和</w:t>
      </w:r>
      <w:r>
        <w:rPr>
          <w:rFonts w:hint="eastAsia" w:ascii="仿宋_GB2312" w:hAnsi="仿宋_GB2312" w:cs="仿宋_GB2312"/>
        </w:rPr>
        <w:t>街道医保工作站全覆盖。市民中心、养老服务中心开工建设。成功创建“山东省老年人公益维权服务示范站”，在全市率先实现村（居）法律顾问全覆盖。打造形成城区“15分钟健身圈”，农村健身设施覆盖率达97%以上，连续举办两届济南环华山湖国际半程马拉松比赛。</w:t>
      </w:r>
      <w:r>
        <w:rPr>
          <w:rFonts w:hint="eastAsia" w:ascii="仿宋_GB2312" w:hAnsi="仿宋" w:cs="仿宋"/>
          <w:szCs w:val="32"/>
        </w:rPr>
        <w:t>市域社会治理、扫黑除恶专项斗争、信访维稳取得显著成效，统一战线、民族宗教、群团</w:t>
      </w:r>
      <w:r>
        <w:rPr>
          <w:rFonts w:hint="eastAsia" w:ascii="仿宋_GB2312" w:hAnsi="仿宋_GB2312" w:cs="仿宋_GB2312"/>
        </w:rPr>
        <w:t>等工作取得新成绩，妇女儿童、老龄、慈善、残疾人、史志、档案、科普等各项社会事业迈向坚实步伐，人民群众的安全感和幸福指数显著增强。</w:t>
      </w:r>
    </w:p>
    <w:p>
      <w:pPr>
        <w:spacing w:line="560" w:lineRule="exact"/>
        <w:jc w:val="both"/>
        <w:rPr>
          <w:rFonts w:ascii="仿宋_GB2312" w:hAnsi="仿宋_GB2312" w:cs="仿宋_GB2312"/>
        </w:rPr>
      </w:pPr>
      <w:r>
        <w:rPr>
          <w:rFonts w:hint="eastAsia" w:ascii="仿宋_GB2312" w:hAnsi="仿宋_GB2312" w:cs="仿宋_GB2312"/>
        </w:rPr>
        <w:t>经过全区上下不懈努力，“十三五”时期主要目标任务顺利完成，为进一步建设省会东部现代化强区奠定了坚实基础。</w:t>
      </w:r>
      <w:bookmarkStart w:id="6" w:name="_Toc17606"/>
    </w:p>
    <w:p>
      <w:pPr>
        <w:spacing w:line="240" w:lineRule="auto"/>
        <w:ind w:firstLine="0" w:firstLineChars="0"/>
        <w:jc w:val="center"/>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表1.1“十三五”主要指标完成情况汇总</w:t>
      </w:r>
    </w:p>
    <w:tbl>
      <w:tblPr>
        <w:tblStyle w:val="1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276"/>
        <w:gridCol w:w="1559"/>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539" w:type="dxa"/>
            <w:vAlign w:val="center"/>
          </w:tcPr>
          <w:p>
            <w:pPr>
              <w:widowControl/>
              <w:spacing w:line="240" w:lineRule="auto"/>
              <w:ind w:firstLine="0" w:firstLineChars="0"/>
              <w:jc w:val="center"/>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指标名称</w:t>
            </w:r>
          </w:p>
        </w:tc>
        <w:tc>
          <w:tcPr>
            <w:tcW w:w="1276" w:type="dxa"/>
            <w:vAlign w:val="center"/>
          </w:tcPr>
          <w:p>
            <w:pPr>
              <w:widowControl/>
              <w:spacing w:line="240" w:lineRule="auto"/>
              <w:ind w:firstLine="0" w:firstLineChars="0"/>
              <w:jc w:val="center"/>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单位</w:t>
            </w:r>
          </w:p>
        </w:tc>
        <w:tc>
          <w:tcPr>
            <w:tcW w:w="1559" w:type="dxa"/>
            <w:vAlign w:val="center"/>
          </w:tcPr>
          <w:p>
            <w:pPr>
              <w:widowControl/>
              <w:spacing w:line="240" w:lineRule="auto"/>
              <w:ind w:firstLine="0" w:firstLineChars="0"/>
              <w:jc w:val="center"/>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2015年</w:t>
            </w:r>
          </w:p>
        </w:tc>
        <w:tc>
          <w:tcPr>
            <w:tcW w:w="1418" w:type="dxa"/>
            <w:tcBorders>
              <w:right w:val="single" w:color="auto" w:sz="4" w:space="0"/>
            </w:tcBorders>
            <w:vAlign w:val="center"/>
          </w:tcPr>
          <w:p>
            <w:pPr>
              <w:widowControl/>
              <w:spacing w:line="240" w:lineRule="auto"/>
              <w:ind w:firstLine="0" w:firstLineChars="0"/>
              <w:jc w:val="center"/>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2020年</w:t>
            </w:r>
          </w:p>
        </w:tc>
        <w:tc>
          <w:tcPr>
            <w:tcW w:w="1984" w:type="dxa"/>
            <w:tcBorders>
              <w:left w:val="single" w:color="auto" w:sz="4" w:space="0"/>
            </w:tcBorders>
            <w:vAlign w:val="center"/>
          </w:tcPr>
          <w:p>
            <w:pPr>
              <w:widowControl/>
              <w:spacing w:line="240" w:lineRule="auto"/>
              <w:ind w:firstLine="0" w:firstLineChars="0"/>
              <w:jc w:val="center"/>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年均增速(%)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地区生产总值</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亿元</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808</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1020</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全社会固定资产投资</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亿元</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510.2</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规模以上工业增加值</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亿元</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127.8</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70</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社会消费品零售总额</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亿元</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476</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577</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一般公共预算收入</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亿元</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70</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111.3</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实际到账外资额</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万美元</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14250</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21200</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城镇居民人均可支配收入</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元</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36823</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51393</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农村居民人均可支配收入</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元</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15718</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22949</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城镇化率</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66.26</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86.3</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城镇登记失业率</w:t>
            </w:r>
          </w:p>
        </w:tc>
        <w:tc>
          <w:tcPr>
            <w:tcW w:w="1276"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w:t>
            </w:r>
          </w:p>
        </w:tc>
        <w:tc>
          <w:tcPr>
            <w:tcW w:w="1559"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2.65</w:t>
            </w:r>
          </w:p>
        </w:tc>
        <w:tc>
          <w:tcPr>
            <w:tcW w:w="1418"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1.77</w:t>
            </w:r>
          </w:p>
        </w:tc>
        <w:tc>
          <w:tcPr>
            <w:tcW w:w="1984" w:type="dxa"/>
            <w:vAlign w:val="center"/>
          </w:tcPr>
          <w:p>
            <w:pPr>
              <w:widowControl/>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w:t>
            </w:r>
          </w:p>
        </w:tc>
      </w:tr>
    </w:tbl>
    <w:p>
      <w:pPr>
        <w:spacing w:line="240" w:lineRule="auto"/>
        <w:ind w:firstLine="0" w:firstLineChars="0"/>
        <w:rPr>
          <w:rFonts w:ascii="楷体_GB2312" w:hAnsi="楷体_GB2312" w:eastAsia="楷体_GB2312" w:cs="楷体_GB2312"/>
          <w:b/>
          <w:bCs/>
          <w:sz w:val="28"/>
          <w:szCs w:val="28"/>
        </w:rPr>
      </w:pPr>
      <w:bookmarkStart w:id="7" w:name="_Toc3938"/>
      <w:bookmarkStart w:id="8" w:name="_Toc4096"/>
      <w:r>
        <w:rPr>
          <w:rFonts w:hint="eastAsia" w:ascii="楷体_GB2312" w:hAnsi="楷体_GB2312" w:eastAsia="楷体_GB2312" w:cs="楷体_GB2312"/>
          <w:b/>
          <w:bCs/>
          <w:sz w:val="28"/>
          <w:szCs w:val="28"/>
        </w:rPr>
        <w:t>备注：2015年数据为区划调整前数据。</w:t>
      </w:r>
      <w:bookmarkEnd w:id="7"/>
    </w:p>
    <w:p>
      <w:pPr>
        <w:pStyle w:val="4"/>
        <w:spacing w:line="560" w:lineRule="exact"/>
      </w:pPr>
      <w:bookmarkStart w:id="9" w:name="_Toc29894"/>
      <w:r>
        <w:rPr>
          <w:rFonts w:hint="eastAsia"/>
        </w:rPr>
        <w:t>第二节面临环境</w:t>
      </w:r>
      <w:bookmarkEnd w:id="6"/>
      <w:bookmarkEnd w:id="8"/>
      <w:bookmarkEnd w:id="9"/>
    </w:p>
    <w:p>
      <w:pPr>
        <w:spacing w:line="560" w:lineRule="exact"/>
        <w:jc w:val="both"/>
        <w:rPr>
          <w:rFonts w:ascii="仿宋_GB2312" w:hAnsi="仿宋_GB2312" w:cs="仿宋_GB2312"/>
          <w:szCs w:val="32"/>
        </w:rPr>
      </w:pPr>
      <w:r>
        <w:rPr>
          <w:rFonts w:hint="eastAsia" w:ascii="仿宋_GB2312" w:hAnsi="仿宋_GB2312" w:cs="仿宋_GB2312"/>
        </w:rPr>
        <w:t>当今世界正经历百年未有之大变局，新一轮科技革命和产业变革深入推进，和平与发展仍然是时代主题，同时，国际环境日趋复杂，新冠肺炎疫情影响广泛深远，不稳定性不确定性明显增加。我国发展仍然处于重要战略机遇期，但机遇和挑战都有新的发展变化，我国已转向高质量发展阶段，制度优势显著，治理效能提升。我省正在构建</w:t>
      </w:r>
      <w:r>
        <w:rPr>
          <w:rFonts w:hint="eastAsia" w:ascii="仿宋_GB2312" w:hAnsi="仿宋_GB2312" w:cs="仿宋_GB2312"/>
          <w:lang w:val="en-GB"/>
        </w:rPr>
        <w:t>以山东半岛城市群，济南、青岛两个中心城市，省会、胶东、鲁南三大经济圈为核心的“一群两心三圈”区域协调发展格局。</w:t>
      </w:r>
      <w:r>
        <w:rPr>
          <w:rFonts w:hint="eastAsia" w:ascii="仿宋_GB2312" w:hAnsi="仿宋_GB2312" w:cs="仿宋_GB2312"/>
        </w:rPr>
        <w:t>全市</w:t>
      </w:r>
      <w:r>
        <w:rPr>
          <w:rFonts w:hint="eastAsia" w:ascii="仿宋_GB2312" w:hAnsi="仿宋_GB2312" w:cs="仿宋_GB2312"/>
          <w:lang w:val="en-GB"/>
        </w:rPr>
        <w:t>加快实施黄河流域生态保护和高质量发展重大国家战略；引领省会经济圈一体化发展，构建优势互补、特色鲜明的联动发展格局；落实“强省会”战略，加强区域对接融合，推动建设具有全球影响力的山东半岛城市群。</w:t>
      </w:r>
      <w:r>
        <w:rPr>
          <w:rFonts w:hint="eastAsia" w:ascii="仿宋_GB2312" w:hAnsi="仿宋_GB2312" w:cs="仿宋_GB2312"/>
        </w:rPr>
        <w:t>为</w:t>
      </w:r>
      <w:r>
        <w:rPr>
          <w:rFonts w:hint="eastAsia" w:ascii="仿宋_GB2312" w:hAnsi="仿宋_GB2312" w:cs="仿宋_GB2312"/>
          <w:lang w:val="en-GB"/>
        </w:rPr>
        <w:t>坚持省市一体化推进济南加快发展，市委提出“新十字”发展</w:t>
      </w:r>
      <w:r>
        <w:rPr>
          <w:rFonts w:hint="eastAsia" w:ascii="仿宋_GB2312" w:hAnsi="仿宋_GB2312" w:cs="仿宋_GB2312"/>
        </w:rPr>
        <w:t>方针</w:t>
      </w:r>
      <w:r>
        <w:rPr>
          <w:rFonts w:hint="eastAsia" w:ascii="仿宋_GB2312" w:hAnsi="仿宋_GB2312" w:cs="仿宋_GB2312"/>
          <w:lang w:val="en-GB"/>
        </w:rPr>
        <w:t>，着力打造科创济南、智造济南、文化济南、生态济南、康养济南，使</w:t>
      </w:r>
      <w:r>
        <w:rPr>
          <w:rFonts w:hint="eastAsia" w:ascii="仿宋_GB2312" w:hAnsi="仿宋_GB2312" w:cs="仿宋_GB2312"/>
        </w:rPr>
        <w:t>济南</w:t>
      </w:r>
      <w:r>
        <w:rPr>
          <w:rFonts w:hint="eastAsia" w:ascii="仿宋_GB2312" w:hAnsi="仿宋_GB2312" w:cs="仿宋_GB2312"/>
          <w:lang w:val="en-GB"/>
        </w:rPr>
        <w:t>进入大有作为的关键期。</w:t>
      </w:r>
      <w:r>
        <w:rPr>
          <w:rFonts w:hint="eastAsia" w:ascii="仿宋_GB2312"/>
          <w:szCs w:val="32"/>
        </w:rPr>
        <w:t>作为省会中心城区，历城区拥有广阔发展的空间、优越的区位条件，</w:t>
      </w:r>
      <w:r>
        <w:rPr>
          <w:rFonts w:ascii="仿宋_GB2312" w:hAnsi="仿宋_GB2312" w:cs="仿宋_GB2312"/>
          <w:szCs w:val="32"/>
        </w:rPr>
        <w:t>“十四五”时期，</w:t>
      </w:r>
      <w:r>
        <w:rPr>
          <w:rFonts w:hint="eastAsia" w:ascii="仿宋_GB2312" w:hAnsi="仿宋_GB2312" w:cs="仿宋_GB2312"/>
          <w:szCs w:val="32"/>
        </w:rPr>
        <w:t>历城区发展迎来战略叠加机遇。</w:t>
      </w:r>
    </w:p>
    <w:p>
      <w:pPr>
        <w:spacing w:line="560" w:lineRule="exact"/>
        <w:ind w:firstLine="643"/>
        <w:jc w:val="both"/>
        <w:rPr>
          <w:rFonts w:cs="宋体"/>
        </w:rPr>
      </w:pPr>
      <w:r>
        <w:rPr>
          <w:rFonts w:hint="eastAsia" w:ascii="仿宋_GB2312" w:hAnsi="仿宋_GB2312" w:cs="仿宋_GB2312"/>
          <w:b/>
          <w:bCs/>
        </w:rPr>
        <w:t>抢抓黄河国家战略发展机遇。</w:t>
      </w:r>
      <w:r>
        <w:rPr>
          <w:rFonts w:hint="eastAsia" w:ascii="仿宋_GB2312" w:hAnsi="仿宋_GB2312" w:cs="仿宋_GB2312"/>
        </w:rPr>
        <w:t>党中央将黄河流域生态保护和高质量发展上升为重大国家战略，历城作为省会中心城区，承载着落实黄河战略的重大历史使命，也为全区发展带来前所未有的机遇。准确把握历城在黄河战略中的目标任务，坚持“拥河发展”理念，对标全市重点行动，主动作为，争取在沿黄区域要素聚集、生态保护、产业发展等方面形成更具竞争力的发展优势。</w:t>
      </w:r>
    </w:p>
    <w:p>
      <w:pPr>
        <w:spacing w:line="560" w:lineRule="exact"/>
        <w:ind w:firstLine="643"/>
        <w:jc w:val="both"/>
      </w:pPr>
      <w:r>
        <w:rPr>
          <w:rFonts w:hint="eastAsia" w:ascii="仿宋_GB2312" w:hAnsi="仿宋_GB2312" w:cs="仿宋_GB2312"/>
          <w:b/>
          <w:bCs/>
        </w:rPr>
        <w:t>紧抓省市一体化建设机遇。</w:t>
      </w:r>
      <w:r>
        <w:rPr>
          <w:rFonts w:hint="eastAsia" w:ascii="仿宋_GB2312" w:hAnsi="仿宋_GB2312" w:cs="仿宋_GB2312"/>
        </w:rPr>
        <w:t>紧紧抓住“强省会”战略机遇，主动融入省市战略布局，依托省市一体化平台，聚焦重大工程、重大平台、重点项目，全力破解制约我区经济社会长远发展的瓶颈问题，推进中医药科技园等省市一体化重要任务落地。增强工作主动性、前瞻性，对标国家和省市“十四五”期间的产业发展方向和投资重点，科学谋划一批重大项目，围绕要素保障，加大对上争取力度，力争更多事项纳入省市一体化大盘子。</w:t>
      </w:r>
    </w:p>
    <w:p>
      <w:pPr>
        <w:spacing w:line="560" w:lineRule="exact"/>
        <w:ind w:firstLine="643"/>
        <w:jc w:val="both"/>
        <w:rPr>
          <w:rFonts w:ascii="仿宋_GB2312" w:hAnsi="仿宋_GB2312" w:cs="仿宋_GB2312"/>
        </w:rPr>
      </w:pPr>
      <w:r>
        <w:rPr>
          <w:rFonts w:hint="eastAsia" w:ascii="仿宋_GB2312" w:hAnsi="仿宋_GB2312" w:cs="仿宋_GB2312"/>
          <w:b/>
          <w:bCs/>
        </w:rPr>
        <w:t>形成政策、要素预期集成优势。</w:t>
      </w:r>
      <w:r>
        <w:rPr>
          <w:rFonts w:hint="eastAsia" w:ascii="仿宋_GB2312" w:hAnsi="仿宋_GB2312" w:cs="仿宋_GB2312"/>
        </w:rPr>
        <w:t>依托我市作为山东省新旧动能转换综合试验区主引擎的战略优势地位，抢抓重大发展机遇，积极培育壮大新动能。紧抓我国签署RCPE协定和中欧贸易协定机遇，加强</w:t>
      </w:r>
      <w:r>
        <w:rPr>
          <w:rFonts w:hint="eastAsia" w:ascii="仿宋_GB2312" w:hAnsi="仿宋_GB2312" w:cs="仿宋_GB2312"/>
          <w:lang w:val="en-GB"/>
        </w:rPr>
        <w:t>共建“一带一路”，</w:t>
      </w:r>
      <w:r>
        <w:rPr>
          <w:rFonts w:hint="eastAsia" w:ascii="仿宋_GB2312" w:hAnsi="仿宋_GB2312" w:cs="仿宋_GB2312"/>
        </w:rPr>
        <w:t>在对外开放领域积极布局，主动融入中国（山东）自由贸易试验区济南片区建设，推动自贸区历城区块特色化发展。依托济南市获批商贸服务型国家物流枢纽、国家首批骨干冷链物流基地契机，积极争取国家层面政策支持，推进历城高端冷链物流、多式联运等领域发展。把握国家城乡融合发展试验区建设机遇，在建立健全城乡融合发展体制机制中以更大担当实现更大作为。围绕济南市谋划“东强、西兴、南美、北起、中优”的城市发展新格局，对标省市部署要求，提出“加速东强、示范南美、融入北起、突破中优”的发展思路，积极布局区位发展前景。</w:t>
      </w:r>
    </w:p>
    <w:p>
      <w:pPr>
        <w:spacing w:line="560" w:lineRule="exact"/>
        <w:jc w:val="both"/>
        <w:rPr>
          <w:rFonts w:ascii="仿宋_GB2312" w:hAnsi="仿宋_GB2312" w:cs="仿宋_GB2312"/>
        </w:rPr>
      </w:pPr>
      <w:r>
        <w:rPr>
          <w:rFonts w:hint="eastAsia" w:ascii="仿宋_GB2312" w:hAnsi="仿宋_GB2312" w:cs="仿宋_GB2312"/>
        </w:rPr>
        <w:t>但也要看到，我区经济社会发展仍然存在一些问题。“十三五”期间，东部老工业区搬迁改造、济钢关停钢铁产能等经济结构调整使全区工业体量剧减；以资源密集型和劳动密集型为主的传统制造业仍占主导地位，新兴产业对经济的带动能力亟待提升；基础设施建设相对薄弱，与城市的高速建设运营不相匹配，养老、教育等基础设施尚存短板、供需缺口较大；城市文化名片亟需“擦亮”，文化特色不鲜明、整体知名度较低；</w:t>
      </w:r>
      <w:r>
        <w:rPr>
          <w:rFonts w:hint="eastAsia" w:ascii="仿宋_GB2312"/>
          <w:szCs w:val="32"/>
        </w:rPr>
        <w:t>城市功能品质有待优化，民生保障能力和水平需要进一步提升等。</w:t>
      </w:r>
      <w:r>
        <w:rPr>
          <w:rFonts w:hint="eastAsia" w:ascii="仿宋_GB2312" w:hAnsi="仿宋_GB2312" w:cs="仿宋_GB2312"/>
        </w:rPr>
        <w:t>“十四五”时期，全区重塑产业生态格局、加快高质量发展的要求更为迫切，实现条件也更加优越，应</w:t>
      </w:r>
      <w:r>
        <w:rPr>
          <w:rFonts w:hint="eastAsia" w:ascii="仿宋_GB2312"/>
          <w:szCs w:val="32"/>
        </w:rPr>
        <w:t>切实找准定位、强化担当，努力在高质量发展中赢得优势、赢得主动、赢得未来。</w:t>
      </w:r>
    </w:p>
    <w:p>
      <w:pPr>
        <w:pStyle w:val="3"/>
        <w:spacing w:before="312" w:beforeLines="100" w:line="560" w:lineRule="exact"/>
        <w:rPr>
          <w:rFonts w:hint="default"/>
        </w:rPr>
      </w:pPr>
      <w:bookmarkStart w:id="10" w:name="_Toc21624"/>
      <w:bookmarkStart w:id="11" w:name="_Toc31699"/>
      <w:bookmarkStart w:id="12" w:name="_Toc10856"/>
      <w:bookmarkStart w:id="13" w:name="_Toc54427494"/>
      <w:bookmarkStart w:id="14" w:name="_Toc44068747"/>
      <w:bookmarkStart w:id="15" w:name="_Toc13290"/>
      <w:r>
        <w:t>第二章聚力建设省会东部现代化强区</w:t>
      </w:r>
      <w:bookmarkEnd w:id="10"/>
      <w:bookmarkEnd w:id="11"/>
      <w:bookmarkEnd w:id="12"/>
    </w:p>
    <w:p>
      <w:pPr>
        <w:pStyle w:val="4"/>
        <w:spacing w:line="560" w:lineRule="exact"/>
      </w:pPr>
      <w:bookmarkStart w:id="16" w:name="_Toc23032"/>
      <w:bookmarkStart w:id="17" w:name="_Toc3165"/>
      <w:bookmarkStart w:id="18" w:name="_Toc27459"/>
      <w:r>
        <w:rPr>
          <w:rFonts w:hint="eastAsia"/>
        </w:rPr>
        <w:t>第一节指导思想</w:t>
      </w:r>
      <w:bookmarkEnd w:id="13"/>
      <w:bookmarkEnd w:id="16"/>
      <w:bookmarkEnd w:id="17"/>
      <w:bookmarkEnd w:id="18"/>
    </w:p>
    <w:bookmarkEnd w:id="14"/>
    <w:bookmarkEnd w:id="15"/>
    <w:p>
      <w:pPr>
        <w:spacing w:line="560" w:lineRule="exact"/>
        <w:ind w:firstLine="641" w:firstLineChars="0"/>
        <w:jc w:val="both"/>
        <w:rPr>
          <w:rFonts w:ascii="仿宋_GB2312" w:hAnsi="宋体" w:cs="宋体"/>
          <w:kern w:val="0"/>
          <w:szCs w:val="32"/>
        </w:rPr>
      </w:pPr>
      <w:bookmarkStart w:id="19" w:name="_Toc29177"/>
      <w:bookmarkStart w:id="20" w:name="_Toc5020"/>
      <w:r>
        <w:rPr>
          <w:rFonts w:hint="eastAsia" w:ascii="仿宋_GB2312" w:hAnsi="宋体" w:cs="宋体"/>
          <w:kern w:val="0"/>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认真落实习近平总书记对济南工作重要指示要求，全面贯彻党的基本理论、基本路线、基本方略，坚定不移贯彻新发展理念，坚持稳中求进工作总基调，以推动高质量发展为主题，以深化供给侧结构性改革为主线，以改革创新为根本动力，以满足人民日益增长的美好生活需要为根本目的，主动融入新发展格局，全面贯彻落实黄河流域生态保护和高质量发展重大国家战略，对标全市建设“五个中心”远景目标、“新十字”发展方针和打造“五个济南”目标任务，以先锋历城为引领，以平安历城为保障，全面打造科创历城、智造历城、文化历城、品质历城，为全市打造国内大循环战略节点、双循环战略枢纽发挥重要作用，为济南建设新时代现代化强省会作出历城贡献。</w:t>
      </w:r>
    </w:p>
    <w:p>
      <w:pPr>
        <w:pStyle w:val="4"/>
        <w:spacing w:line="560" w:lineRule="exact"/>
      </w:pPr>
      <w:bookmarkStart w:id="21" w:name="_Toc15724"/>
      <w:r>
        <w:rPr>
          <w:rFonts w:hint="eastAsia"/>
        </w:rPr>
        <w:t>第二节基本原则</w:t>
      </w:r>
      <w:bookmarkEnd w:id="19"/>
      <w:bookmarkEnd w:id="20"/>
      <w:bookmarkEnd w:id="21"/>
    </w:p>
    <w:p>
      <w:pPr>
        <w:spacing w:line="560" w:lineRule="exact"/>
        <w:ind w:firstLine="643"/>
        <w:jc w:val="both"/>
        <w:rPr>
          <w:rFonts w:ascii="仿宋_GB2312"/>
          <w:szCs w:val="32"/>
        </w:rPr>
      </w:pPr>
      <w:bookmarkStart w:id="22" w:name="_Toc17716"/>
      <w:r>
        <w:rPr>
          <w:rFonts w:hint="eastAsia" w:ascii="仿宋_GB2312"/>
          <w:b/>
          <w:bCs/>
          <w:szCs w:val="32"/>
        </w:rPr>
        <w:t>——必须坚持党的全面领导。</w:t>
      </w:r>
      <w:r>
        <w:rPr>
          <w:rFonts w:hint="eastAsia" w:ascii="仿宋_GB2312"/>
          <w:szCs w:val="32"/>
        </w:rPr>
        <w:t>旗帜鲜明讲政治，增强“四个意识”、坚定“四个自信”、坚决做到“两个维护”，坚持和完善党领导经济社会发展的体制机制，更好发挥党总揽全局、协调各方的领导核心作用，坚持把方向、定政策、促落实，</w:t>
      </w:r>
      <w:r>
        <w:rPr>
          <w:rFonts w:hint="eastAsia" w:ascii="仿宋_GB2312" w:hAnsi="仿宋_GB2312" w:cs="仿宋_GB2312"/>
          <w:szCs w:val="32"/>
        </w:rPr>
        <w:t>为实现高质量发展和可持续发展提供根本保证。</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——必须坚持以人民为中心。</w:t>
      </w:r>
      <w:r>
        <w:rPr>
          <w:rFonts w:hint="eastAsia" w:ascii="仿宋_GB2312" w:hAnsiTheme="minorHAnsi" w:cstheme="minorBidi"/>
          <w:szCs w:val="32"/>
        </w:rPr>
        <w:t>坚持人民主体地位，始终做到发展为了人民、发展依靠人民、发展成果由人民共享，推进基本公共服务优质均等，做好普惠性、基础性、兜底性民生保障，不断增进民生福祉，使改革发展成果更多更公平惠及人民群众。</w:t>
      </w:r>
    </w:p>
    <w:p>
      <w:pPr>
        <w:spacing w:line="560" w:lineRule="exact"/>
        <w:ind w:firstLine="643"/>
        <w:jc w:val="both"/>
        <w:rPr>
          <w:rFonts w:ascii="仿宋_GB2312" w:hAnsiTheme="minorHAnsi" w:cstheme="minorBidi"/>
          <w:b/>
          <w:bCs/>
          <w:szCs w:val="32"/>
        </w:rPr>
      </w:pPr>
      <w:bookmarkStart w:id="23" w:name="_Hlk59050123"/>
      <w:r>
        <w:rPr>
          <w:rFonts w:hint="eastAsia" w:ascii="仿宋_GB2312" w:hAnsiTheme="minorHAnsi" w:cstheme="minorBidi"/>
          <w:b/>
          <w:bCs/>
          <w:szCs w:val="32"/>
        </w:rPr>
        <w:t>——必须</w:t>
      </w:r>
      <w:bookmarkEnd w:id="23"/>
      <w:r>
        <w:rPr>
          <w:rFonts w:hint="eastAsia" w:ascii="仿宋_GB2312" w:hAnsiTheme="minorHAnsi" w:cstheme="minorBidi"/>
          <w:b/>
          <w:bCs/>
          <w:szCs w:val="32"/>
        </w:rPr>
        <w:t>贯彻新发展理念。</w:t>
      </w:r>
      <w:r>
        <w:rPr>
          <w:rFonts w:hint="eastAsia" w:ascii="仿宋_GB2312" w:hAnsiTheme="minorHAnsi" w:cstheme="minorBidi"/>
          <w:szCs w:val="32"/>
        </w:rPr>
        <w:t>将创新、协调、绿色、开放、共享的新发展理念贯穿到发展的全过程、各领域，深化供给侧结构性改革，适应需求侧变化，加速新旧动能转换，统筹推进补齐短板和锻造长板，推动质量变革、效率变革、动力变革，实现经济社会高质量发展。</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——必须融入新发展格局。</w:t>
      </w:r>
      <w:r>
        <w:rPr>
          <w:rFonts w:hint="eastAsia" w:ascii="仿宋_GB2312" w:hAnsiTheme="minorHAnsi" w:cstheme="minorBidi"/>
          <w:szCs w:val="32"/>
        </w:rPr>
        <w:t>围绕扩大内需，强化创新驱动、高质量供给，引领和创造新需求，大力促进消费升级，积极扩大有效投资。配合好国家综合交通枢纽建设行动，深度融入“一带一路”建设，构筑未来发展战略优势。</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——必须深化改革开放。</w:t>
      </w:r>
      <w:r>
        <w:rPr>
          <w:rFonts w:hint="eastAsia" w:ascii="仿宋_GB2312" w:hAnsiTheme="minorHAnsi" w:cstheme="minorBidi"/>
          <w:szCs w:val="32"/>
        </w:rPr>
        <w:t>加快推进以市场化改革为核心的全面改革和以制度型开放为引领的全面开放，深度融入黄河国家战略，加快推进自贸区建设，破除体制机制障碍、提高资源配置效率，进一步释放发展动力活力。</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——必须强化系统观念。</w:t>
      </w:r>
      <w:r>
        <w:rPr>
          <w:rFonts w:hint="eastAsia" w:ascii="仿宋_GB2312" w:hAnsiTheme="minorHAnsi" w:cstheme="minorBidi"/>
          <w:szCs w:val="32"/>
        </w:rPr>
        <w:t>加强前瞻性思考、全局性谋划、整体性推进，统筹空间、规模和产业结构，坚持产城融合、城乡一体，强弱项、补短板，注重防范化解重大风险挑战，增强发展的整体性和协同性。</w:t>
      </w:r>
    </w:p>
    <w:p>
      <w:pPr>
        <w:pStyle w:val="4"/>
        <w:spacing w:line="560" w:lineRule="exact"/>
      </w:pPr>
      <w:bookmarkStart w:id="24" w:name="_Toc18168"/>
      <w:bookmarkStart w:id="25" w:name="_Toc23255"/>
      <w:r>
        <w:rPr>
          <w:rFonts w:hint="eastAsia"/>
        </w:rPr>
        <w:t>第三节发展目标</w:t>
      </w:r>
      <w:bookmarkEnd w:id="22"/>
      <w:bookmarkEnd w:id="24"/>
      <w:bookmarkEnd w:id="25"/>
    </w:p>
    <w:p>
      <w:pPr>
        <w:spacing w:line="560" w:lineRule="exact"/>
        <w:ind w:firstLine="643"/>
        <w:jc w:val="both"/>
        <w:rPr>
          <w:rFonts w:ascii="仿宋_GB2312" w:hAnsi="仿宋_GB2312" w:cs="仿宋_GB2312"/>
          <w:b/>
          <w:bCs/>
        </w:rPr>
      </w:pPr>
      <w:r>
        <w:rPr>
          <w:rFonts w:hint="eastAsia" w:ascii="仿宋_GB2312" w:hAnsi="仿宋_GB2312" w:cs="仿宋_GB2312"/>
          <w:b/>
          <w:bCs/>
        </w:rPr>
        <w:t>一、2025年发展目标</w:t>
      </w:r>
    </w:p>
    <w:p>
      <w:pPr>
        <w:spacing w:line="560" w:lineRule="exact"/>
        <w:jc w:val="both"/>
        <w:rPr>
          <w:rFonts w:ascii="仿宋_GB2312" w:hAnsi="仿宋_GB2312" w:cs="仿宋_GB2312"/>
        </w:rPr>
      </w:pPr>
      <w:r>
        <w:rPr>
          <w:rFonts w:hint="eastAsia" w:ascii="仿宋_GB2312" w:hAnsi="仿宋_GB2312" w:cs="仿宋_GB2312"/>
        </w:rPr>
        <w:t>“十四五”时期，结合全区发展实际，到2025年，基本建成科创历城、智造历城、文化历城、品质历城，</w:t>
      </w:r>
      <w:r>
        <w:rPr>
          <w:rFonts w:hint="eastAsia" w:ascii="仿宋_GB2312" w:hAnsi="仿宋_GB2312" w:cs="仿宋_GB2312"/>
          <w:szCs w:val="32"/>
        </w:rPr>
        <w:t>省会东部现代化强区建设取得突破性进展</w:t>
      </w:r>
      <w:r>
        <w:rPr>
          <w:rFonts w:hint="eastAsia" w:ascii="仿宋_GB2312" w:hAnsi="仿宋_GB2312" w:cs="仿宋_GB2312"/>
        </w:rPr>
        <w:t>。</w:t>
      </w:r>
    </w:p>
    <w:p>
      <w:pPr>
        <w:spacing w:line="560" w:lineRule="exact"/>
        <w:ind w:firstLine="643"/>
        <w:jc w:val="both"/>
        <w:rPr>
          <w:rFonts w:ascii="仿宋_GB2312" w:hAnsi="仿宋_GB2312" w:cs="仿宋_GB2312"/>
        </w:rPr>
      </w:pPr>
      <w:r>
        <w:rPr>
          <w:rFonts w:hint="eastAsia" w:ascii="仿宋_GB2312" w:hAnsi="仿宋_GB2312" w:cs="仿宋_GB2312"/>
          <w:b/>
          <w:bCs/>
          <w:szCs w:val="32"/>
        </w:rPr>
        <w:t>综合实力实现新提升。</w:t>
      </w:r>
      <w:r>
        <w:rPr>
          <w:rFonts w:hint="eastAsia" w:ascii="仿宋_GB2312" w:hAnsi="仿宋_GB2312" w:cs="仿宋_GB2312"/>
        </w:rPr>
        <w:t>经济总量持续做大，经济和人口承载能力显著增强，实现地区生产总值年均增长8%左右，常住人口合理增长，一般公共预算收入年均增长8%左右，规模以上工业增加值年均增速9%，固定资产投资年均增长12%左右，打造“东强科创智造城、南美生态保护区、北起拥河示范带、中优城市会客厅”。</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发展质量实现新提升。</w:t>
      </w:r>
      <w:r>
        <w:rPr>
          <w:rFonts w:hint="eastAsia" w:ascii="仿宋_GB2312" w:hAnsiTheme="minorHAnsi" w:cstheme="minorBidi"/>
          <w:szCs w:val="32"/>
        </w:rPr>
        <w:t>坚持高端高质高效，深入实施“千企千亿”和“企业倍增”计划，进一步建链、补链、强链、延链，推动产业结构更加优化，产业布局更加合理，发展质量显著提升，现代服务业增加值占GDP的比重达到45%。战略性新兴产业进一步壮大，“四新”经济成为重要支柱，占GDP比重高于全市平均水平，</w:t>
      </w:r>
      <w:r>
        <w:rPr>
          <w:rFonts w:hint="eastAsia" w:ascii="仿宋_GB2312" w:hAnsi="仿宋"/>
          <w:szCs w:val="32"/>
        </w:rPr>
        <w:t>实现科技、金融、人才、产业协同发展，</w:t>
      </w:r>
      <w:r>
        <w:rPr>
          <w:rFonts w:hint="eastAsia" w:ascii="仿宋_GB2312" w:hAnsiTheme="minorHAnsi" w:cstheme="minorBidi"/>
          <w:szCs w:val="32"/>
        </w:rPr>
        <w:t>基本建成以生物医药、智能制造、数字经济、高端装备、物流贸易、总部经济为支撑的现代化产业体系。</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改革创新实现新提升。</w:t>
      </w:r>
      <w:r>
        <w:rPr>
          <w:rFonts w:hint="eastAsia" w:ascii="仿宋_GB2312" w:hAnsiTheme="minorHAnsi" w:cstheme="minorBidi"/>
          <w:szCs w:val="32"/>
        </w:rPr>
        <w:t>让改革成为发展的第一动力，重点领域和关键环节改革取得突破性进展，营商环境持续优化，要素市场化配置更加高效，公平竞争制度更加完善，高标准市场体系基本建成，发展主体更具活力，自主创新能力显著提升。</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对外开放实现新提升。</w:t>
      </w:r>
      <w:r>
        <w:rPr>
          <w:rFonts w:hint="eastAsia" w:ascii="仿宋_GB2312" w:hAnsiTheme="minorHAnsi" w:cstheme="minorBidi"/>
          <w:szCs w:val="32"/>
        </w:rPr>
        <w:t>国际内陆港、自贸区等开放平台加快建设，开放型产业体系加速构建，外贸外资发展质量不断提升，与RCEP成员国企业合作交流逐步加强，开放比较优势更加凸显，依托“陆水空铁”交通优势，建成高端要素聚集地，打造黄河流域对外开放门户节点。</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城市品质实现新提升。</w:t>
      </w:r>
      <w:r>
        <w:rPr>
          <w:rFonts w:hint="eastAsia" w:ascii="仿宋_GB2312" w:hAnsiTheme="minorHAnsi" w:cstheme="minorBidi"/>
          <w:szCs w:val="32"/>
        </w:rPr>
        <w:t>加快城市更新，新型城镇化建设取得显著成效，城区布局更加合理，城市功能更加完善，推进实施“千园之城”建设，绿化美化和智慧化管理水平持续提升，特色风貌更加彰显，生态环境持续改善，城市生活品质、环境品质、人文品质不断提高，区域吸引力显著增强。</w:t>
      </w:r>
    </w:p>
    <w:p>
      <w:pPr>
        <w:spacing w:line="560" w:lineRule="exact"/>
        <w:ind w:firstLine="643"/>
        <w:jc w:val="both"/>
        <w:rPr>
          <w:rFonts w:ascii="仿宋_GB2312" w:hAnsiTheme="minorHAnsi" w:cstheme="minorBidi"/>
          <w:szCs w:val="32"/>
        </w:rPr>
      </w:pPr>
      <w:r>
        <w:rPr>
          <w:rFonts w:hint="eastAsia" w:ascii="仿宋_GB2312" w:hAnsiTheme="minorHAnsi" w:cstheme="minorBidi"/>
          <w:b/>
          <w:bCs/>
          <w:szCs w:val="32"/>
        </w:rPr>
        <w:t>治理效能实现新提升。</w:t>
      </w:r>
      <w:r>
        <w:rPr>
          <w:rFonts w:hint="eastAsia" w:ascii="仿宋_GB2312" w:hAnsiTheme="minorHAnsi" w:cstheme="minorBidi"/>
          <w:szCs w:val="32"/>
        </w:rPr>
        <w:t>热线、舆情、网格、信访“四线并举”的市域社会治理体系基本建成，平安历城建设深入推进，法治体系和社会信用体系更加完善，公共安全保障水平全面提升，应急保障能力显著增强，广泛多层制度化协商民主深入推进。</w:t>
      </w:r>
    </w:p>
    <w:p>
      <w:pPr>
        <w:spacing w:line="560" w:lineRule="exact"/>
        <w:ind w:firstLine="643"/>
        <w:jc w:val="both"/>
        <w:rPr>
          <w:rFonts w:ascii="仿宋_GB2312" w:hAnsi="仿宋_GB2312" w:cs="仿宋_GB2312"/>
        </w:rPr>
      </w:pPr>
      <w:r>
        <w:rPr>
          <w:rFonts w:hint="eastAsia" w:ascii="仿宋_GB2312" w:hAnsi="仿宋_GB2312" w:cs="仿宋_GB2312"/>
          <w:b/>
          <w:bCs/>
        </w:rPr>
        <w:t>民生保障实现新提升。</w:t>
      </w:r>
      <w:r>
        <w:rPr>
          <w:rFonts w:hint="eastAsia" w:ascii="仿宋_GB2312" w:hAnsi="仿宋_GB2312" w:cs="仿宋_GB2312"/>
        </w:rPr>
        <w:t>充分实现重点群体就业保障，居民收入增长和经济增长基本同步，居民收入结构更趋合理，实现基本公共服务均等化、普惠化、便捷化，群众幸福感、满意度进一步增强，不断满足人民群众对美好生活的向往。</w:t>
      </w:r>
      <w:bookmarkStart w:id="26" w:name="_Toc11223"/>
    </w:p>
    <w:p>
      <w:pPr>
        <w:spacing w:line="560" w:lineRule="exact"/>
        <w:ind w:firstLine="643"/>
        <w:jc w:val="both"/>
        <w:rPr>
          <w:rFonts w:ascii="仿宋_GB2312" w:hAnsi="仿宋_GB2312" w:cs="仿宋_GB2312"/>
          <w:b/>
          <w:bCs/>
        </w:rPr>
      </w:pPr>
      <w:r>
        <w:rPr>
          <w:rFonts w:hint="eastAsia" w:ascii="仿宋_GB2312" w:hAnsi="仿宋_GB2312" w:cs="仿宋_GB2312"/>
          <w:b/>
          <w:bCs/>
        </w:rPr>
        <w:t>二、重点突破方向</w:t>
      </w:r>
    </w:p>
    <w:p>
      <w:pPr>
        <w:spacing w:line="560" w:lineRule="exact"/>
        <w:jc w:val="both"/>
        <w:rPr>
          <w:rFonts w:ascii="仿宋_GB2312" w:hAnsi="仿宋_GB2312" w:cs="仿宋_GB2312"/>
        </w:rPr>
      </w:pPr>
      <w:r>
        <w:rPr>
          <w:rFonts w:hint="eastAsia" w:ascii="仿宋_GB2312" w:hAnsi="仿宋_GB2312" w:cs="仿宋_GB2312"/>
        </w:rPr>
        <w:t>紧紧围绕发展目标，切实找准关键点、切入点、发力点，以重点领域突破带动整体水平跨越提升。</w:t>
      </w:r>
    </w:p>
    <w:p>
      <w:pPr>
        <w:spacing w:line="560" w:lineRule="exact"/>
        <w:ind w:firstLine="643"/>
        <w:jc w:val="both"/>
        <w:rPr>
          <w:rFonts w:ascii="仿宋_GB2312" w:hAnsi="仿宋_GB2312" w:cs="仿宋_GB2312"/>
        </w:rPr>
      </w:pPr>
      <w:r>
        <w:rPr>
          <w:rFonts w:hint="eastAsia" w:ascii="仿宋_GB2312" w:hAnsi="仿宋_GB2312" w:cs="仿宋_GB2312"/>
          <w:b/>
          <w:bCs/>
        </w:rPr>
        <w:t>——科技创新强区实现新突破。</w:t>
      </w:r>
      <w:r>
        <w:rPr>
          <w:rFonts w:hint="eastAsia" w:ascii="仿宋_GB2312" w:hAnsi="仿宋_GB2312" w:cs="仿宋_GB2312"/>
        </w:rPr>
        <w:t>高端创新要素加速汇聚，重大科技平台作用充分显现，校地合作、产教融合深入推进，人才强区建设成效显著，成果转化能力不断提高，科技创新生态更加完善。省级以上研发机构达到70家，研发经费投入占GDP比重达到2.7%以上，高成长型、高技术型企业加速集聚，高新技术企业总数突破450家，科技创新成为高质量发展的重要引擎。</w:t>
      </w:r>
    </w:p>
    <w:p>
      <w:pPr>
        <w:spacing w:line="560" w:lineRule="exact"/>
        <w:ind w:firstLine="643"/>
        <w:jc w:val="both"/>
        <w:rPr>
          <w:rFonts w:ascii="仿宋_GB2312" w:hAnsi="仿宋_GB2312" w:cs="仿宋_GB2312"/>
        </w:rPr>
      </w:pPr>
      <w:r>
        <w:rPr>
          <w:rFonts w:hint="eastAsia" w:ascii="仿宋_GB2312" w:hAnsi="仿宋_GB2312" w:cs="仿宋_GB2312"/>
          <w:b/>
          <w:bCs/>
        </w:rPr>
        <w:t>——高端智造强区实现新突破。</w:t>
      </w:r>
      <w:r>
        <w:rPr>
          <w:rFonts w:hint="eastAsia" w:ascii="仿宋_GB2312" w:hAnsi="仿宋_GB2312" w:cs="仿宋_GB2312"/>
        </w:rPr>
        <w:t>新动能主导的现代产业体系加速构建，产业基础高级化、产业链现代化水平明显提高。互联网、大数据、人工智能与实体经济深度融合，数字经济、智能制造、高端装备产业快速壮大，超算应用、空天装备、轨道交通等成为全市乃至全省产业集群核心，培育一批领军企业和知名品牌。</w:t>
      </w:r>
    </w:p>
    <w:p>
      <w:pPr>
        <w:spacing w:line="560" w:lineRule="exact"/>
        <w:ind w:firstLine="643"/>
        <w:jc w:val="both"/>
        <w:rPr>
          <w:rFonts w:ascii="仿宋_GB2312" w:hAnsi="仿宋_GB2312" w:cs="仿宋_GB2312"/>
        </w:rPr>
      </w:pPr>
      <w:r>
        <w:rPr>
          <w:rFonts w:hint="eastAsia" w:ascii="仿宋_GB2312" w:hAnsi="仿宋_GB2312" w:cs="仿宋_GB2312"/>
          <w:b/>
          <w:bCs/>
        </w:rPr>
        <w:t>——文化旅游强区实现新突破。</w:t>
      </w:r>
      <w:r>
        <w:rPr>
          <w:rFonts w:hint="eastAsia" w:ascii="仿宋_GB2312" w:hAnsi="仿宋_GB2312" w:cs="仿宋_GB2312"/>
        </w:rPr>
        <w:t>城乡公共文化服务体系更加健全，文化事业繁荣发展，文化产业加速壮大，优质文化产品供给充足，全域旅游快速发展，文化资源优势加速转变为经济发展优势，形成彰显特色、独具魅力的文化高地，实现文化、旅游产业增加值达到50亿元以上。</w:t>
      </w:r>
    </w:p>
    <w:p>
      <w:pPr>
        <w:spacing w:line="560" w:lineRule="exact"/>
        <w:ind w:firstLine="643"/>
        <w:jc w:val="both"/>
        <w:rPr>
          <w:rFonts w:ascii="仿宋_GB2312" w:hAnsi="仿宋_GB2312" w:cs="仿宋_GB2312"/>
        </w:rPr>
      </w:pPr>
      <w:r>
        <w:rPr>
          <w:rFonts w:hint="eastAsia" w:ascii="仿宋_GB2312" w:hAnsi="仿宋_GB2312" w:cs="仿宋_GB2312"/>
          <w:b/>
          <w:bCs/>
        </w:rPr>
        <w:t>——生态文明强区实现新突破。</w:t>
      </w:r>
      <w:r>
        <w:rPr>
          <w:rFonts w:hint="eastAsia" w:ascii="仿宋_GB2312" w:hAnsi="仿宋_GB2312" w:cs="仿宋_GB2312"/>
        </w:rPr>
        <w:t>国土空间开发保护格局进一步优化，黄河生态保护取得显著成效，黄河生态风貌带、国家森林康养示范基地基本建成，能源资源利用效率大幅提高，主要污染物排放总量持续削减，环境突出问题得到有效治理，广泛形成绿色发展方式和生活方式。</w:t>
      </w:r>
    </w:p>
    <w:p>
      <w:pPr>
        <w:spacing w:line="560" w:lineRule="exact"/>
        <w:ind w:firstLine="643"/>
        <w:jc w:val="both"/>
        <w:rPr>
          <w:rFonts w:ascii="仿宋_GB2312" w:hAnsi="仿宋_GB2312" w:cs="仿宋_GB2312"/>
        </w:rPr>
      </w:pPr>
      <w:r>
        <w:rPr>
          <w:rFonts w:hint="eastAsia" w:ascii="仿宋_GB2312" w:hAnsi="仿宋_GB2312" w:cs="仿宋_GB2312"/>
          <w:b/>
          <w:bCs/>
        </w:rPr>
        <w:t>——公共服务强区实现新突破。</w:t>
      </w:r>
      <w:r>
        <w:rPr>
          <w:rFonts w:hint="eastAsia" w:ascii="仿宋_GB2312" w:hAnsi="仿宋_GB2312" w:cs="仿宋_GB2312"/>
        </w:rPr>
        <w:t>新型基础设施建设加快推进，城际铁路、轨道交通等重大交通设施不断完善，区域互联互通水平显著提升，教育、医疗、养老等公共服务供给更加优质均衡，多层次社会保障体系更加健全，多元化高端消费需求得到进一步满足，打造品质服务好、城市功能完善的宜居城区。</w:t>
      </w:r>
    </w:p>
    <w:p>
      <w:pPr>
        <w:spacing w:line="560" w:lineRule="exact"/>
        <w:ind w:firstLine="643"/>
        <w:jc w:val="both"/>
        <w:rPr>
          <w:rFonts w:ascii="仿宋_GB2312" w:hAnsi="仿宋_GB2312" w:cs="仿宋_GB2312"/>
        </w:rPr>
      </w:pPr>
      <w:r>
        <w:rPr>
          <w:rFonts w:hint="eastAsia" w:ascii="仿宋_GB2312" w:hAnsi="仿宋_GB2312" w:cs="仿宋_GB2312"/>
          <w:b/>
          <w:bCs/>
        </w:rPr>
        <w:t>——数字赋能强区实现新突破。</w:t>
      </w:r>
      <w:r>
        <w:rPr>
          <w:rFonts w:hint="eastAsia" w:ascii="仿宋_GB2312" w:hAnsi="仿宋_GB2312" w:cs="仿宋_GB2312"/>
        </w:rPr>
        <w:t>知识型服务业取得先发优势，超级算力支撑作用更加突出，数据储备和应用的空间资源优势充分发挥，国家级行业大数据加快汇聚，以数据为核心要素的数字经济加速构建，打造高端数字产业集群。搭建工业互联网、人工智能等智慧公共服务平台，5G网络建设和共建共享深入推进，数字化与产业链供应链深度融合。</w:t>
      </w:r>
    </w:p>
    <w:p>
      <w:pPr>
        <w:spacing w:line="560" w:lineRule="exact"/>
        <w:ind w:firstLine="643"/>
        <w:jc w:val="both"/>
        <w:rPr>
          <w:rFonts w:ascii="仿宋_GB2312" w:hAnsi="仿宋_GB2312" w:cs="仿宋_GB2312"/>
        </w:rPr>
      </w:pPr>
      <w:r>
        <w:rPr>
          <w:rFonts w:hint="eastAsia" w:ascii="仿宋_GB2312" w:hAnsi="仿宋_GB2312" w:cs="仿宋_GB2312"/>
          <w:b/>
          <w:bCs/>
        </w:rPr>
        <w:t>——民营经济强区实现新突破。</w:t>
      </w:r>
      <w:r>
        <w:rPr>
          <w:rFonts w:hint="eastAsia" w:ascii="仿宋_GB2312" w:hAnsi="仿宋_GB2312" w:cs="仿宋_GB2312"/>
        </w:rPr>
        <w:t>惠企政策对接落地顺畅高效，民营企业参与市场公平竞争的各类障碍加快破除，法治化市场体系建设不断健全，企业制度性成本大幅降低。服务企业机制常态长效，“亲商沙龙”作用更加突出，政企交流渠道进一步拓宽，民营经济规模不断壮大。</w:t>
      </w:r>
    </w:p>
    <w:p>
      <w:pPr>
        <w:spacing w:line="560" w:lineRule="exact"/>
        <w:ind w:firstLine="643"/>
        <w:jc w:val="both"/>
        <w:rPr>
          <w:rFonts w:ascii="仿宋_GB2312" w:hAnsi="仿宋_GB2312" w:cs="仿宋_GB2312"/>
        </w:rPr>
      </w:pPr>
      <w:r>
        <w:rPr>
          <w:rFonts w:hint="eastAsia" w:ascii="仿宋_GB2312" w:hAnsi="仿宋_GB2312" w:cs="仿宋_GB2312"/>
          <w:b/>
          <w:bCs/>
        </w:rPr>
        <w:t>——外向型经济强区实现新突破。</w:t>
      </w:r>
      <w:r>
        <w:rPr>
          <w:rFonts w:hint="eastAsia" w:ascii="仿宋_GB2312" w:hAnsi="仿宋_GB2312" w:cs="仿宋_GB2312"/>
        </w:rPr>
        <w:t>自贸试验区制度创新溢出效应进一步释放，对外贸易新模式新业态加速培育，开放型产业体系加快构建，对外贸易新优势显著增强，利用外资规模质量明显提升。打造高能级对外开放平台，形成一批具有较高知名度和竞争力的进出口品牌,对外开放的质量效益、综合竞争优势和对全市的贡献度实现进一步提高。</w:t>
      </w:r>
    </w:p>
    <w:p>
      <w:pPr>
        <w:spacing w:line="560" w:lineRule="exact"/>
        <w:ind w:firstLine="643"/>
        <w:jc w:val="both"/>
        <w:rPr>
          <w:rFonts w:ascii="仿宋_GB2312" w:hAnsi="仿宋_GB2312" w:cs="仿宋_GB2312"/>
        </w:rPr>
      </w:pPr>
      <w:r>
        <w:rPr>
          <w:rFonts w:hint="eastAsia" w:ascii="仿宋_GB2312" w:hAnsi="仿宋_GB2312" w:cs="仿宋_GB2312"/>
          <w:b/>
          <w:bCs/>
        </w:rPr>
        <w:t>——乡村振兴强区实现新突破。</w:t>
      </w:r>
      <w:r>
        <w:rPr>
          <w:rFonts w:hint="eastAsia" w:ascii="仿宋_GB2312" w:hAnsi="仿宋_GB2312" w:cs="仿宋_GB2312"/>
        </w:rPr>
        <w:t>全面脱贫与乡村振兴有效衔接，产业、人才、文化、生态和组织振兴有序推进，农村集体经济进一步做强，农民收入持续增长，现代特色农业不断壮大，国家城乡融合发展试验区建设取得显著成效，在全市打造乡村振兴齐鲁样板中走在前列。</w:t>
      </w:r>
    </w:p>
    <w:p>
      <w:pPr>
        <w:spacing w:line="560" w:lineRule="exact"/>
        <w:ind w:firstLine="643"/>
        <w:rPr>
          <w:rFonts w:ascii="仿宋_GB2312" w:hAnsi="仿宋_GB2312" w:cs="仿宋_GB2312"/>
          <w:b/>
          <w:bCs/>
        </w:rPr>
      </w:pPr>
      <w:r>
        <w:rPr>
          <w:rFonts w:hint="eastAsia" w:ascii="仿宋_GB2312" w:hAnsi="仿宋_GB2312" w:cs="仿宋_GB2312"/>
          <w:b/>
          <w:bCs/>
        </w:rPr>
        <w:t>三、2035年远景目标</w:t>
      </w:r>
      <w:bookmarkEnd w:id="26"/>
    </w:p>
    <w:p>
      <w:pPr>
        <w:spacing w:line="560" w:lineRule="exact"/>
        <w:jc w:val="both"/>
        <w:rPr>
          <w:rFonts w:ascii="仿宋_GB2312" w:hAnsi="仿宋_GB2312" w:cs="仿宋_GB2312"/>
        </w:rPr>
      </w:pPr>
      <w:r>
        <w:rPr>
          <w:rFonts w:hint="eastAsia" w:ascii="仿宋_GB2312" w:hAnsi="仿宋_GB2312" w:cs="仿宋_GB2312"/>
        </w:rPr>
        <w:t>在“十四五”基本建成科创历城、智造历城、文化历城、品质历城的基础上，再奋斗十年，对标全市建设区域经济中心、科创中心、金融中心、贸易中心、文化中心，努力打造省会东部科创高地、智造强区、文化基地、开放节点、品质新城，建成与“大强美富通”现代化国际大都市相匹配的省会东部现代化强区。区域综合实力和辐射带动能力大幅跃升，经济总量和人均收入再上新台阶，科技创新取得新突破，现代化经济体系基本建成，城乡深度融合发展，基本实现新型工业化、信息化、城镇化、农业现代化。对外贸易质量明显提升，对外开放程度进一步深化，知名度和影响力不断扩大。治理体系和治理能力现代化基本实现，建成更高水平的法治政府和法治社会，形成市场化、法治化营商环境。社会事业全面进步，教育、养老、医疗等民生保障能力进一步提升，公共服务体系更加优质均衡，城市功能品质持续改善，生态环境质量进一步好转，文化软实力显著增强，民生福祉从普惠型向品质型转变。展望未来，一座宜业宜居、宜乐宜游的省会东部现代化强区快速崛起，在建设“大强美富通”现代化国际大都市中走在前列。</w:t>
      </w:r>
    </w:p>
    <w:p>
      <w:pPr>
        <w:spacing w:line="240" w:lineRule="auto"/>
        <w:ind w:firstLine="0" w:firstLineChars="0"/>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表2.1 “十四五”时期经济社会发展主要目标</w:t>
      </w:r>
    </w:p>
    <w:tbl>
      <w:tblPr>
        <w:tblStyle w:val="1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1134"/>
        <w:gridCol w:w="1199"/>
        <w:gridCol w:w="206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序号</w:t>
            </w:r>
          </w:p>
        </w:tc>
        <w:tc>
          <w:tcPr>
            <w:tcW w:w="3118" w:type="dxa"/>
            <w:vAlign w:val="center"/>
          </w:tcPr>
          <w:p>
            <w:pPr>
              <w:spacing w:line="240" w:lineRule="auto"/>
              <w:ind w:firstLine="0" w:firstLineChars="0"/>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指标名称</w:t>
            </w:r>
          </w:p>
        </w:tc>
        <w:tc>
          <w:tcPr>
            <w:tcW w:w="1134" w:type="dxa"/>
            <w:vAlign w:val="center"/>
          </w:tcPr>
          <w:p>
            <w:pPr>
              <w:spacing w:line="240" w:lineRule="auto"/>
              <w:ind w:firstLine="0" w:firstLineChars="0"/>
              <w:jc w:val="center"/>
              <w:rPr>
                <w:rFonts w:ascii="楷体_GB2312" w:hAnsi="楷体_GB2312" w:eastAsia="楷体_GB2312" w:cs="楷体_GB2312"/>
                <w:b/>
                <w:sz w:val="28"/>
                <w:szCs w:val="28"/>
              </w:rPr>
            </w:pPr>
            <w:r>
              <w:rPr>
                <w:rFonts w:hint="eastAsia" w:ascii="楷体_GB2312" w:hAnsi="楷体_GB2312" w:eastAsia="楷体_GB2312" w:cs="楷体_GB2312"/>
                <w:b/>
                <w:kern w:val="0"/>
                <w:sz w:val="28"/>
                <w:szCs w:val="28"/>
              </w:rPr>
              <w:t>2020年</w:t>
            </w:r>
          </w:p>
        </w:tc>
        <w:tc>
          <w:tcPr>
            <w:tcW w:w="1199" w:type="dxa"/>
            <w:vAlign w:val="center"/>
          </w:tcPr>
          <w:p>
            <w:pPr>
              <w:spacing w:line="240" w:lineRule="auto"/>
              <w:ind w:firstLine="0" w:firstLineChars="0"/>
              <w:jc w:val="center"/>
              <w:rPr>
                <w:rFonts w:ascii="楷体_GB2312" w:hAnsi="楷体_GB2312" w:eastAsia="楷体_GB2312" w:cs="楷体_GB2312"/>
                <w:b/>
                <w:sz w:val="28"/>
                <w:szCs w:val="28"/>
              </w:rPr>
            </w:pPr>
            <w:r>
              <w:rPr>
                <w:rFonts w:hint="eastAsia" w:ascii="楷体_GB2312" w:hAnsi="楷体_GB2312" w:eastAsia="楷体_GB2312" w:cs="楷体_GB2312"/>
                <w:b/>
                <w:kern w:val="0"/>
                <w:sz w:val="28"/>
                <w:szCs w:val="28"/>
              </w:rPr>
              <w:t>2025年</w:t>
            </w:r>
          </w:p>
        </w:tc>
        <w:tc>
          <w:tcPr>
            <w:tcW w:w="2062" w:type="dxa"/>
            <w:vAlign w:val="center"/>
          </w:tcPr>
          <w:p>
            <w:pPr>
              <w:spacing w:line="240" w:lineRule="auto"/>
              <w:ind w:firstLine="0" w:firstLineChars="0"/>
              <w:jc w:val="center"/>
              <w:rPr>
                <w:rFonts w:ascii="楷体_GB2312" w:hAnsi="楷体_GB2312" w:eastAsia="楷体_GB2312" w:cs="楷体_GB2312"/>
                <w:b/>
                <w:sz w:val="28"/>
                <w:szCs w:val="28"/>
              </w:rPr>
            </w:pPr>
            <w:r>
              <w:rPr>
                <w:rFonts w:hint="eastAsia" w:ascii="楷体_GB2312" w:hAnsi="楷体_GB2312" w:eastAsia="楷体_GB2312" w:cs="楷体_GB2312"/>
                <w:b/>
                <w:kern w:val="0"/>
                <w:sz w:val="28"/>
                <w:szCs w:val="28"/>
              </w:rPr>
              <w:t>年均增长（%）</w:t>
            </w:r>
          </w:p>
        </w:tc>
        <w:tc>
          <w:tcPr>
            <w:tcW w:w="1417" w:type="dxa"/>
            <w:vAlign w:val="center"/>
          </w:tcPr>
          <w:p>
            <w:pPr>
              <w:spacing w:line="240" w:lineRule="auto"/>
              <w:ind w:firstLine="0" w:firstLineChars="0"/>
              <w:jc w:val="center"/>
              <w:rPr>
                <w:rFonts w:ascii="楷体_GB2312" w:hAnsi="楷体_GB2312" w:eastAsia="楷体_GB2312" w:cs="楷体_GB2312"/>
                <w:b/>
                <w:sz w:val="28"/>
                <w:szCs w:val="28"/>
              </w:rPr>
            </w:pPr>
            <w:r>
              <w:rPr>
                <w:rFonts w:hint="eastAsia" w:ascii="楷体_GB2312" w:hAnsi="楷体_GB2312" w:eastAsia="楷体_GB2312" w:cs="楷体_GB2312"/>
                <w:b/>
                <w:kern w:val="0"/>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6" w:type="dxa"/>
            <w:gridSpan w:val="6"/>
            <w:vAlign w:val="center"/>
          </w:tcPr>
          <w:p>
            <w:pPr>
              <w:spacing w:line="240" w:lineRule="auto"/>
              <w:ind w:firstLine="0" w:firstLineChars="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一、综合实力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常住人口（万人）</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过百万</w:t>
            </w:r>
          </w:p>
        </w:tc>
        <w:tc>
          <w:tcPr>
            <w:tcW w:w="3261" w:type="dxa"/>
            <w:gridSpan w:val="2"/>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保持合理增长</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2</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地区生产总值（亿元）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1020</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1700</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8</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一般公共预算收入（亿元）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111.3</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163</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8</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4</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规模以上工业增加值（亿元）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70</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108</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ascii="楷体_GB2312" w:hAnsi="楷体_GB2312" w:eastAsia="楷体_GB2312" w:cs="楷体_GB2312"/>
                <w:sz w:val="28"/>
                <w:szCs w:val="28"/>
              </w:rPr>
              <w:t>9</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5</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固定资产投资（%）</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12</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6</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社会消费品零售总额（亿元）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577</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700</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10</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6" w:type="dxa"/>
            <w:gridSpan w:val="6"/>
            <w:vAlign w:val="center"/>
          </w:tcPr>
          <w:p>
            <w:pPr>
              <w:spacing w:line="240" w:lineRule="auto"/>
              <w:ind w:firstLine="0" w:firstLineChars="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二、发展质量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7</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现代服务业增加值占GDP比重（%）</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38%</w:t>
            </w:r>
          </w:p>
        </w:tc>
        <w:tc>
          <w:tcPr>
            <w:tcW w:w="1199" w:type="dxa"/>
            <w:vAlign w:val="center"/>
          </w:tcPr>
          <w:p>
            <w:pPr>
              <w:spacing w:line="240" w:lineRule="auto"/>
              <w:ind w:firstLine="280" w:firstLineChars="10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45%</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8</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“四新”经济增加值占比（%）</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17</w:t>
            </w:r>
          </w:p>
        </w:tc>
        <w:tc>
          <w:tcPr>
            <w:tcW w:w="3261" w:type="dxa"/>
            <w:gridSpan w:val="2"/>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高于全市平均水平</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9</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税收亿元楼宇（座）</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5</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10</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10</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高新技术企业（家）</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249</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450</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16.15</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11</w:t>
            </w:r>
          </w:p>
        </w:tc>
        <w:tc>
          <w:tcPr>
            <w:tcW w:w="3118" w:type="dxa"/>
            <w:vAlign w:val="center"/>
          </w:tcPr>
          <w:p>
            <w:pPr>
              <w:spacing w:line="300" w:lineRule="exact"/>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高新技术企业产值占规上工业企业总产值比重（%）</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68.8</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73</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12</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省级以上研发机构（家）</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46</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70</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13</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bookmarkStart w:id="27" w:name="_Hlk61976175"/>
            <w:r>
              <w:rPr>
                <w:rFonts w:hint="eastAsia" w:ascii="楷体_GB2312" w:hAnsi="楷体_GB2312" w:eastAsia="楷体_GB2312" w:cs="楷体_GB2312"/>
                <w:sz w:val="28"/>
                <w:szCs w:val="28"/>
              </w:rPr>
              <w:t>全社会研发经费支出占地区生产总值比重</w:t>
            </w:r>
            <w:bookmarkEnd w:id="27"/>
            <w:r>
              <w:rPr>
                <w:rFonts w:hint="eastAsia" w:ascii="楷体_GB2312" w:hAnsi="楷体_GB2312" w:eastAsia="楷体_GB2312" w:cs="楷体_GB2312"/>
                <w:sz w:val="28"/>
                <w:szCs w:val="28"/>
              </w:rPr>
              <w:t>（%）</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2.32</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2.71</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14</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院士工作站（家）</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4</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8</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15</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众创空间及孵化器（家）</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25</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33</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6" w:type="dxa"/>
            <w:gridSpan w:val="6"/>
            <w:vAlign w:val="center"/>
          </w:tcPr>
          <w:p>
            <w:pPr>
              <w:spacing w:line="240" w:lineRule="auto"/>
              <w:ind w:firstLine="0" w:firstLineChars="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三、对外开放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16</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全区实现进出口总额（亿元）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82</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204</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20</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17</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实际利用外资    （万美元）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21200</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34200</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10</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6" w:type="dxa"/>
            <w:gridSpan w:val="6"/>
            <w:vAlign w:val="center"/>
          </w:tcPr>
          <w:p>
            <w:pPr>
              <w:spacing w:line="240" w:lineRule="auto"/>
              <w:ind w:firstLine="0" w:firstLineChars="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四、生态品质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18</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单位地区生产总值能源消耗降低（%）</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p>
        </w:tc>
        <w:tc>
          <w:tcPr>
            <w:tcW w:w="3261" w:type="dxa"/>
            <w:gridSpan w:val="2"/>
            <w:vMerge w:val="restart"/>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完成市下达指标</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19</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单位地区生产总值用水量降低（%）</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p>
        </w:tc>
        <w:tc>
          <w:tcPr>
            <w:tcW w:w="3261" w:type="dxa"/>
            <w:gridSpan w:val="2"/>
            <w:vMerge w:val="continue"/>
            <w:vAlign w:val="center"/>
          </w:tcPr>
          <w:p>
            <w:pPr>
              <w:spacing w:line="240" w:lineRule="auto"/>
              <w:ind w:firstLine="560"/>
              <w:jc w:val="center"/>
              <w:rPr>
                <w:rFonts w:ascii="楷体_GB2312" w:hAnsi="楷体_GB2312" w:eastAsia="楷体_GB2312" w:cs="楷体_GB2312"/>
                <w:sz w:val="28"/>
                <w:szCs w:val="28"/>
              </w:rPr>
            </w:pP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20</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单位地区生产总值二氧化碳排放量降低（%）</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p>
        </w:tc>
        <w:tc>
          <w:tcPr>
            <w:tcW w:w="3261" w:type="dxa"/>
            <w:gridSpan w:val="2"/>
            <w:vMerge w:val="continue"/>
            <w:vAlign w:val="center"/>
          </w:tcPr>
          <w:p>
            <w:pPr>
              <w:spacing w:line="240" w:lineRule="auto"/>
              <w:ind w:firstLine="560"/>
              <w:jc w:val="center"/>
              <w:rPr>
                <w:rFonts w:ascii="楷体_GB2312" w:hAnsi="楷体_GB2312" w:eastAsia="楷体_GB2312" w:cs="楷体_GB2312"/>
                <w:sz w:val="28"/>
                <w:szCs w:val="28"/>
              </w:rPr>
            </w:pP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21</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空气质量优良天数比率（%）</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62</w:t>
            </w:r>
          </w:p>
        </w:tc>
        <w:tc>
          <w:tcPr>
            <w:tcW w:w="3261" w:type="dxa"/>
            <w:gridSpan w:val="2"/>
            <w:vMerge w:val="continue"/>
            <w:vAlign w:val="center"/>
          </w:tcPr>
          <w:p>
            <w:pPr>
              <w:spacing w:line="240" w:lineRule="auto"/>
              <w:ind w:firstLine="560"/>
              <w:jc w:val="center"/>
              <w:rPr>
                <w:rFonts w:ascii="楷体_GB2312" w:hAnsi="楷体_GB2312" w:eastAsia="楷体_GB2312" w:cs="楷体_GB2312"/>
                <w:sz w:val="28"/>
                <w:szCs w:val="28"/>
              </w:rPr>
            </w:pP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6" w:type="dxa"/>
            <w:gridSpan w:val="6"/>
            <w:vAlign w:val="center"/>
          </w:tcPr>
          <w:p>
            <w:pPr>
              <w:spacing w:line="240" w:lineRule="auto"/>
              <w:ind w:firstLine="0" w:firstLineChars="0"/>
              <w:jc w:val="both"/>
              <w:rPr>
                <w:rFonts w:ascii="楷体_GB2312" w:hAnsi="楷体_GB2312" w:eastAsia="楷体_GB2312" w:cs="楷体_GB2312"/>
                <w:sz w:val="28"/>
                <w:szCs w:val="28"/>
                <w:highlight w:val="yellow"/>
              </w:rPr>
            </w:pPr>
            <w:r>
              <w:rPr>
                <w:rFonts w:hint="eastAsia" w:ascii="楷体_GB2312" w:hAnsi="楷体_GB2312" w:eastAsia="楷体_GB2312" w:cs="楷体_GB2312"/>
                <w:sz w:val="28"/>
                <w:szCs w:val="28"/>
              </w:rPr>
              <w:t>五、民生福祉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22</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城镇居民人均可支配收入（元）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51393</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75513</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8</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23</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农村居民人均可支配收入（元）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22949</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34507</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8.5</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24</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城镇登记失业率（%）</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1.77</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3.5以内</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25</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文化、旅游产业增加值（亿元）</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40.32</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51.5</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5</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26</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每千人口拥有执业（助理）医师数（人）</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3.8</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4.5</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27</w:t>
            </w:r>
          </w:p>
        </w:tc>
        <w:tc>
          <w:tcPr>
            <w:tcW w:w="3118"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学前教育普惠性幼儿园在园幼儿占比（%）</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85.11%</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90%</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28</w:t>
            </w:r>
          </w:p>
        </w:tc>
        <w:tc>
          <w:tcPr>
            <w:tcW w:w="3118" w:type="dxa"/>
            <w:vAlign w:val="center"/>
          </w:tcPr>
          <w:p>
            <w:pPr>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九年义务教育完成率（</w:t>
            </w:r>
            <w:r>
              <w:rPr>
                <w:rFonts w:hint="eastAsia" w:ascii="楷体_GB2312" w:hAnsi="楷体_GB2312" w:eastAsia="楷体_GB2312" w:cs="楷体_GB2312"/>
                <w:sz w:val="28"/>
                <w:szCs w:val="28"/>
              </w:rPr>
              <w:t>%</w:t>
            </w:r>
            <w:r>
              <w:rPr>
                <w:rFonts w:hint="eastAsia" w:ascii="楷体_GB2312" w:hAnsi="楷体_GB2312" w:eastAsia="楷体_GB2312" w:cs="楷体_GB2312"/>
                <w:kern w:val="0"/>
                <w:sz w:val="28"/>
                <w:szCs w:val="28"/>
              </w:rPr>
              <w:t>）</w:t>
            </w:r>
          </w:p>
        </w:tc>
        <w:tc>
          <w:tcPr>
            <w:tcW w:w="1134"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100%</w:t>
            </w:r>
          </w:p>
        </w:tc>
        <w:tc>
          <w:tcPr>
            <w:tcW w:w="119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100%</w:t>
            </w:r>
          </w:p>
        </w:tc>
        <w:tc>
          <w:tcPr>
            <w:tcW w:w="2062"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约束性</w:t>
            </w:r>
          </w:p>
        </w:tc>
      </w:tr>
    </w:tbl>
    <w:p>
      <w:r>
        <w:br w:type="page"/>
      </w:r>
    </w:p>
    <w:tbl>
      <w:tblPr>
        <w:tblStyle w:val="1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806"/>
        <w:gridCol w:w="1379"/>
        <w:gridCol w:w="329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6" w:type="dxa"/>
            <w:gridSpan w:val="5"/>
            <w:vAlign w:val="center"/>
          </w:tcPr>
          <w:p>
            <w:pPr>
              <w:spacing w:line="240" w:lineRule="auto"/>
              <w:ind w:firstLine="0" w:firstLineChars="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六、安全保障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29</w:t>
            </w:r>
          </w:p>
        </w:tc>
        <w:tc>
          <w:tcPr>
            <w:tcW w:w="2806" w:type="dxa"/>
            <w:vAlign w:val="center"/>
          </w:tcPr>
          <w:p>
            <w:pPr>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耕地保有量（万亩）</w:t>
            </w:r>
          </w:p>
        </w:tc>
        <w:tc>
          <w:tcPr>
            <w:tcW w:w="137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21.247</w:t>
            </w:r>
          </w:p>
        </w:tc>
        <w:tc>
          <w:tcPr>
            <w:tcW w:w="3299" w:type="dxa"/>
            <w:vMerge w:val="restart"/>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完成市下达任务</w:t>
            </w: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30</w:t>
            </w:r>
          </w:p>
        </w:tc>
        <w:tc>
          <w:tcPr>
            <w:tcW w:w="2806" w:type="dxa"/>
            <w:vAlign w:val="center"/>
          </w:tcPr>
          <w:p>
            <w:pPr>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粮食综合生产能力（万吨）</w:t>
            </w:r>
          </w:p>
        </w:tc>
        <w:tc>
          <w:tcPr>
            <w:tcW w:w="137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w:t>
            </w:r>
          </w:p>
        </w:tc>
        <w:tc>
          <w:tcPr>
            <w:tcW w:w="3299" w:type="dxa"/>
            <w:vMerge w:val="continue"/>
            <w:vAlign w:val="center"/>
          </w:tcPr>
          <w:p>
            <w:pPr>
              <w:spacing w:line="240" w:lineRule="auto"/>
              <w:ind w:firstLine="0" w:firstLineChars="0"/>
              <w:jc w:val="center"/>
              <w:rPr>
                <w:rFonts w:ascii="楷体_GB2312" w:hAnsi="楷体_GB2312" w:eastAsia="楷体_GB2312" w:cs="楷体_GB2312"/>
                <w:sz w:val="28"/>
                <w:szCs w:val="28"/>
              </w:rPr>
            </w:pP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31</w:t>
            </w:r>
          </w:p>
        </w:tc>
        <w:tc>
          <w:tcPr>
            <w:tcW w:w="2806" w:type="dxa"/>
            <w:vAlign w:val="center"/>
          </w:tcPr>
          <w:p>
            <w:pPr>
              <w:spacing w:line="240" w:lineRule="auto"/>
              <w:ind w:firstLine="0" w:firstLineChars="0"/>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食品安全合格率（%）</w:t>
            </w:r>
          </w:p>
        </w:tc>
        <w:tc>
          <w:tcPr>
            <w:tcW w:w="1379"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98</w:t>
            </w:r>
          </w:p>
        </w:tc>
        <w:tc>
          <w:tcPr>
            <w:tcW w:w="3299" w:type="dxa"/>
            <w:vMerge w:val="continue"/>
            <w:vAlign w:val="center"/>
          </w:tcPr>
          <w:p>
            <w:pPr>
              <w:spacing w:line="240" w:lineRule="auto"/>
              <w:ind w:firstLine="0" w:firstLineChars="0"/>
              <w:jc w:val="center"/>
              <w:rPr>
                <w:rFonts w:ascii="楷体_GB2312" w:hAnsi="楷体_GB2312" w:eastAsia="楷体_GB2312" w:cs="楷体_GB2312"/>
                <w:sz w:val="28"/>
                <w:szCs w:val="28"/>
              </w:rPr>
            </w:pPr>
          </w:p>
        </w:tc>
        <w:tc>
          <w:tcPr>
            <w:tcW w:w="1417" w:type="dxa"/>
            <w:vAlign w:val="center"/>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约束性</w:t>
            </w:r>
          </w:p>
        </w:tc>
      </w:tr>
    </w:tbl>
    <w:p>
      <w:pPr>
        <w:pStyle w:val="3"/>
        <w:spacing w:line="560" w:lineRule="exact"/>
        <w:rPr>
          <w:rFonts w:hint="default"/>
        </w:rPr>
      </w:pPr>
      <w:bookmarkStart w:id="28" w:name="_Toc8024"/>
      <w:bookmarkStart w:id="29" w:name="_Toc27841"/>
      <w:r>
        <w:t>第三章打造黄河流域创新发展示范区</w:t>
      </w:r>
      <w:bookmarkEnd w:id="28"/>
      <w:bookmarkEnd w:id="29"/>
    </w:p>
    <w:p>
      <w:pPr>
        <w:spacing w:line="560" w:lineRule="exact"/>
        <w:jc w:val="both"/>
        <w:rPr>
          <w:rFonts w:ascii="仿宋_GB2312" w:hAnsi="仿宋_GB2312" w:cs="仿宋_GB2312"/>
        </w:rPr>
      </w:pPr>
      <w:r>
        <w:rPr>
          <w:rFonts w:hint="eastAsia" w:ascii="仿宋_GB2312" w:hAnsi="仿宋_GB2312" w:cs="仿宋_GB2312"/>
        </w:rPr>
        <w:t>紧抓黄河国家战略重大机遇，坚持创新驱动、联动融合，统筹产业发展和生态治理，打造沿黄流域创新融合发展示范区。</w:t>
      </w:r>
    </w:p>
    <w:p>
      <w:pPr>
        <w:pStyle w:val="4"/>
        <w:spacing w:line="560" w:lineRule="exact"/>
      </w:pPr>
      <w:bookmarkStart w:id="30" w:name="_Toc5530"/>
      <w:bookmarkStart w:id="31" w:name="_Toc20212"/>
      <w:r>
        <w:rPr>
          <w:rFonts w:hint="eastAsia"/>
        </w:rPr>
        <w:t>第一节推进沿黄城区人文生态融合</w:t>
      </w:r>
      <w:bookmarkEnd w:id="30"/>
      <w:bookmarkEnd w:id="31"/>
    </w:p>
    <w:p>
      <w:pPr>
        <w:spacing w:line="560" w:lineRule="exact"/>
        <w:jc w:val="both"/>
        <w:rPr>
          <w:rFonts w:cstheme="minorBidi"/>
        </w:rPr>
      </w:pPr>
      <w:r>
        <w:rPr>
          <w:rFonts w:hint="eastAsia" w:cstheme="minorBidi"/>
        </w:rPr>
        <w:t>根植黄河文化，推动文化旅游深度融合，以“生态黄河”“人文黄河”建设为重心，强化人文生态政策体系创新，打造自然与人文交融的现代活力城区。</w:t>
      </w:r>
    </w:p>
    <w:p>
      <w:pPr>
        <w:spacing w:line="560" w:lineRule="exact"/>
        <w:ind w:firstLine="643"/>
        <w:jc w:val="both"/>
        <w:rPr>
          <w:rFonts w:ascii="仿宋_GB2312" w:hAnsiTheme="minorHAnsi" w:cstheme="minorBidi"/>
        </w:rPr>
      </w:pPr>
      <w:r>
        <w:rPr>
          <w:rFonts w:hint="eastAsia" w:ascii="仿宋_GB2312" w:hAnsiTheme="minorHAnsi" w:cstheme="minorBidi"/>
          <w:b/>
          <w:bCs/>
        </w:rPr>
        <w:t>实现黄河生态融入城市环境。</w:t>
      </w:r>
      <w:r>
        <w:rPr>
          <w:rFonts w:hint="eastAsia" w:ascii="仿宋_GB2312" w:hAnsiTheme="minorHAnsi" w:cstheme="minorBidi"/>
        </w:rPr>
        <w:t>着力推动“生态黄河”建设，依托沿黄流域生态环境基底，建设黄河体育主题公园，加速构建绿色生态走廊，打造黄河风貌带，形成“串点连线、联动发展”的有机生态格局。通过打造5A级国家黄河体育主题公园，积极申报以智能体育产业为特色的国家体育经济发展试验区。加速构建绿色生态走廊，强化环境污染系统治理，开展小型河湖（水库）生态修复治理工程，持续推进生态防护林建设，推动黄河沿岸生态修复和景观提升。打造独具特色的城市黄河风貌带，实施重点河段、重要节点自然化、景观化改造，建设高品质绿色观光带、花卉展示交易和会展中心，提升黄河堤防生态旅游、观光休闲和城市交通功能。推动建立节水型生产生活方式，积极创建城市节水示范引领区。</w:t>
      </w:r>
    </w:p>
    <w:p>
      <w:pPr>
        <w:spacing w:line="560" w:lineRule="exact"/>
        <w:ind w:firstLine="643"/>
        <w:jc w:val="both"/>
        <w:rPr>
          <w:rFonts w:ascii="仿宋_GB2312" w:hAnsiTheme="minorHAnsi" w:cstheme="minorBidi"/>
        </w:rPr>
      </w:pPr>
      <w:r>
        <w:rPr>
          <w:rFonts w:hint="eastAsia" w:ascii="仿宋_GB2312" w:hAnsiTheme="minorHAnsi" w:cstheme="minorBidi"/>
          <w:b/>
          <w:bCs/>
        </w:rPr>
        <w:t>实现黄河文化融入城市发展。</w:t>
      </w:r>
      <w:r>
        <w:rPr>
          <w:rFonts w:hint="eastAsia" w:ascii="仿宋_GB2312" w:hAnsiTheme="minorHAnsi" w:cstheme="minorBidi"/>
        </w:rPr>
        <w:t>着力推动“人文黄河”建设，擦亮黄河文化的历城“名片”。发挥历城历史文化、山水、农业资源优势，以打造沿黄生态文化带为抓手，建设综合性文化馆群和生态湿地公园，实现文化与旅游融合发展。高标准建设国际文化旅游小镇，谋划各类节庆活动，打造有影响力的黄河旅游目的地。做好华山片区旅游景观提升、历史文化氛围营造，结合小清河复航，挖掘运河、铁路、商埠、温泉等文化和自然资源，着力打造集中展示小清河和济南商埠文化的特色景观。以“让黄河成为造福人民的幸福河”为主线，以机制建设为保障，健全完善黄河文化保护、传承、弘扬的工作体系。</w:t>
      </w:r>
    </w:p>
    <w:p>
      <w:pPr>
        <w:pStyle w:val="4"/>
        <w:spacing w:line="560" w:lineRule="exact"/>
      </w:pPr>
      <w:bookmarkStart w:id="32" w:name="_Toc8563"/>
      <w:bookmarkStart w:id="33" w:name="_Toc2114"/>
      <w:bookmarkStart w:id="34" w:name="_Toc22879"/>
      <w:r>
        <w:rPr>
          <w:rFonts w:hint="eastAsia"/>
        </w:rPr>
        <w:t>第二节</w:t>
      </w:r>
      <w:bookmarkEnd w:id="32"/>
      <w:r>
        <w:rPr>
          <w:rFonts w:hint="eastAsia"/>
        </w:rPr>
        <w:t>激活黄河流域创新发展要素</w:t>
      </w:r>
      <w:bookmarkEnd w:id="33"/>
      <w:bookmarkEnd w:id="34"/>
    </w:p>
    <w:p>
      <w:pPr>
        <w:spacing w:line="560" w:lineRule="exact"/>
        <w:jc w:val="both"/>
        <w:rPr>
          <w:rFonts w:ascii="仿宋_GB2312" w:hAnsi="仿宋_GB2312" w:cs="仿宋_GB2312"/>
          <w:b/>
          <w:bCs/>
        </w:rPr>
      </w:pPr>
      <w:r>
        <w:rPr>
          <w:rFonts w:hint="eastAsia" w:ascii="仿宋_GB2312" w:hAnsi="仿宋_GB2312" w:cs="仿宋_GB2312"/>
        </w:rPr>
        <w:t>依托“知本黄河”“数字黄河”建设，集聚科技、智力资源，以数字化赋能推动黄河流域生态保护和高质量发展；建立专项基金为发展注入资金“活水”，以“动力黄河”建设打造沿黄领域高质量发展动力源。</w:t>
      </w:r>
    </w:p>
    <w:p>
      <w:pPr>
        <w:spacing w:line="560" w:lineRule="exact"/>
        <w:ind w:firstLine="643"/>
        <w:jc w:val="both"/>
        <w:rPr>
          <w:rFonts w:ascii="仿宋_GB2312" w:hAnsi="仿宋_GB2312" w:cs="仿宋_GB2312"/>
        </w:rPr>
      </w:pPr>
      <w:r>
        <w:rPr>
          <w:rFonts w:hint="eastAsia" w:ascii="仿宋_GB2312" w:hAnsi="仿宋_GB2312" w:cs="仿宋_GB2312"/>
          <w:b/>
          <w:bCs/>
        </w:rPr>
        <w:t>为黄河流域创新发展提供智力支撑。</w:t>
      </w:r>
      <w:r>
        <w:rPr>
          <w:rFonts w:hint="eastAsia" w:ascii="仿宋_GB2312" w:hAnsi="仿宋_GB2312" w:cs="仿宋_GB2312"/>
        </w:rPr>
        <w:t>按照“知本化、实体化、国际化”方向定位，着力推动“知本黄河”建设，引领黄河流域创新驱动发展。以研究黄河流域社会经济高质量发展为目标，联合省级以上专业机构及驻区科研院所，共建黄河高质量发展研究院。依托黄河高质量发展研究院筹建黄河国家战略研究智库，释放团体智力资源和区域协同创新优势，产出全系列全方位的智库成果，建成集咨政助企、科学研究、人才培养于一体的综合性示范基地。立足黄河流域自然禀赋、历史传承、产业基础、区位优势等要素，依托智库前瞻性解读新经济、新金融发展内涵及投资机遇，推进产融结合与价值再造。加强对核心产业、金融投资、组织发展、机制创新等方面的全方位研究，规划一批赋能山东黄河高质量发展经济带的产业项目，提供投融资一体化解决方案。</w:t>
      </w:r>
    </w:p>
    <w:p>
      <w:pPr>
        <w:spacing w:line="560" w:lineRule="exact"/>
        <w:ind w:firstLine="643"/>
        <w:jc w:val="both"/>
        <w:rPr>
          <w:rFonts w:ascii="仿宋_GB2312" w:hAnsi="仿宋_GB2312" w:cs="仿宋_GB2312"/>
        </w:rPr>
      </w:pPr>
      <w:r>
        <w:rPr>
          <w:rFonts w:hint="eastAsia" w:ascii="仿宋_GB2312" w:hAnsi="仿宋_GB2312" w:cs="仿宋_GB2312"/>
          <w:b/>
          <w:bCs/>
        </w:rPr>
        <w:t>为黄河流域创新发展注入资本动力。</w:t>
      </w:r>
      <w:r>
        <w:rPr>
          <w:rFonts w:hint="eastAsia" w:ascii="仿宋_GB2312" w:hAnsi="仿宋_GB2312" w:cs="仿宋_GB2312"/>
        </w:rPr>
        <w:t>着力推动“动力黄河”建设，为黄河流域生态保护和高质量发展注入资金“动力”，实现生态、产业、资本协同高质量发展。通过创新市场化运作模式，组建发展投资母基金，积极开展对水资源高效利用、水生态修复、水环境保护、生态农业、生态文旅等重点领域及低污染、低能耗、高附加值新兴产业投资。推行投贷联动模式，带动千亿项目投资规模，积极筹措专项资金支持黄河流域生态保护，开辟绿色办贷通道，及时审批投放和储备一批项目。建立健全与黄河环保事业发展特点相适应的基金持续补充和扩充机制，设立污染产业赔偿资金、受益产业补偿资金作为基金的持续补充，精准投资推动黄河流域生态修复产业，使保护与受益形成良性循环。</w:t>
      </w:r>
    </w:p>
    <w:p>
      <w:pPr>
        <w:spacing w:line="560" w:lineRule="exact"/>
        <w:ind w:firstLine="643"/>
        <w:jc w:val="both"/>
      </w:pPr>
      <w:r>
        <w:rPr>
          <w:rFonts w:hint="eastAsia" w:ascii="仿宋_GB2312" w:hAnsi="仿宋_GB2312" w:cs="仿宋_GB2312"/>
          <w:b/>
          <w:bCs/>
        </w:rPr>
        <w:t>为黄河流域创新发展加速数字引擎。</w:t>
      </w:r>
      <w:r>
        <w:rPr>
          <w:rFonts w:hint="eastAsia" w:ascii="仿宋_GB2312" w:hAnsi="仿宋_GB2312" w:cs="仿宋_GB2312"/>
        </w:rPr>
        <w:t>着力推动“数字黄河”建设，围绕国家“智慧长河”战略，发挥国家超算济南中心、数据存储中心优势，建设交通物联网云平台与产业链总部基地。强化黄河流域数据中心节点和网络化布局建设，建设互联网数据中心，争取黄河超算中心落户我区，推广“互联网+生态环保”综合应用。利用5G技术、大数据、云计算、物联网等新一代信息技术手段，共享沿黄流域城市群政策、资源、要素、环境等数据链信息，推动传统黄河航道数字化、网络化、智能化转型。培育“互联网+”“智慧+”等新型业态，着力解决黄河经济带生产要素流动、环境保护、绿色生态问题，助力沿黄地区中心城市及城市群高质量发展，构建结构合理的战略性新兴产业增长引擎。</w:t>
      </w:r>
    </w:p>
    <w:p>
      <w:pPr>
        <w:pStyle w:val="3"/>
        <w:spacing w:line="560" w:lineRule="exact"/>
        <w:rPr>
          <w:rFonts w:hint="default"/>
        </w:rPr>
      </w:pPr>
      <w:bookmarkStart w:id="35" w:name="_Toc5943"/>
      <w:bookmarkStart w:id="36" w:name="_Toc18544"/>
      <w:bookmarkStart w:id="37" w:name="_Toc27742"/>
      <w:r>
        <w:t>第四章构建区域融合协同发展</w:t>
      </w:r>
      <w:bookmarkEnd w:id="35"/>
      <w:r>
        <w:t>大格局</w:t>
      </w:r>
      <w:bookmarkEnd w:id="36"/>
      <w:bookmarkEnd w:id="37"/>
    </w:p>
    <w:p>
      <w:pPr>
        <w:spacing w:line="560" w:lineRule="exact"/>
        <w:jc w:val="both"/>
        <w:rPr>
          <w:szCs w:val="22"/>
        </w:rPr>
      </w:pPr>
      <w:r>
        <w:rPr>
          <w:rFonts w:hint="eastAsia"/>
          <w:szCs w:val="22"/>
        </w:rPr>
        <w:t>优化城市空间总体功能布局，侧重功能完善和结构优化，推动区域融合创新发展。对标全市“新十字”方针，助力省会经济圈一体化发展，在区域融合协同发展格局中作出历城贡献。</w:t>
      </w:r>
    </w:p>
    <w:p>
      <w:pPr>
        <w:pStyle w:val="4"/>
        <w:spacing w:line="560" w:lineRule="exact"/>
      </w:pPr>
      <w:bookmarkStart w:id="38" w:name="_Toc25259"/>
      <w:bookmarkStart w:id="39" w:name="_Toc26549"/>
      <w:bookmarkStart w:id="40" w:name="_Toc17007"/>
      <w:r>
        <w:rPr>
          <w:rFonts w:hint="eastAsia"/>
        </w:rPr>
        <w:t>第一节优化空间功能布局</w:t>
      </w:r>
      <w:bookmarkEnd w:id="38"/>
      <w:bookmarkEnd w:id="39"/>
      <w:bookmarkEnd w:id="40"/>
    </w:p>
    <w:p>
      <w:pPr>
        <w:spacing w:line="560" w:lineRule="exact"/>
        <w:jc w:val="both"/>
        <w:rPr>
          <w:rFonts w:ascii="仿宋_GB2312" w:hAnsi="仿宋_GB2312" w:cs="仿宋_GB2312"/>
          <w:szCs w:val="22"/>
        </w:rPr>
      </w:pPr>
      <w:r>
        <w:rPr>
          <w:rFonts w:hint="eastAsia" w:ascii="仿宋_GB2312" w:hAnsi="仿宋_GB2312" w:cs="仿宋_GB2312"/>
        </w:rPr>
        <w:t>坚持“组团发展、多向融合、高点突破、廊道联结”原则，</w:t>
      </w:r>
      <w:r>
        <w:rPr>
          <w:rFonts w:hint="eastAsia" w:ascii="仿宋_GB2312" w:hAnsi="仿宋_GB2312" w:cs="仿宋_GB2312"/>
          <w:szCs w:val="22"/>
        </w:rPr>
        <w:t>不断优化全区空间功能布局，打造“两心三轴四区”空间格局。</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一、两心。</w:t>
      </w:r>
      <w:r>
        <w:rPr>
          <w:rFonts w:hint="eastAsia" w:ascii="仿宋_GB2312" w:hAnsi="仿宋_GB2312" w:cs="仿宋_GB2312"/>
          <w:szCs w:val="22"/>
        </w:rPr>
        <w:t>即“环山大文化科创核心”和“</w:t>
      </w:r>
      <w:r>
        <w:rPr>
          <w:rFonts w:hint="eastAsia" w:ascii="仿宋_GB2312" w:hAnsi="仿宋_GB2312" w:cs="仿宋_GB2312"/>
        </w:rPr>
        <w:t>省会东部新城总部核心</w:t>
      </w:r>
      <w:r>
        <w:rPr>
          <w:rFonts w:hint="eastAsia" w:ascii="仿宋_GB2312" w:hAnsi="仿宋_GB2312" w:cs="仿宋_GB2312"/>
          <w:szCs w:val="22"/>
        </w:rPr>
        <w:t>”。</w:t>
      </w:r>
    </w:p>
    <w:p>
      <w:pPr>
        <w:spacing w:line="560" w:lineRule="exact"/>
        <w:jc w:val="both"/>
        <w:rPr>
          <w:rFonts w:ascii="仿宋_GB2312" w:hAnsi="仿宋_GB2312" w:cs="仿宋_GB2312"/>
          <w:szCs w:val="22"/>
        </w:rPr>
      </w:pPr>
      <w:r>
        <w:rPr>
          <w:rFonts w:hint="eastAsia" w:ascii="仿宋_GB2312" w:hAnsi="仿宋_GB2312" w:cs="仿宋_GB2312"/>
          <w:szCs w:val="22"/>
        </w:rPr>
        <w:t>“环山大文化科创核心”以山大路、洪家楼、东风、全福四街道作为商业、文化、科创、金融发展核心区域。山大路、洪家楼街道位于主城区中心位置，具有山东大学、洪楼教堂等优质文化、科创资源，集聚效应鲜明、引领地位突出。东风、全福街道具有金融大厦等多元化载体，具备完善的功能配套和强劲吸附能力，能有力承载金融服务、商务服务、平台建设等功能。“环山大文化科创核心”以科创产业、文化产业、科教产业为引擎，紧抓城市更新改造、文化风貌传承、楼宇经济业态升级等关键环节，配套双创服务、商务服务、科创金融、高端康养等功能，打造成为环山大区域高品质文化科创生态圈。</w:t>
      </w:r>
    </w:p>
    <w:p>
      <w:pPr>
        <w:spacing w:line="560" w:lineRule="exact"/>
        <w:jc w:val="both"/>
        <w:rPr>
          <w:rFonts w:ascii="仿宋_GB2312" w:hAnsi="仿宋_GB2312" w:cs="仿宋_GB2312"/>
        </w:rPr>
      </w:pPr>
      <w:r>
        <w:rPr>
          <w:rFonts w:hint="eastAsia" w:ascii="仿宋_GB2312" w:hAnsi="仿宋_GB2312" w:cs="仿宋_GB2312"/>
        </w:rPr>
        <w:t>“省会东部新城总部核心”依托华山、荷花路、王舍人、鲍山街道及相邻区域，打造综合性总部经济核心区域。坚持多维联动“场站城”一体化发展理念，以高起点规划为引领，遵循高标准、国际化原则打造新东站南北两侧区域，以重环境、强产业、足配套为抓手，实现与济南中央商务区功能错位补充发展；充分依托济南东站交通枢纽优势，借助“省企城”建设政策契机，集金融服务、总部会展、科创文旅等功能于一体，加快总部企业集聚，打造以交通枢纽优势为先导的省会东部新城总部经济核心区。</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二、三轴。</w:t>
      </w:r>
      <w:r>
        <w:rPr>
          <w:rFonts w:hint="eastAsia" w:ascii="仿宋_GB2312" w:hAnsi="仿宋_GB2312" w:cs="仿宋_GB2312"/>
          <w:szCs w:val="22"/>
        </w:rPr>
        <w:t>即沿经十路自贸科创产业廊道，沿世纪大道复合产业廊道和沿工业北路新实体经济廊道。</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沿经十路自贸科创产业廊道。</w:t>
      </w:r>
      <w:r>
        <w:rPr>
          <w:rFonts w:hint="eastAsia" w:ascii="仿宋_GB2312" w:hAnsi="仿宋_GB2312" w:cs="仿宋_GB2312"/>
          <w:szCs w:val="22"/>
        </w:rPr>
        <w:t>把握数字经济科学发展路径，重点打造以超算应用、人工智能、芯片封装等为主的数字经济产业高地。借助自贸区对外窗口功能，加快建设国际前沿科技创新平台、全国战略性新兴产业策源地和区域科创成果转化基地，推动数字经济与实体经济深度融合发展，提升全区科技创新和对外开放水平。</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沿世纪大道复合产业廊道。</w:t>
      </w:r>
      <w:r>
        <w:rPr>
          <w:rFonts w:hint="eastAsia" w:ascii="仿宋_GB2312" w:hAnsi="仿宋_GB2312" w:cs="仿宋_GB2312"/>
          <w:szCs w:val="22"/>
        </w:rPr>
        <w:t>依托与济南中央商务区、高新区齐鲁软件园毗邻优势，大力发展文化创意设计、电子商务物流等多元复合产业，加快建设产业载体、创新空间，将商业、文化、科技等元素融入城市发展，打造以良好产业发展环境为依托、以构筑现代产业体系为驱动、生产性和生活性服务相融合、多元功能协调共生的复合型产业廊道。</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沿工业北路新实体经济廊道。</w:t>
      </w:r>
      <w:r>
        <w:rPr>
          <w:rFonts w:hint="eastAsia" w:ascii="仿宋_GB2312" w:hAnsi="仿宋_GB2312" w:cs="仿宋_GB2312"/>
          <w:szCs w:val="22"/>
        </w:rPr>
        <w:t>依托工业北路沿线产业发展空间充足、产业基础坚实有力的优势，打造以空天信息、高端物流、智能制造为主的产业经济带。以做实做强实体经济为着力点，加快构建现代化产业体系，挺起全区实体经济“脊梁”；以服务产业需求为导向，建设集科技创新、业态创新、管理创新、机制创新于一体的全产业链综合服务载体，构建高质量产业生态系统，奠定实体产业发展“基石”。</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三、四区。</w:t>
      </w:r>
      <w:r>
        <w:rPr>
          <w:rFonts w:hint="eastAsia" w:ascii="仿宋_GB2312" w:hAnsi="仿宋_GB2312" w:cs="仿宋_GB2312"/>
          <w:szCs w:val="22"/>
        </w:rPr>
        <w:t>即唐冶品质新城片区、内陆港+临港智造集聚区、雪山港沟文旅科教区和彩石科创未来城。</w:t>
      </w:r>
    </w:p>
    <w:p>
      <w:pPr>
        <w:spacing w:line="560" w:lineRule="exact"/>
        <w:ind w:firstLine="643"/>
        <w:jc w:val="both"/>
        <w:rPr>
          <w:rFonts w:ascii="仿宋_GB2312" w:hAnsi="仿宋_GB2312" w:cs="仿宋_GB2312"/>
        </w:rPr>
      </w:pPr>
      <w:r>
        <w:rPr>
          <w:rFonts w:hint="eastAsia" w:ascii="仿宋_GB2312" w:hAnsi="仿宋_GB2312" w:cs="仿宋_GB2312"/>
          <w:b/>
          <w:bCs/>
        </w:rPr>
        <w:t>唐冶品质新城片区。</w:t>
      </w:r>
      <w:r>
        <w:rPr>
          <w:rFonts w:hint="eastAsia" w:ascii="仿宋_GB2312" w:hAnsi="仿宋_GB2312" w:cs="仿宋_GB2312"/>
        </w:rPr>
        <w:t>依托唐冶新城片区北临临港经济开发区、南临齐鲁科创大走廊、东临高新区，自贸区贯穿区内的区位优势，打造产城融合、特色发展的品质城市标杆。坚持“以产促城、以城兴产”的融合发展理念，集合银丰新能源+互联网产业园、中国（唐冶）国际新媒体产业园、唐冶北智慧产业园、浪潮智能计算产业园等综合性基地，大力发展新一代信息技术、文化创意、产业金融等新兴业态，集聚高端创新要素、突显对外开放优势，进一步优化空间布局、提升城市品质、彰显特色风貌，建设成为智慧化、绿色化宜居宜业新城区。</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内陆港+临港智造集聚区。</w:t>
      </w:r>
      <w:r>
        <w:rPr>
          <w:rFonts w:hint="eastAsia" w:ascii="仿宋_GB2312" w:hAnsi="仿宋_GB2312" w:cs="仿宋_GB2312"/>
          <w:szCs w:val="22"/>
        </w:rPr>
        <w:t>依托郭店、董家、唐王街道，打造高端物流产业和智能制造产业集聚区。发挥国际内陆港核心区优势，</w:t>
      </w:r>
      <w:r>
        <w:rPr>
          <w:rFonts w:hint="eastAsia" w:ascii="仿宋_GB2312" w:hAnsi="仿宋_GB2312" w:cs="仿宋_GB2312"/>
          <w:szCs w:val="32"/>
        </w:rPr>
        <w:t>突显“一带一路”枢纽功能，</w:t>
      </w:r>
      <w:r>
        <w:rPr>
          <w:rFonts w:hint="eastAsia" w:ascii="仿宋_GB2312" w:hAnsi="仿宋_GB2312" w:cs="仿宋_GB2312"/>
          <w:szCs w:val="22"/>
        </w:rPr>
        <w:t>大力发展高端物流产业，</w:t>
      </w:r>
      <w:r>
        <w:rPr>
          <w:rFonts w:hint="eastAsia" w:ascii="仿宋_GB2312" w:hAnsi="仿宋_GB2312" w:cs="仿宋_GB2312"/>
          <w:szCs w:val="32"/>
        </w:rPr>
        <w:t>提升中欧班列品牌和国际影响力，</w:t>
      </w:r>
      <w:r>
        <w:rPr>
          <w:rFonts w:hint="eastAsia" w:cs="宋体"/>
        </w:rPr>
        <w:t>吸引更多出口型制造企业落户历城。将</w:t>
      </w:r>
      <w:r>
        <w:rPr>
          <w:rFonts w:hint="eastAsia" w:ascii="仿宋_GB2312" w:hAnsi="仿宋_GB2312" w:cs="仿宋_GB2312"/>
          <w:szCs w:val="22"/>
        </w:rPr>
        <w:t>临港经济开发区打造成为智能制造产业高质量发展主</w:t>
      </w:r>
      <w:r>
        <w:rPr>
          <w:rFonts w:hint="eastAsia" w:ascii="仿宋_GB2312" w:hAnsi="仿宋_GB2312" w:cs="仿宋_GB2312"/>
          <w:szCs w:val="32"/>
        </w:rPr>
        <w:t>战场，聚焦打造装备制造、生物医药等核心产业，促进资金、人才、技术等要素集聚，加快产品、品牌、组织和模式创新，不断推进</w:t>
      </w:r>
      <w:r>
        <w:rPr>
          <w:rFonts w:hint="eastAsia" w:ascii="仿宋_GB2312" w:hAnsi="仿宋_GB2312" w:cs="仿宋_GB2312"/>
          <w:szCs w:val="22"/>
        </w:rPr>
        <w:t>产业链条现代化，瞄准重点产业链条招商选资，培育行业龙头带动产业集聚，实现存量变革和增量崛起。</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雪山港沟文旅科教区。</w:t>
      </w:r>
      <w:r>
        <w:rPr>
          <w:rFonts w:hint="eastAsia" w:ascii="仿宋_GB2312" w:hAnsi="仿宋_GB2312" w:cs="仿宋_GB2312"/>
          <w:szCs w:val="22"/>
        </w:rPr>
        <w:t>依托雪山片区、港沟街道，加速文化、旅游、科教等融合发展，打造新经济增长极。充分释放山东建筑大学、山东体育学院等高等院校智力、人才优势，大力推进文化创意、文旅康养、科技教育、黄金金融发展，发挥融创文旅城等重点项目辐射带动作用，进一步提升片区环境质量和居住品质，完善医疗、教育、康养等高端服务设施，打造文旅科教产业聚集区。</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彩石科创未来城。</w:t>
      </w:r>
      <w:r>
        <w:rPr>
          <w:rFonts w:hint="eastAsia" w:ascii="仿宋_GB2312" w:hAnsi="仿宋_GB2312" w:cs="仿宋_GB2312"/>
          <w:szCs w:val="22"/>
        </w:rPr>
        <w:t>依托彩石街道，以“科创+生态”赋能区域发展，打造“产、城、研”融合的人本化、生态化未来城市。将毗邻南部山区环境优美、资源丰富、空间广阔的生态优势转化为发展优势，充分释放自贸区、齐鲁科创大走廊等政策红利，高标准建设超算大数据产业园、中医药国际科技园、新加坡科技城等综合性基地，不断吸引国际国内知名高校及科研机构入驻，加快布局新一代信息技术、人工智能、机器人、大数据等新兴产业，打造以科创为先、产业为基、“三生”融合的未来城市样板。</w:t>
      </w:r>
    </w:p>
    <w:p>
      <w:pPr>
        <w:spacing w:line="560" w:lineRule="exact"/>
        <w:ind w:firstLine="643"/>
        <w:jc w:val="both"/>
        <w:rPr>
          <w:rFonts w:ascii="仿宋_GB2312" w:hAnsi="仿宋_GB2312" w:cs="仿宋_GB2312"/>
          <w:b/>
          <w:bCs/>
          <w:szCs w:val="22"/>
        </w:rPr>
      </w:pPr>
      <w:r>
        <w:rPr>
          <w:rFonts w:hint="eastAsia" w:ascii="仿宋_GB2312" w:hAnsi="仿宋_GB2312" w:cs="仿宋_GB2312"/>
          <w:b/>
          <w:bCs/>
          <w:szCs w:val="22"/>
        </w:rPr>
        <w:t>四、多点发力</w:t>
      </w:r>
    </w:p>
    <w:p>
      <w:pPr>
        <w:spacing w:line="560" w:lineRule="exact"/>
        <w:jc w:val="both"/>
        <w:rPr>
          <w:rFonts w:ascii="仿宋_GB2312" w:hAnsi="仿宋_GB2312" w:cs="仿宋_GB2312"/>
          <w:szCs w:val="22"/>
        </w:rPr>
      </w:pPr>
      <w:r>
        <w:rPr>
          <w:rFonts w:hint="eastAsia" w:ascii="仿宋_GB2312" w:hAnsi="仿宋_GB2312" w:cs="仿宋_GB2312"/>
          <w:szCs w:val="22"/>
        </w:rPr>
        <w:t>结合各片区资源优势，沿“两心三轴四区”功能格局，重点打造新东站总部基地、济钢森林公园片区、超算大数据产业园等多个园区及组团，聚集形成功能各具特色、规模效应突出的核心“发力点”，实现以点带面、以点连线、点线成片发展态势。</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spacing w:line="400" w:lineRule="exact"/>
              <w:ind w:firstLine="0" w:firstLineChars="0"/>
              <w:jc w:val="center"/>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专栏 4.1 重点园区及组团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新东站总部基地。</w:t>
            </w:r>
            <w:r>
              <w:rPr>
                <w:rFonts w:hint="eastAsia" w:ascii="楷体_GB2312" w:hAnsi="楷体_GB2312" w:eastAsia="楷体_GB2312" w:cs="楷体_GB2312"/>
                <w:sz w:val="28"/>
                <w:szCs w:val="28"/>
              </w:rPr>
              <w:t>发展以总部经济为主的都市型产业，实现与中央商务区、高新区总部经济错位互补发展。</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空天信息科技产业组团。</w:t>
            </w:r>
            <w:r>
              <w:rPr>
                <w:rFonts w:hint="eastAsia" w:ascii="楷体_GB2312" w:hAnsi="楷体_GB2312" w:eastAsia="楷体_GB2312" w:cs="楷体_GB2312"/>
                <w:sz w:val="28"/>
                <w:szCs w:val="28"/>
              </w:rPr>
              <w:t>依托空天信息齐鲁研究院项目，发展卫星总装、空间行波管等空天装备研发制造产业和以“数字地球”为基础的人工智能科创产业等。</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宋刘新动能产业组团。</w:t>
            </w:r>
            <w:r>
              <w:rPr>
                <w:rFonts w:hint="eastAsia" w:ascii="楷体_GB2312" w:hAnsi="楷体_GB2312" w:eastAsia="楷体_GB2312" w:cs="楷体_GB2312"/>
                <w:sz w:val="28"/>
                <w:szCs w:val="28"/>
              </w:rPr>
              <w:t>利用黄河、鹊华等自然人文资源，打造新旧动能转换产业廊道、黄河风貌的重要节点，形成宜居宜商宜业的新动能转换示范样板。</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零点国际供应链产业园。</w:t>
            </w:r>
            <w:r>
              <w:rPr>
                <w:rFonts w:hint="eastAsia" w:ascii="楷体_GB2312" w:hAnsi="楷体_GB2312" w:eastAsia="楷体_GB2312" w:cs="楷体_GB2312"/>
                <w:sz w:val="28"/>
                <w:szCs w:val="28"/>
              </w:rPr>
              <w:t>以构建供应链服务平台为目标，打造供应链企业全功能网链结构，促进供应链产业更好发展。</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济钢森林公园片区。</w:t>
            </w:r>
            <w:r>
              <w:rPr>
                <w:rFonts w:hint="eastAsia" w:ascii="楷体_GB2312" w:hAnsi="楷体_GB2312" w:eastAsia="楷体_GB2312" w:cs="楷体_GB2312"/>
                <w:sz w:val="28"/>
                <w:szCs w:val="28"/>
              </w:rPr>
              <w:t>建设以“工业文明转型标杆”为名片的大型森林公园，将遗址保护与景观融为一体，打造凝聚场地记忆且满足市民生活需求的高品质综合性公园。</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大悦城商贸产业组团。</w:t>
            </w:r>
            <w:r>
              <w:rPr>
                <w:rFonts w:hint="eastAsia" w:ascii="楷体_GB2312" w:hAnsi="楷体_GB2312" w:eastAsia="楷体_GB2312" w:cs="楷体_GB2312"/>
                <w:sz w:val="28"/>
                <w:szCs w:val="28"/>
              </w:rPr>
              <w:t>以商务办公集群为依托，重点集聚网红餐饮、家庭亲子、人文体验等各类业态，汲取济南老城历史积淀与文化禀赋，集合民俗文化风貌与现代生活方式，打造活力新颖的商业新空间。</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浪潮智能计算产业园。</w:t>
            </w:r>
            <w:r>
              <w:rPr>
                <w:rFonts w:hint="eastAsia" w:ascii="楷体_GB2312" w:hAnsi="楷体_GB2312" w:eastAsia="楷体_GB2312" w:cs="楷体_GB2312"/>
                <w:sz w:val="28"/>
                <w:szCs w:val="28"/>
              </w:rPr>
              <w:t>集聚人工智能、大数据、高端装备相关产业，包含浪潮IBM合资公司、浪潮研发中心、IBM研发中心、总部经济基地、众创空间+孵化器及其它配套等业务板块。</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中国智能骨干网产业组团。</w:t>
            </w:r>
            <w:r>
              <w:rPr>
                <w:rFonts w:hint="eastAsia" w:ascii="楷体_GB2312" w:hAnsi="楷体_GB2312" w:eastAsia="楷体_GB2312" w:cs="楷体_GB2312"/>
                <w:sz w:val="28"/>
                <w:szCs w:val="28"/>
              </w:rPr>
              <w:t>打造“一个平台三个中心”，即物流信息交易平台、订单生产中心、电子商务聚集中心和O2O展览展示中心。</w:t>
            </w:r>
          </w:p>
          <w:p>
            <w:pPr>
              <w:spacing w:line="400" w:lineRule="exact"/>
              <w:ind w:firstLine="562"/>
              <w:jc w:val="both"/>
              <w:textAlignment w:val="baseline"/>
              <w:rPr>
                <w:rFonts w:ascii="楷体_GB2312" w:hAnsi="楷体_GB2312" w:eastAsia="楷体_GB2312" w:cs="楷体_GB2312"/>
                <w:sz w:val="28"/>
                <w:szCs w:val="28"/>
                <w:highlight w:val="yellow"/>
              </w:rPr>
            </w:pPr>
            <w:r>
              <w:rPr>
                <w:rFonts w:hint="eastAsia" w:ascii="楷体_GB2312" w:hAnsi="楷体_GB2312" w:eastAsia="楷体_GB2312" w:cs="楷体_GB2312"/>
                <w:b/>
                <w:bCs/>
                <w:sz w:val="28"/>
                <w:szCs w:val="28"/>
              </w:rPr>
              <w:t>雪山设计创意产业组团。</w:t>
            </w:r>
            <w:r>
              <w:rPr>
                <w:rFonts w:hint="eastAsia" w:ascii="楷体_GB2312" w:hAnsi="楷体_GB2312" w:eastAsia="楷体_GB2312" w:cs="楷体_GB2312"/>
                <w:sz w:val="28"/>
                <w:szCs w:val="28"/>
              </w:rPr>
              <w:t>重点打造建筑科技产业版块和教育金融文创版块。建筑科技产业版块围绕新基建、建筑上下游产业的科研孵化、成果转化，推动孵化成果市场化、规模化；教育金融文创版块重点围绕“教育艺术创意新体验”，构建更丰富立体的智能生活、文创娱乐等业态。</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黄金产业发展组团。</w:t>
            </w:r>
            <w:r>
              <w:rPr>
                <w:rFonts w:hint="eastAsia" w:ascii="楷体_GB2312" w:hAnsi="楷体_GB2312" w:eastAsia="楷体_GB2312" w:cs="楷体_GB2312"/>
                <w:sz w:val="28"/>
                <w:szCs w:val="28"/>
              </w:rPr>
              <w:t>围绕黄金产业金融中心项目建设，力争打造成为高标准黄金金融中心。</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跨境电商产业组团。</w:t>
            </w:r>
            <w:r>
              <w:rPr>
                <w:rFonts w:hint="eastAsia" w:ascii="楷体_GB2312" w:hAnsi="楷体_GB2312" w:eastAsia="楷体_GB2312" w:cs="楷体_GB2312"/>
                <w:sz w:val="28"/>
                <w:szCs w:val="28"/>
              </w:rPr>
              <w:t>依托中物科技园、山东设计创意产业园、绿地城市大脑数字小镇、新能源+互联网产业园等园区优势，与国内知名的跨境电商运营公司合作，打造跨境电子商务产业链和生态链。</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济南全球贸易港产业组团</w:t>
            </w:r>
            <w:r>
              <w:rPr>
                <w:rFonts w:hint="eastAsia" w:ascii="楷体_GB2312" w:hAnsi="楷体_GB2312" w:eastAsia="楷体_GB2312" w:cs="楷体_GB2312"/>
                <w:sz w:val="28"/>
                <w:szCs w:val="28"/>
              </w:rPr>
              <w:t>。规划建设全球商品贸易港，以“注入新动能、新产业、新经济、新生活”为目标，培育打造国际贸易产业生态圈。</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齐鲁中医药国际科技园。</w:t>
            </w:r>
            <w:r>
              <w:rPr>
                <w:rFonts w:hint="eastAsia" w:ascii="楷体_GB2312" w:hAnsi="楷体_GB2312" w:eastAsia="楷体_GB2312" w:cs="楷体_GB2312"/>
                <w:sz w:val="28"/>
                <w:szCs w:val="28"/>
              </w:rPr>
              <w:t>充分发挥自贸区制度创新优势，通过争取国家级审批机构、检验检测、申报评价等平台落户，打造集研发、孵化、成果转化、临床、审批、推广、国际合作及国际贸易为一体的创新引领区和国际合作区。</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港沟文旅康养产业组团。</w:t>
            </w:r>
            <w:r>
              <w:rPr>
                <w:rFonts w:hint="eastAsia" w:ascii="楷体_GB2312" w:hAnsi="楷体_GB2312" w:eastAsia="楷体_GB2312" w:cs="楷体_GB2312"/>
                <w:sz w:val="28"/>
                <w:szCs w:val="28"/>
              </w:rPr>
              <w:t>充分发挥区域自然资源禀赋，结合周边文旅产业集聚发展优势，打造成为济南东部集旅游、康养、农业体验为一体的农村经济振兴典范。</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中央高端物流集聚区。</w:t>
            </w:r>
            <w:r>
              <w:rPr>
                <w:rFonts w:hint="eastAsia" w:ascii="楷体_GB2312" w:hAnsi="楷体_GB2312" w:eastAsia="楷体_GB2312" w:cs="楷体_GB2312"/>
                <w:sz w:val="28"/>
                <w:szCs w:val="28"/>
              </w:rPr>
              <w:t>打造高端物流商务集聚区、制造业物流基地、场站配套仓储配送基地和国家多式联运示范工程基地。</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临港智能制造产业组团。</w:t>
            </w:r>
            <w:r>
              <w:rPr>
                <w:rFonts w:hint="eastAsia" w:ascii="楷体_GB2312" w:hAnsi="楷体_GB2312" w:eastAsia="楷体_GB2312" w:cs="楷体_GB2312"/>
                <w:sz w:val="28"/>
                <w:szCs w:val="28"/>
              </w:rPr>
              <w:t>重点发展激光应用等智能制造，以及物联网、机器人、新能源汽车及零部件、3D打印、数控机床、智能仪器仪表等复合型产业，打造一批集研发型制造、研发服务、商务金融、创业孵化、生活居住等功能于一体的综合性载体。</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齐鲁生物制药产业组团。</w:t>
            </w:r>
            <w:r>
              <w:rPr>
                <w:rFonts w:hint="eastAsia" w:ascii="楷体_GB2312" w:hAnsi="楷体_GB2312" w:eastAsia="楷体_GB2312" w:cs="楷体_GB2312"/>
                <w:sz w:val="28"/>
                <w:szCs w:val="28"/>
              </w:rPr>
              <w:t>打造集产品研发、生产、服务于一体的国内国际龙头企业，带动制药装备制造、包装、印刷、运输等与药品生产销售关联度较高的行业快速发展。</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超算大数据产业园。</w:t>
            </w:r>
            <w:r>
              <w:rPr>
                <w:rFonts w:hint="eastAsia" w:ascii="楷体_GB2312" w:hAnsi="楷体_GB2312" w:eastAsia="楷体_GB2312" w:cs="楷体_GB2312"/>
                <w:sz w:val="28"/>
                <w:szCs w:val="28"/>
              </w:rPr>
              <w:t>依托超算中心平台，针对新旧动能转换产业升级发展对智能计算的迫切需求，打造集超算服务、高端科技研发、新一代科技企业孵化、人才引进高地为一体的全国一流科技园区。</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新加坡科技城组团。</w:t>
            </w:r>
            <w:r>
              <w:rPr>
                <w:rFonts w:hint="eastAsia" w:ascii="楷体_GB2312" w:hAnsi="楷体_GB2312" w:eastAsia="楷体_GB2312" w:cs="楷体_GB2312"/>
                <w:sz w:val="28"/>
                <w:szCs w:val="28"/>
              </w:rPr>
              <w:t>充分发挥区内自贸区制度创新优势，依托济南超算中心平台，联动协同中医药国际科技城，打造国家级全产业链“AI+”人工智能新兴产业园。</w:t>
            </w:r>
          </w:p>
          <w:p>
            <w:pPr>
              <w:spacing w:line="400" w:lineRule="exact"/>
              <w:ind w:firstLine="562"/>
              <w:jc w:val="both"/>
              <w:textAlignment w:val="baseline"/>
              <w:rPr>
                <w:rFonts w:ascii="楷体_GB2312" w:hAnsi="楷体_GB2312" w:eastAsia="楷体_GB2312" w:cs="楷体_GB2312"/>
                <w:sz w:val="28"/>
                <w:szCs w:val="28"/>
              </w:rPr>
            </w:pPr>
            <w:r>
              <w:rPr>
                <w:rFonts w:hint="eastAsia" w:ascii="楷体_GB2312" w:hAnsi="楷体_GB2312" w:eastAsia="楷体_GB2312" w:cs="楷体_GB2312"/>
                <w:b/>
                <w:bCs/>
                <w:sz w:val="28"/>
                <w:szCs w:val="28"/>
              </w:rPr>
              <w:t>唐冶北智慧产业园。</w:t>
            </w:r>
            <w:r>
              <w:rPr>
                <w:rFonts w:hint="eastAsia" w:ascii="楷体_GB2312" w:hAnsi="楷体_GB2312" w:eastAsia="楷体_GB2312" w:cs="楷体_GB2312"/>
                <w:sz w:val="28"/>
                <w:szCs w:val="28"/>
              </w:rPr>
              <w:t>以建筑群量身定制模式，积极推进王府井项目落地，打造代表我区形象的中央活动区，建设走在全国前列“金融＋科技＋生活＋生态”的新城组团。</w:t>
            </w:r>
          </w:p>
          <w:p>
            <w:pPr>
              <w:spacing w:line="400" w:lineRule="exact"/>
              <w:ind w:firstLine="562"/>
              <w:jc w:val="both"/>
              <w:textAlignment w:val="baseline"/>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唐王特色产业组团。</w:t>
            </w:r>
            <w:r>
              <w:rPr>
                <w:rFonts w:hint="eastAsia" w:ascii="楷体_GB2312" w:hAnsi="楷体_GB2312" w:eastAsia="楷体_GB2312" w:cs="楷体_GB2312"/>
                <w:sz w:val="28"/>
                <w:szCs w:val="28"/>
              </w:rPr>
              <w:t>依托区内草莓种植、锦鲤养殖等特色产业优势，做好“农业+”文章，突出农旅双驱、三产联动，打造成为集文化休闲、生态旅游、现代农业于一体的特色产业组团。</w:t>
            </w:r>
          </w:p>
        </w:tc>
      </w:tr>
    </w:tbl>
    <w:p>
      <w:pPr>
        <w:pStyle w:val="4"/>
        <w:spacing w:line="560" w:lineRule="exact"/>
      </w:pPr>
      <w:bookmarkStart w:id="41" w:name="_Toc4542"/>
      <w:bookmarkStart w:id="42" w:name="_Toc18794"/>
      <w:bookmarkStart w:id="43" w:name="_Toc21334"/>
      <w:r>
        <w:rPr>
          <w:rFonts w:hint="eastAsia"/>
        </w:rPr>
        <w:t>第二节促进全域协同发展</w:t>
      </w:r>
      <w:bookmarkEnd w:id="41"/>
      <w:bookmarkEnd w:id="42"/>
      <w:bookmarkEnd w:id="43"/>
    </w:p>
    <w:p>
      <w:pPr>
        <w:spacing w:line="560" w:lineRule="exact"/>
        <w:ind w:firstLine="643"/>
        <w:jc w:val="both"/>
        <w:rPr>
          <w:rFonts w:ascii="仿宋_GB2312" w:hAnsi="仿宋_GB2312" w:cs="仿宋_GB2312"/>
          <w:b/>
          <w:bCs/>
        </w:rPr>
      </w:pPr>
      <w:r>
        <w:rPr>
          <w:rFonts w:hint="eastAsia" w:ascii="仿宋_GB2312" w:hAnsi="仿宋_GB2312" w:cs="仿宋_GB2312"/>
          <w:b/>
          <w:bCs/>
        </w:rPr>
        <w:t>一、融入全市“新十字”方针</w:t>
      </w:r>
    </w:p>
    <w:p>
      <w:pPr>
        <w:spacing w:line="560" w:lineRule="exact"/>
        <w:jc w:val="both"/>
        <w:rPr>
          <w:rFonts w:ascii="仿宋_GB2312" w:hAnsi="仿宋_GB2312" w:cs="仿宋_GB2312"/>
        </w:rPr>
      </w:pPr>
      <w:r>
        <w:rPr>
          <w:rFonts w:hint="eastAsia" w:ascii="仿宋_GB2312" w:hAnsi="仿宋_GB2312" w:cs="仿宋_GB2312"/>
        </w:rPr>
        <w:t>深入贯彻“加速东强、示范南美、融入北起、突破中优”的发展思路，立足现实、认真谋划，更加主动全面融入济南市“新十字”方针，推动全区经济社会协同发展。</w:t>
      </w:r>
    </w:p>
    <w:p>
      <w:pPr>
        <w:spacing w:line="560" w:lineRule="exact"/>
        <w:ind w:firstLine="643"/>
        <w:jc w:val="both"/>
        <w:rPr>
          <w:rFonts w:ascii="仿宋_GB2312" w:hAnsi="仿宋_GB2312" w:cs="仿宋_GB2312"/>
        </w:rPr>
      </w:pPr>
      <w:r>
        <w:rPr>
          <w:rFonts w:hint="eastAsia" w:ascii="仿宋_GB2312" w:hAnsi="仿宋_GB2312" w:cs="仿宋_GB2312"/>
          <w:b/>
          <w:bCs/>
        </w:rPr>
        <w:t>加速“东强”实力崛起，打造省会东部科创智造城区。</w:t>
      </w:r>
      <w:r>
        <w:rPr>
          <w:rFonts w:hint="eastAsia" w:ascii="仿宋_GB2312" w:hAnsi="仿宋_GB2312" w:cs="仿宋_GB2312"/>
        </w:rPr>
        <w:t>充分发挥历城作为“东强主战场”的示范引领作用，依托区位优势、产业基础和资源禀赋，抢占科技创新领域和智能制造产业发展制高点，建设全市东部发展核心增长极。优化空间功能布局，依托新东站、内陆港等综合性基地，加速完善功能齐备、特色鲜明的产业集聚区和发展组团，形成区域发展新格局。提升科创实力，深化校地合作做强创新引擎，全力服务高校及科研院所，打造创新创业生态圈，聚焦关键核心技术攻关，强化科技创新体系化建设，构筑区域科技成果转化高地；依托超算中心、山东高等研究院等载体，紧抓建设齐鲁科创大走廊机遇，吸引科创企业落户、集聚科技创新人才，推动产出更多具有国际竞争力的科技成果，为济南市创建综合性国家科学中心提供重要支撑。做强产业智造能级，加速构建现代化产业体系，落实工业强市战略、提升产业链供应链现代化水平，围绕空天信息、生物医药、高端装备等核心产业，加快导入产业项目。大力发展枢纽经济，依托国际内陆港核心区、新东站—济钢片区，联动临空经济区，全面提升枢纽经济能级和开放通道优势，打造东部枢纽产业城。</w:t>
      </w:r>
    </w:p>
    <w:p>
      <w:pPr>
        <w:spacing w:line="560" w:lineRule="exact"/>
        <w:ind w:firstLine="643"/>
        <w:jc w:val="both"/>
        <w:rPr>
          <w:rFonts w:ascii="仿宋_GB2312" w:hAnsi="仿宋_GB2312" w:cs="仿宋_GB2312"/>
        </w:rPr>
      </w:pPr>
      <w:r>
        <w:rPr>
          <w:rFonts w:hint="eastAsia" w:ascii="仿宋_GB2312" w:hAnsi="仿宋_GB2312" w:cs="仿宋_GB2312"/>
          <w:b/>
          <w:bCs/>
        </w:rPr>
        <w:t>对标“南美”生态农业，创建美丽生态示范保护区。</w:t>
      </w:r>
      <w:r>
        <w:rPr>
          <w:rFonts w:hint="eastAsia" w:ascii="仿宋_GB2312" w:hAnsi="仿宋_GB2312" w:cs="仿宋_GB2312"/>
        </w:rPr>
        <w:t>坚持“三生融合”理念，打造乡村振兴齐鲁样板的历城品牌。落实绿色发展理念，以山体绿化美化、河道治理、泉水保护、人居环境整治为重点，积极推动山水林田湖草综合治理。科学编制村庄规划，稳妥推进美丽宜居乡村建设，完善村居公共服务设施，促进乡村环境、社会治理、公共服务等全面提升。培育壮大特色产业，实现农业规模化、集约化发展，以土地整治、水利建设、新型经营主体培育、农业科技成果应用为重点，夯实农业生产基础设施。对接高校科研资源和大型农业龙头企业，坚持站在全省农业发展制高点和产业链高端，集聚农业科技资源和农企总部，发展数字农业、智慧农业、都市农业、会展农业，推进三次产业深度融合。</w:t>
      </w:r>
    </w:p>
    <w:p>
      <w:pPr>
        <w:spacing w:line="560" w:lineRule="exact"/>
        <w:ind w:firstLine="643"/>
        <w:jc w:val="both"/>
        <w:rPr>
          <w:rFonts w:ascii="仿宋_GB2312" w:hAnsi="仿宋_GB2312" w:cs="仿宋_GB2312"/>
        </w:rPr>
      </w:pPr>
      <w:r>
        <w:rPr>
          <w:rFonts w:hint="eastAsia" w:ascii="仿宋_GB2312" w:hAnsi="仿宋_GB2312" w:cs="仿宋_GB2312"/>
          <w:b/>
          <w:bCs/>
        </w:rPr>
        <w:t>融入“北起”拥河发展，建设“产城河”一体化示范带。</w:t>
      </w:r>
      <w:r>
        <w:rPr>
          <w:rFonts w:hint="eastAsia" w:ascii="仿宋_GB2312" w:hAnsi="仿宋_GB2312" w:cs="仿宋_GB2312"/>
        </w:rPr>
        <w:t>紧抓“携河北跨”和黄河北岸城区开发建设重大契机，融入新旧动能转换起步区建设，推进沿黄区域基础设施、产业发展、公共服务、生态环保、要素资源一体化布局。畅通南北连接，推动黄河南北两岸融合互动，推进黄河南岸产业载体建设，引领带动黄河南岸城市品质提升。优化沿黄区域特色商圈环境，以新东站商圈、华山全福商圈等区域为核心，营造商业氛围、提升消费品质。引导区内产业结构高端化，通过抓高端载体、兴重点产业，引导人口和产业集聚，加快打造宜居宜业的拥河发展示范区。</w:t>
      </w:r>
    </w:p>
    <w:p>
      <w:pPr>
        <w:spacing w:line="560" w:lineRule="exact"/>
        <w:ind w:firstLine="643"/>
        <w:jc w:val="both"/>
        <w:rPr>
          <w:rFonts w:ascii="仿宋_GB2312" w:hAnsi="仿宋_GB2312" w:cs="仿宋_GB2312"/>
        </w:rPr>
      </w:pPr>
      <w:r>
        <w:rPr>
          <w:rFonts w:hint="eastAsia" w:ascii="仿宋_GB2312" w:hAnsi="仿宋_GB2312" w:cs="仿宋_GB2312"/>
          <w:b/>
          <w:bCs/>
        </w:rPr>
        <w:t>突破“中优”城市优化，打造高品质城市会客厅。</w:t>
      </w:r>
      <w:r>
        <w:rPr>
          <w:rFonts w:hint="eastAsia" w:ascii="仿宋" w:hAnsi="仿宋" w:cs="仿宋"/>
          <w:szCs w:val="22"/>
        </w:rPr>
        <w:t>发挥“中优突击队”作用，聚焦城区四街道，推进城市“瘦身健体”和减量增效，</w:t>
      </w:r>
      <w:r>
        <w:rPr>
          <w:rFonts w:hint="eastAsia" w:ascii="仿宋_GB2312" w:hAnsi="仿宋_GB2312" w:cs="仿宋_GB2312"/>
        </w:rPr>
        <w:t>推动城市品质化、功能现代化和业态高端</w:t>
      </w:r>
      <w:r>
        <w:rPr>
          <w:rFonts w:hint="eastAsia" w:ascii="仿宋" w:hAnsi="仿宋" w:cs="仿宋"/>
          <w:szCs w:val="22"/>
        </w:rPr>
        <w:t>化。优化科研服务，</w:t>
      </w:r>
      <w:r>
        <w:rPr>
          <w:rFonts w:hint="eastAsia" w:ascii="仿宋_GB2312" w:hAnsi="仿宋_GB2312" w:cs="仿宋_GB2312"/>
        </w:rPr>
        <w:t>依托山大科学城，引进国内外知名高校院所或研究团队，合作共建创新平台，满足办学、科研与创业需求；完善科创产业配套设施，建设一批研究院、书店、体育健身场馆、共享会议室等公共空间，打造“科学家会客厅”。</w:t>
      </w:r>
      <w:r>
        <w:rPr>
          <w:rFonts w:hint="eastAsia" w:ascii="仿宋" w:hAnsi="仿宋" w:cs="仿宋"/>
          <w:szCs w:val="22"/>
        </w:rPr>
        <w:t>合理利用地下空间，结合轨道站点，实现地上建筑与地下开发形成良性互动，使地下空间成为区内科创商业文化业态的有机部分。优化业态结构，</w:t>
      </w:r>
      <w:r>
        <w:rPr>
          <w:rFonts w:hint="eastAsia" w:ascii="仿宋_GB2312" w:hAnsi="仿宋_GB2312" w:cs="仿宋_GB2312"/>
        </w:rPr>
        <w:t>将低效产业业态逐渐向外疏解，充分对接高校院所各类高新学科，有序植入科创产业、高端产业，推进各类科创类企业、资本加强合作，形成完整产业链条</w:t>
      </w:r>
      <w:r>
        <w:rPr>
          <w:rFonts w:hint="eastAsia" w:ascii="仿宋" w:hAnsi="仿宋" w:cs="仿宋"/>
          <w:szCs w:val="22"/>
        </w:rPr>
        <w:t>。</w:t>
      </w:r>
    </w:p>
    <w:p>
      <w:pPr>
        <w:spacing w:line="560" w:lineRule="exact"/>
        <w:ind w:firstLine="643"/>
        <w:jc w:val="both"/>
        <w:rPr>
          <w:rFonts w:ascii="仿宋_GB2312" w:hAnsi="仿宋_GB2312" w:cs="仿宋_GB2312"/>
          <w:b/>
          <w:bCs/>
          <w:szCs w:val="22"/>
        </w:rPr>
      </w:pPr>
      <w:r>
        <w:rPr>
          <w:rFonts w:hint="eastAsia" w:ascii="仿宋_GB2312" w:hAnsi="仿宋_GB2312" w:cs="仿宋_GB2312"/>
          <w:b/>
          <w:bCs/>
          <w:szCs w:val="22"/>
        </w:rPr>
        <w:t>二、助力省会经济圈一体化发展</w:t>
      </w:r>
    </w:p>
    <w:p>
      <w:pPr>
        <w:spacing w:line="560" w:lineRule="exact"/>
        <w:jc w:val="both"/>
        <w:rPr>
          <w:rFonts w:asciiTheme="minorHAnsi" w:hAnsiTheme="minorHAnsi" w:cstheme="minorBidi"/>
        </w:rPr>
      </w:pPr>
      <w:r>
        <w:rPr>
          <w:rFonts w:hint="eastAsia" w:ascii="仿宋_GB2312" w:hAnsi="仿宋_GB2312" w:cs="仿宋_GB2312"/>
        </w:rPr>
        <w:t>省会经济圈一体化发展使交通物流障碍和行政区划壁垒逐渐打破，区域间经济文化交流、错位发展合作将更加深化。历城区作为华北连接华东、沿海通达内地的重要陆空交通枢纽，未来将进一步发挥紧邻遥墙国际</w:t>
      </w:r>
      <w:r>
        <w:rPr>
          <w:rFonts w:hint="eastAsia" w:ascii="仿宋_GB2312" w:hAnsi="仿宋_GB2312" w:cs="仿宋_GB2312"/>
          <w:szCs w:val="22"/>
        </w:rPr>
        <w:t>机场，高速公路、国省道纵横交错的区位优势，推动省会经济圈枢纽地位提升；不断加快经济高质量发展步伐，紧扣新旧动能转换战略部署，推进产业升级改造，筑牢实体经济基础，助力省会经济圈经济发展动力更加强劲；充分发挥科教资源密集优势，提升省会经济圈科技创新实力；不断挖掘历城历史文化底蕴，整合区内文化旅游资源，更好助力省会经济圈</w:t>
      </w:r>
      <w:r>
        <w:rPr>
          <w:rFonts w:hint="eastAsia" w:ascii="仿宋_GB2312" w:hAnsi="仿宋_GB2312" w:cs="仿宋_GB2312"/>
        </w:rPr>
        <w:t>打造文明交流互鉴高地。我区将紧抓区域深入合作推进大趋势，积极参与、广泛协作，扩展和延伸市场辐射空间，真正实现在竞争中壮大、在合作中发展。</w:t>
      </w:r>
    </w:p>
    <w:p>
      <w:pPr>
        <w:pStyle w:val="3"/>
        <w:spacing w:line="560" w:lineRule="exact"/>
        <w:rPr>
          <w:rFonts w:hint="default"/>
        </w:rPr>
      </w:pPr>
      <w:bookmarkStart w:id="44" w:name="_Toc8781"/>
      <w:bookmarkStart w:id="45" w:name="_Toc21021"/>
      <w:bookmarkStart w:id="46" w:name="_Toc32171"/>
      <w:r>
        <w:t>第五章全面塑造创新驱动发展新优势</w:t>
      </w:r>
      <w:bookmarkEnd w:id="44"/>
      <w:bookmarkEnd w:id="45"/>
      <w:bookmarkEnd w:id="46"/>
    </w:p>
    <w:p>
      <w:pPr>
        <w:spacing w:line="560" w:lineRule="exact"/>
        <w:jc w:val="both"/>
        <w:rPr>
          <w:rFonts w:ascii="仿宋_GB2312" w:hAnsi="仿宋_GB2312" w:cs="仿宋_GB2312"/>
        </w:rPr>
      </w:pPr>
      <w:r>
        <w:rPr>
          <w:rFonts w:hint="eastAsia" w:ascii="仿宋_GB2312" w:hAnsi="仿宋_GB2312" w:cs="仿宋_GB2312"/>
        </w:rPr>
        <w:t>充分利用高校资源密集和产业发展良好优势，深入实施创新驱动战略，增强企业自主研发能力，推动形成科技力量引领、创新人才集聚、成果转化完善的创新体系，聚力打造</w:t>
      </w:r>
      <w:bookmarkStart w:id="47" w:name="_Toc26450"/>
      <w:r>
        <w:rPr>
          <w:rFonts w:hint="eastAsia" w:ascii="仿宋_GB2312" w:hAnsi="仿宋_GB2312" w:cs="仿宋_GB2312"/>
        </w:rPr>
        <w:t>“科创历城”。</w:t>
      </w:r>
    </w:p>
    <w:p>
      <w:pPr>
        <w:pStyle w:val="4"/>
        <w:spacing w:line="560" w:lineRule="exact"/>
      </w:pPr>
      <w:bookmarkStart w:id="48" w:name="_Toc16244"/>
      <w:bookmarkStart w:id="49" w:name="_Toc19705"/>
      <w:r>
        <w:rPr>
          <w:rFonts w:hint="eastAsia"/>
        </w:rPr>
        <w:t>第一节强化全区科技创新力量</w:t>
      </w:r>
      <w:bookmarkEnd w:id="48"/>
      <w:bookmarkEnd w:id="49"/>
    </w:p>
    <w:p>
      <w:pPr>
        <w:spacing w:line="560" w:lineRule="exact"/>
        <w:jc w:val="both"/>
        <w:rPr>
          <w:rFonts w:ascii="仿宋_GB2312" w:hAnsi="仿宋_GB2312" w:cs="仿宋_GB2312"/>
        </w:rPr>
      </w:pPr>
      <w:r>
        <w:rPr>
          <w:rFonts w:hint="eastAsia" w:ascii="仿宋_GB2312" w:hAnsi="仿宋_GB2312" w:cs="仿宋_GB2312"/>
        </w:rPr>
        <w:t>加强顶层设计和系统布局，进一步完善面向新时代发展需求的创新体系，强化全区科技创新力量与市场主体融通协同，畅通创新价值链，形成各类创新主体功能互补、良性互动的创新格局。</w:t>
      </w:r>
    </w:p>
    <w:p>
      <w:pPr>
        <w:spacing w:line="560" w:lineRule="exact"/>
        <w:ind w:firstLine="643"/>
        <w:jc w:val="both"/>
        <w:rPr>
          <w:rFonts w:ascii="仿宋_GB2312" w:hAnsi="仿宋_GB2312" w:cs="仿宋_GB2312"/>
        </w:rPr>
      </w:pPr>
      <w:r>
        <w:rPr>
          <w:rFonts w:hint="eastAsia" w:ascii="仿宋_GB2312" w:hAnsi="仿宋_GB2312" w:cs="仿宋_GB2312"/>
          <w:b/>
          <w:bCs/>
        </w:rPr>
        <w:t>组织实施重大科技任务。</w:t>
      </w:r>
      <w:r>
        <w:rPr>
          <w:rFonts w:hint="eastAsia" w:ascii="仿宋_GB2312" w:hAnsi="仿宋_GB2312" w:cs="仿宋_GB2312"/>
        </w:rPr>
        <w:t>集中力量打好关键核心技术攻坚战，加大重点领域科技投入力度，采取“揭榜挂帅”等方式，引导高校和科研院所积极参与解决基础软硬件、新能源等“卡脖子”的关键技术问题。面向世界科技前沿和国家战略需求，加强产业技术研究和原始创新，精准对标核心产业技术应用，重点围绕空天科技、生物医药、新一代信息技术、人工智能、轨道交通、生命科学、工业互联网、地下空间开发等重点产业技术，实施一批具有前瞻性、战略性的科技项目。以智能化应用为导向，积极推进国家新一代人工智能创新发展试验区建设。</w:t>
      </w:r>
    </w:p>
    <w:p>
      <w:pPr>
        <w:spacing w:line="560" w:lineRule="exact"/>
        <w:ind w:firstLine="643"/>
        <w:jc w:val="both"/>
        <w:rPr>
          <w:rFonts w:ascii="仿宋_GB2312" w:hAnsi="仿宋_GB2312" w:cs="仿宋_GB2312"/>
        </w:rPr>
      </w:pPr>
      <w:r>
        <w:rPr>
          <w:rFonts w:hint="eastAsia" w:ascii="仿宋_GB2312" w:hAnsi="仿宋_GB2312" w:cs="仿宋_GB2312"/>
          <w:b/>
          <w:bCs/>
        </w:rPr>
        <w:t>强化高水平创新载体建设。</w:t>
      </w:r>
      <w:r>
        <w:rPr>
          <w:rFonts w:hint="eastAsia" w:ascii="仿宋_GB2312" w:hAnsi="仿宋_GB2312" w:cs="仿宋_GB2312"/>
        </w:rPr>
        <w:t>围绕科技创新发展现实需求，加强重大科技创新载体、新型研发机构建设，夯实科技创新基础，增强创新发展源头供给。充分发挥大企业引领创新作用，做优做强产业关联环节，牵引带动上下游中小企业共同搭建共性技术平台。打造“升级版”双创载体，加快高端创新资源集聚，配合商业、娱乐、教育、医疗等开放式共享社区配套，形成全过程创业孵化链，营造“创新+孵化+社区”的创新创业环境。重点支持市级及以上重点实验室、技术创新中心、工程技术研究中心建设，加快空天信息齐鲁研究院、山东高等技术研究院建设，推动中国科学院、中国中医科学院在历城设立分支机构。</w:t>
      </w:r>
    </w:p>
    <w:p>
      <w:pPr>
        <w:spacing w:line="560" w:lineRule="exact"/>
        <w:ind w:firstLine="643"/>
        <w:jc w:val="both"/>
        <w:rPr>
          <w:rFonts w:ascii="仿宋_GB2312" w:hAnsi="仿宋_GB2312" w:cs="仿宋_GB2312"/>
        </w:rPr>
      </w:pPr>
      <w:r>
        <w:rPr>
          <w:rFonts w:hint="eastAsia" w:ascii="仿宋_GB2312" w:hAnsi="仿宋_GB2312" w:cs="仿宋_GB2312"/>
          <w:b/>
          <w:bCs/>
        </w:rPr>
        <w:t>提升知识产权管理能力。</w:t>
      </w:r>
      <w:r>
        <w:rPr>
          <w:rFonts w:hint="eastAsia" w:ascii="仿宋_GB2312" w:hAnsi="仿宋_GB2312" w:cs="仿宋_GB2312"/>
        </w:rPr>
        <w:t>重点抓好知识产权公共服务平台建设，强化知识产权保护意识，健全完善知识产权保护信息通报制度和执法协作机制。鼓励行业协会建立知识产权保护自律和信息沟通机制，引导代理行业加强自律自治，全面提升代理机构监管水平。加快建立健全志愿者制度，调动社会力量积极参与知识产权保护治理。</w:t>
      </w:r>
      <w:r>
        <w:rPr>
          <w:rFonts w:hint="eastAsia"/>
        </w:rPr>
        <w:t>严格打击侵犯知识产权违法行为，持续开展重点领域、关键环节执法检查活动，提升打击侵权假冒行为效率及精准度。</w:t>
      </w:r>
    </w:p>
    <w:p>
      <w:pPr>
        <w:pStyle w:val="4"/>
        <w:spacing w:line="560" w:lineRule="exact"/>
      </w:pPr>
      <w:bookmarkStart w:id="50" w:name="_Toc29264"/>
      <w:bookmarkStart w:id="51" w:name="_Toc17161"/>
      <w:r>
        <w:rPr>
          <w:rFonts w:hint="eastAsia"/>
        </w:rPr>
        <w:t>第二节提升企业</w:t>
      </w:r>
      <w:bookmarkEnd w:id="47"/>
      <w:r>
        <w:rPr>
          <w:rFonts w:hint="eastAsia"/>
        </w:rPr>
        <w:t>技术创新能力</w:t>
      </w:r>
      <w:bookmarkEnd w:id="50"/>
      <w:bookmarkEnd w:id="51"/>
    </w:p>
    <w:p>
      <w:pPr>
        <w:spacing w:line="560" w:lineRule="exact"/>
        <w:jc w:val="both"/>
        <w:rPr>
          <w:rFonts w:asciiTheme="minorHAnsi" w:hAnsiTheme="minorHAnsi" w:cstheme="minorBidi"/>
        </w:rPr>
      </w:pPr>
      <w:r>
        <w:rPr>
          <w:rFonts w:hint="eastAsia" w:asciiTheme="minorHAnsi" w:hAnsiTheme="minorHAnsi" w:cstheme="minorBidi"/>
        </w:rPr>
        <w:t>围绕主导产业，推动创新要素向企业集聚，加强企业主体在科技创新体系中的主导作用，形成以企业为主体、市场为导向的协同创新体系。</w:t>
      </w:r>
    </w:p>
    <w:p>
      <w:pPr>
        <w:spacing w:line="560" w:lineRule="exact"/>
        <w:ind w:firstLine="643"/>
        <w:jc w:val="both"/>
        <w:rPr>
          <w:rFonts w:ascii="仿宋_GB2312" w:hAnsi="仿宋_GB2312" w:cs="仿宋_GB2312"/>
        </w:rPr>
      </w:pPr>
      <w:r>
        <w:rPr>
          <w:rFonts w:hint="eastAsia" w:ascii="仿宋_GB2312" w:hAnsi="仿宋_GB2312" w:cs="仿宋_GB2312"/>
          <w:b/>
          <w:bCs/>
        </w:rPr>
        <w:t>培育壮大创新主体。</w:t>
      </w:r>
      <w:r>
        <w:rPr>
          <w:rFonts w:hint="eastAsia" w:ascii="仿宋_GB2312" w:hAnsi="仿宋_GB2312" w:cs="仿宋_GB2312"/>
        </w:rPr>
        <w:t>强化企业创新主体地位，贯彻落实各项扶持政策，加大对高新技术企业、技术先进型服务企业、创新领军企业等支持力度，完善各类企业的认定管理工作。促进高新技术企业发展，力争高新技术企业产值占规模以上工业产值比重达到73%以上。打造科技创新中小企业梯队培育体系，建设企业培育库，培养一批有发展潜力的科技型“隐形冠军”及在行业中创新能力强的“瞪羚”企业。支持人工智能、大数据、智能制造等新兴龙头企业做大做强，实现企业科技创新的裂变效应。吸引科研类头部企业在历城建立总部及研发中心等，支持具有核心性、原创性、带动性技术和产品的初创企业加快发展。推进济南超算中心科技园建设，大力引进科创优质企业落户我区。</w:t>
      </w:r>
    </w:p>
    <w:p>
      <w:pPr>
        <w:spacing w:line="560" w:lineRule="exact"/>
        <w:ind w:firstLine="643"/>
        <w:jc w:val="both"/>
        <w:rPr>
          <w:rFonts w:ascii="仿宋_GB2312" w:hAnsi="仿宋_GB2312" w:cs="仿宋_GB2312"/>
        </w:rPr>
      </w:pPr>
      <w:r>
        <w:rPr>
          <w:rFonts w:hint="eastAsia" w:ascii="仿宋_GB2312" w:hAnsi="仿宋_GB2312" w:cs="仿宋_GB2312"/>
          <w:b/>
          <w:bCs/>
        </w:rPr>
        <w:t>激发创新主体活力。</w:t>
      </w:r>
      <w:r>
        <w:rPr>
          <w:rFonts w:hint="eastAsia" w:ascii="仿宋_GB2312" w:hAnsi="仿宋_GB2312" w:cs="仿宋_GB2312"/>
        </w:rPr>
        <w:t>按照“一企一议”的原则，制定针对性、精细化的创新支持政策，提升企业创新政策质效。鼓励企业制定创新战略，提高技改投资，开展产品创新、商业模式创新、组织方式创新，完善创新驱动和研发投入稳定增长机制。支持龙头企业牵头组建创新联合体，承担国家重大科技项目。发挥企业家在科技创新中的重要作用，吸收更多企业家参与科技创新政策及标准制定和立项评估等工作，激发企业家创新活力和创造潜能。</w:t>
      </w:r>
    </w:p>
    <w:p>
      <w:pPr>
        <w:spacing w:line="560" w:lineRule="exact"/>
        <w:ind w:firstLine="643"/>
        <w:jc w:val="both"/>
        <w:rPr>
          <w:rFonts w:ascii="仿宋_GB2312" w:hAnsi="仿宋_GB2312" w:cs="仿宋_GB2312"/>
        </w:rPr>
      </w:pPr>
      <w:r>
        <w:rPr>
          <w:rFonts w:hint="eastAsia" w:asciiTheme="minorHAnsi" w:hAnsiTheme="minorHAnsi" w:cstheme="minorBidi"/>
          <w:b/>
          <w:bCs/>
        </w:rPr>
        <w:t>推进产学研深度融合。</w:t>
      </w:r>
      <w:r>
        <w:rPr>
          <w:rFonts w:hint="eastAsia" w:ascii="仿宋_GB2312" w:hAnsi="仿宋_GB2312" w:cs="仿宋_GB2312"/>
        </w:rPr>
        <w:t>推动创新要素向企业集聚，完善产学研协同创新模式。建设产业技术创新联盟、共性技术平台，支持高校、科研院所与企业深度合作，实现全产业链上企业融通创新。鼓励园区企业之间在技术研发、项目建设、市场销售等方面加强合作。积极促进科技型大企业、中小企业、高等院校、科研院所等开展科技战略合作</w:t>
      </w:r>
      <w:bookmarkStart w:id="52" w:name="_Toc30399"/>
      <w:bookmarkStart w:id="53" w:name="_Toc55576963"/>
      <w:bookmarkStart w:id="54" w:name="_Toc55481453"/>
      <w:r>
        <w:rPr>
          <w:rFonts w:hint="eastAsia" w:ascii="仿宋_GB2312" w:hAnsi="仿宋_GB2312" w:cs="仿宋_GB2312"/>
        </w:rPr>
        <w:t>，实现科技成果供给端与需求端精准对接，加快推进优秀科技成果产业化、批量化、规模化，打造“政产学研金服用”创新创业共同体。</w:t>
      </w:r>
    </w:p>
    <w:bookmarkEnd w:id="52"/>
    <w:bookmarkEnd w:id="53"/>
    <w:bookmarkEnd w:id="54"/>
    <w:p>
      <w:pPr>
        <w:pStyle w:val="4"/>
        <w:spacing w:line="560" w:lineRule="exact"/>
      </w:pPr>
      <w:bookmarkStart w:id="55" w:name="_Toc28513"/>
      <w:bookmarkStart w:id="56" w:name="_Toc564"/>
      <w:bookmarkStart w:id="57" w:name="_Toc31643"/>
      <w:r>
        <w:rPr>
          <w:rFonts w:hint="eastAsia"/>
        </w:rPr>
        <w:t>第三节构建良好</w:t>
      </w:r>
      <w:bookmarkEnd w:id="55"/>
      <w:r>
        <w:rPr>
          <w:rFonts w:hint="eastAsia"/>
        </w:rPr>
        <w:t>科技创新生态</w:t>
      </w:r>
      <w:bookmarkEnd w:id="56"/>
      <w:bookmarkEnd w:id="57"/>
    </w:p>
    <w:p>
      <w:pPr>
        <w:spacing w:line="560" w:lineRule="exact"/>
        <w:jc w:val="both"/>
        <w:rPr>
          <w:rFonts w:ascii="仿宋_GB2312" w:hAnsi="仿宋_GB2312" w:cs="仿宋_GB2312"/>
        </w:rPr>
      </w:pPr>
      <w:r>
        <w:rPr>
          <w:rFonts w:hint="eastAsia" w:ascii="仿宋_GB2312" w:hAnsi="仿宋_GB2312" w:cs="仿宋_GB2312"/>
        </w:rPr>
        <w:t>优化科技创新管理机制，强化资金等要素资源支撑力度，推动“三区联动，融合发展”，构建氛围活跃、成果转化迅速的创新生态。</w:t>
      </w:r>
    </w:p>
    <w:p>
      <w:pPr>
        <w:spacing w:line="560" w:lineRule="exact"/>
        <w:ind w:firstLine="643"/>
        <w:jc w:val="both"/>
      </w:pPr>
      <w:r>
        <w:rPr>
          <w:rFonts w:hint="eastAsia"/>
          <w:b/>
          <w:bCs/>
        </w:rPr>
        <w:t>优化科技服务功能布局。</w:t>
      </w:r>
      <w:r>
        <w:rPr>
          <w:rFonts w:hint="eastAsia"/>
        </w:rPr>
        <w:t>坚持“大学的城市、城市的大学”理念，实施校区、园区、社区“三区联动”，由大学校区提供创新创业智力资源和产业项目，科技园区提供大学师生和居民就业平台，公共社区为校区和园区提供优质公共服务和要素资源，创造优越的生产生活环境。以经十东路、旅游路为轴线，引进更多国内外知名院校设立研究生院、技术研发中心等研究机构，建设高端人才会客厅。在山东大学、山东建筑大学、山东体育学院、齐鲁工业大学（省科学院）等高校院所周边实施业态更新、品质提升，建设“环大学一公里创新创业生态圈”，鼓励教师、学生和科研团队在我区创新创业，推动科技成果就地优先落地拓展，形成开放创新生态系统与产教融合集聚区。</w:t>
      </w:r>
    </w:p>
    <w:p>
      <w:pPr>
        <w:spacing w:line="560" w:lineRule="exact"/>
        <w:ind w:firstLine="643"/>
        <w:contextualSpacing/>
        <w:jc w:val="both"/>
        <w:rPr>
          <w:rFonts w:ascii="仿宋_GB2312" w:hAnsi="仿宋_GB2312" w:cs="仿宋_GB2312"/>
          <w:szCs w:val="32"/>
        </w:rPr>
      </w:pPr>
      <w:r>
        <w:rPr>
          <w:rFonts w:hint="eastAsia" w:ascii="仿宋_GB2312" w:hAnsi="仿宋_GB2312" w:cs="仿宋_GB2312"/>
          <w:b/>
          <w:bCs/>
          <w:szCs w:val="32"/>
        </w:rPr>
        <w:t>全力服务高校和科研院所。</w:t>
      </w:r>
      <w:r>
        <w:rPr>
          <w:rFonts w:hint="eastAsia" w:ascii="仿宋_GB2312" w:hAnsi="仿宋_GB2312" w:cs="仿宋_GB2312"/>
          <w:szCs w:val="32"/>
        </w:rPr>
        <w:t>以“大学所需城市社会服务功能全方位提供者”为定位，构建校地合作新模式。为高校和科研院所提供生活配套服务，打造高端人才公寓，开辟子女入学“绿色通道”，做好人才随迁配偶就业安置，打造宜居生活空间。提供创新创业生态服务，为高校师生团队创新创业提供一对一服务，为创业项目提供审批、融资、上市等全方位服务。提供学校学科发展需求服务，为高校师生创新创业提供拎包入驻的物理空间，满足各学科办学、科研与创业需求。</w:t>
      </w:r>
    </w:p>
    <w:p>
      <w:pPr>
        <w:spacing w:line="560" w:lineRule="exact"/>
        <w:ind w:firstLine="643"/>
        <w:jc w:val="both"/>
        <w:rPr>
          <w:rFonts w:ascii="仿宋_GB2312" w:hAnsi="仿宋_GB2312" w:cs="仿宋_GB2312"/>
          <w:szCs w:val="32"/>
        </w:rPr>
      </w:pPr>
      <w:bookmarkStart w:id="58" w:name="_Toc45647623"/>
      <w:r>
        <w:rPr>
          <w:rFonts w:hint="eastAsia" w:ascii="仿宋_GB2312" w:hAnsi="仿宋_GB2312" w:cs="仿宋_GB2312"/>
          <w:b/>
          <w:bCs/>
        </w:rPr>
        <w:t>强化资金扶持力度。</w:t>
      </w:r>
      <w:r>
        <w:rPr>
          <w:rFonts w:hint="eastAsia" w:ascii="仿宋_GB2312" w:hAnsi="仿宋_GB2312" w:cs="仿宋_GB2312"/>
          <w:szCs w:val="32"/>
        </w:rPr>
        <w:t>组建历城区科创基金，引进创投基金、风投基金等，支持省、市优质科研成果在我区转移转化。创新政银企联动机制，为创业创新注入金融活水，引导保险机构开发科创项目保险相关产品。加快发展金融超市等开放式投融资信息服务平台，发挥商业保理、融资租赁、应急转贷、小额贷款等地方金融组织功能，提高资金供需双方精准匹配程度。大力实施科技金融融合行动，创新金融服务科技途径，实现创新链、资金链、价值链融合互动，形成“科技+人才+平台+产业+资本”生态闭环。</w:t>
      </w:r>
      <w:bookmarkEnd w:id="58"/>
    </w:p>
    <w:p>
      <w:pPr>
        <w:spacing w:line="560" w:lineRule="exact"/>
        <w:ind w:firstLine="643"/>
        <w:jc w:val="both"/>
      </w:pPr>
      <w:r>
        <w:rPr>
          <w:rFonts w:hint="eastAsia"/>
          <w:b/>
          <w:bCs/>
        </w:rPr>
        <w:t>推进创新成果转化。</w:t>
      </w:r>
      <w:r>
        <w:rPr>
          <w:rFonts w:hint="eastAsia"/>
        </w:rPr>
        <w:t>以获批建设“山东省技术转移先进区”为契机，发挥引领示范和标杆样板作用，全面提升全区科技成果转化效率。加强对各类科技成果转化和产学研合作平台的集中管理，推动项目、技术、人才、资金一体化配置，健全成果转化“全链条”服务体系。搭建济南市知识产权服务业集聚区等各类科技服务资源和服务平台，依托济南（历城）国际知识产权高端服务业集聚区，创新科技成果货币化模式，打造上海房德科创、浪潮云创、山东种业集团等一批科技服务平台。建立技术经纪人驿站，打造技术经纪人队伍，依托市场化运转，批量化、规模化转移转化科技成果，打造技术交易“线上+线下”全链条综合性技术交易市场。突出齐鲁科创大走廊辐射带动作用，规划布局大科学装置、科技研发、创新转化和配套服务龙头项目，形成涵盖“重大设施—基础研究—成果转化—产业化”的完整创新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69" w:type="dxa"/>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b/>
                <w:bCs/>
                <w:sz w:val="28"/>
                <w:szCs w:val="28"/>
              </w:rPr>
              <w:t>专栏5.1 重点科创空间建设工程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9" w:type="dxa"/>
          </w:tcPr>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环山东大学创业街区改造提升工程。</w:t>
            </w:r>
            <w:r>
              <w:rPr>
                <w:rFonts w:hint="eastAsia" w:ascii="楷体_GB2312" w:hAnsi="楷体_GB2312" w:eastAsia="楷体_GB2312" w:cs="楷体_GB2312"/>
                <w:sz w:val="28"/>
                <w:szCs w:val="28"/>
              </w:rPr>
              <w:t>落实</w:t>
            </w:r>
            <w:r>
              <w:rPr>
                <w:rFonts w:ascii="楷体_GB2312" w:hAnsi="楷体_GB2312" w:eastAsia="楷体_GB2312" w:cs="楷体_GB2312"/>
                <w:sz w:val="28"/>
                <w:szCs w:val="28"/>
              </w:rPr>
              <w:t>“中优”片区规划实施意见，拟对洪楼广场进行改造提升，在原基础之上向东西方向延伸，同时拟充分结合轨道交通项目开发利用广场地下空间，将其打造</w:t>
            </w:r>
            <w:r>
              <w:rPr>
                <w:rFonts w:hint="eastAsia" w:ascii="楷体_GB2312" w:hAnsi="楷体_GB2312" w:eastAsia="楷体_GB2312" w:cs="楷体_GB2312"/>
                <w:sz w:val="28"/>
                <w:szCs w:val="28"/>
              </w:rPr>
              <w:t>成为</w:t>
            </w:r>
            <w:r>
              <w:rPr>
                <w:rFonts w:ascii="楷体_GB2312" w:hAnsi="楷体_GB2312" w:eastAsia="楷体_GB2312" w:cs="楷体_GB2312"/>
                <w:sz w:val="28"/>
                <w:szCs w:val="28"/>
              </w:rPr>
              <w:t>特色商业区。</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全福河水系景观提升科创长廊建设工程。</w:t>
            </w:r>
            <w:r>
              <w:rPr>
                <w:rFonts w:hint="eastAsia" w:ascii="楷体_GB2312" w:hAnsi="楷体_GB2312" w:eastAsia="楷体_GB2312" w:cs="楷体_GB2312"/>
                <w:sz w:val="28"/>
                <w:szCs w:val="28"/>
              </w:rPr>
              <w:t>全福河二环东路至小清河段拓宽改造、蓄水扩面，打造成集泄洪、休闲与娱乐为一体的功能景观河；沿河两侧汇集各类科技服务性设施，打造科研交流、商务洽谈、文化活动的魅力风景带。</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胶济铁路沿线科技文化要素提升工程。</w:t>
            </w:r>
            <w:r>
              <w:rPr>
                <w:rFonts w:hint="eastAsia" w:ascii="楷体_GB2312" w:hAnsi="楷体_GB2312" w:eastAsia="楷体_GB2312" w:cs="楷体_GB2312"/>
                <w:sz w:val="28"/>
                <w:szCs w:val="28"/>
              </w:rPr>
              <w:t>沿胶济铁路，借助环联不夜城等开敞空间资源，依托轨道交通沿线站点，发挥山东工艺美院等高校资源优势，汇集创意工坊、艺术画廊、科普展览及风情美食、夜景灯光秀、户外运动等丰富多元的科技文化休闲要素。</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产教融合会客厅建设工程。</w:t>
            </w:r>
            <w:r>
              <w:rPr>
                <w:rFonts w:hint="eastAsia" w:ascii="楷体_GB2312" w:hAnsi="楷体_GB2312" w:eastAsia="楷体_GB2312" w:cs="楷体_GB2312"/>
                <w:sz w:val="28"/>
                <w:szCs w:val="28"/>
              </w:rPr>
              <w:t>全面整合山东商业职业技术学院洪楼校区、西周历史村居片区等资源，打造产教融合样本工程，争取承接举办国家级科技成果转化高端峰会。</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环高校科创生态圈建设工程。</w:t>
            </w:r>
            <w:r>
              <w:rPr>
                <w:rFonts w:hint="eastAsia" w:ascii="楷体_GB2312" w:hAnsi="楷体_GB2312" w:eastAsia="楷体_GB2312" w:cs="楷体_GB2312"/>
                <w:sz w:val="28"/>
                <w:szCs w:val="28"/>
              </w:rPr>
              <w:t>以山东大学、齐鲁工业大学（省科学院）、山东建筑大学、山东体育学院、山东青年政治学院、山东省农科院、山东农业工程学院等高校院所重点研究领域为依托，围绕高校院所周边一公里范围实施业态更新、品质提升，打造双创生态圈。</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科创空间开发建设工程。</w:t>
            </w:r>
            <w:r>
              <w:rPr>
                <w:rFonts w:hint="eastAsia" w:ascii="楷体_GB2312" w:hAnsi="楷体_GB2312" w:eastAsia="楷体_GB2312" w:cs="楷体_GB2312"/>
                <w:sz w:val="28"/>
                <w:szCs w:val="28"/>
              </w:rPr>
              <w:t>更新建设山大路街道、洪家楼街道、东风街道、全福街道现有部分楼宇空间，形成“一街道一园区、一园区一特色”的发展格局，积极争创国家级双创示范基地。</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lang w:val="zh-CN"/>
              </w:rPr>
              <w:t>济南地下工程技术研究院</w:t>
            </w:r>
            <w:r>
              <w:rPr>
                <w:rFonts w:hint="eastAsia" w:ascii="楷体_GB2312" w:hAnsi="楷体_GB2312" w:eastAsia="楷体_GB2312" w:cs="楷体_GB2312"/>
                <w:b/>
                <w:bCs/>
                <w:sz w:val="28"/>
                <w:szCs w:val="28"/>
              </w:rPr>
              <w:t>工程。</w:t>
            </w:r>
            <w:r>
              <w:rPr>
                <w:rFonts w:hint="eastAsia" w:ascii="楷体_GB2312" w:hAnsi="楷体_GB2312" w:eastAsia="楷体_GB2312" w:cs="楷体_GB2312"/>
                <w:sz w:val="28"/>
                <w:szCs w:val="28"/>
                <w:lang w:val="zh-CN"/>
              </w:rPr>
              <w:t>以院士</w:t>
            </w:r>
            <w:r>
              <w:rPr>
                <w:rFonts w:hint="eastAsia" w:ascii="楷体_GB2312" w:hAnsi="楷体_GB2312" w:eastAsia="楷体_GB2312" w:cs="楷体_GB2312"/>
                <w:sz w:val="28"/>
                <w:szCs w:val="28"/>
              </w:rPr>
              <w:t>专家</w:t>
            </w:r>
            <w:r>
              <w:rPr>
                <w:rFonts w:hint="eastAsia" w:ascii="楷体_GB2312" w:hAnsi="楷体_GB2312" w:eastAsia="楷体_GB2312" w:cs="楷体_GB2312"/>
                <w:sz w:val="28"/>
                <w:szCs w:val="28"/>
                <w:lang w:val="zh-CN"/>
              </w:rPr>
              <w:t>领衔，充分整合山东大学、山东建筑大学科研、人才、资源优势和相关公司地下工程建造优势、济钢防务技术有限公司平台优势，作为政府部门专门解决地下工程问题的专家智库。</w:t>
            </w:r>
          </w:p>
        </w:tc>
      </w:tr>
    </w:tbl>
    <w:p>
      <w:pPr>
        <w:pStyle w:val="4"/>
        <w:spacing w:line="560" w:lineRule="exact"/>
      </w:pPr>
      <w:bookmarkStart w:id="59" w:name="_Toc26047"/>
      <w:bookmarkStart w:id="60" w:name="_Toc19106"/>
      <w:r>
        <w:rPr>
          <w:rFonts w:hint="eastAsia"/>
        </w:rPr>
        <w:t>第四节大力实施人才强区战略</w:t>
      </w:r>
      <w:bookmarkEnd w:id="59"/>
      <w:bookmarkEnd w:id="60"/>
    </w:p>
    <w:p>
      <w:pPr>
        <w:spacing w:line="560" w:lineRule="exact"/>
        <w:jc w:val="both"/>
        <w:rPr>
          <w:rFonts w:asciiTheme="minorHAnsi" w:hAnsiTheme="minorHAnsi" w:cstheme="minorBidi"/>
        </w:rPr>
      </w:pPr>
      <w:r>
        <w:rPr>
          <w:rFonts w:hint="eastAsia" w:asciiTheme="minorHAnsi" w:hAnsiTheme="minorHAnsi" w:cstheme="minorBidi"/>
        </w:rPr>
        <w:t>加快建设人才强区，优化人才发展环境，加大重点产业人才扶持力度，提升科技人才服务综合水平，全面营造</w:t>
      </w:r>
      <w:r>
        <w:rPr>
          <w:rFonts w:hint="eastAsia" w:ascii="仿宋_GB2312" w:hAnsi="仿宋" w:cs="仿宋"/>
          <w:szCs w:val="32"/>
        </w:rPr>
        <w:t>“近悦远来”的人才发展氛围。</w:t>
      </w:r>
    </w:p>
    <w:p>
      <w:pPr>
        <w:spacing w:line="560" w:lineRule="exact"/>
        <w:ind w:firstLine="643"/>
        <w:jc w:val="both"/>
        <w:rPr>
          <w:rFonts w:asciiTheme="minorHAnsi" w:hAnsiTheme="minorHAnsi" w:cstheme="minorBidi"/>
          <w:b/>
          <w:bCs/>
        </w:rPr>
      </w:pPr>
      <w:r>
        <w:rPr>
          <w:rFonts w:hint="eastAsia" w:asciiTheme="minorHAnsi" w:hAnsiTheme="minorHAnsi" w:cstheme="minorBidi"/>
          <w:b/>
          <w:bCs/>
        </w:rPr>
        <w:t>加大人才引进力度。</w:t>
      </w:r>
      <w:r>
        <w:rPr>
          <w:rFonts w:hint="eastAsia" w:asciiTheme="minorHAnsi" w:hAnsiTheme="minorHAnsi" w:cstheme="minorBidi"/>
        </w:rPr>
        <w:t>加大重点产业人才引进力度，持续落实历城“黄金十条”人才扶持政策，</w:t>
      </w:r>
      <w:r>
        <w:rPr>
          <w:rFonts w:hint="eastAsia" w:ascii="仿宋_GB2312" w:hAnsi="仿宋_GB2312" w:cs="仿宋_GB2312"/>
        </w:rPr>
        <w:t>创新柔性招才引智机制，</w:t>
      </w:r>
      <w:r>
        <w:rPr>
          <w:rFonts w:hint="eastAsia" w:asciiTheme="minorHAnsi" w:hAnsiTheme="minorHAnsi" w:cstheme="minorBidi"/>
        </w:rPr>
        <w:t>制定生物医药、智能制造、数字经济、高端装备、物流贸易等重点产业的人才引进办法，帮助企业吸引留住人才，实现人才与产业互促共进。</w:t>
      </w:r>
      <w:r>
        <w:rPr>
          <w:rFonts w:hint="eastAsia" w:ascii="仿宋_GB2312" w:hAnsi="仿宋" w:cs="仿宋"/>
          <w:szCs w:val="32"/>
        </w:rPr>
        <w:t>深入推进企业科技创新特聘助理工程，选聘特聘助理服务驻区重点产业企业。</w:t>
      </w:r>
      <w:r>
        <w:rPr>
          <w:rFonts w:hint="eastAsia" w:asciiTheme="minorHAnsi" w:hAnsiTheme="minorHAnsi" w:cstheme="minorBidi"/>
        </w:rPr>
        <w:t>依托具有影响力的“大院”“大所”及众创空间优势，吸引海内外高层次人才和创业团队落户历城。</w:t>
      </w:r>
      <w:r>
        <w:rPr>
          <w:rFonts w:hint="eastAsia" w:ascii="仿宋_GB2312" w:hAnsi="仿宋" w:cs="仿宋"/>
          <w:szCs w:val="32"/>
        </w:rPr>
        <w:t>大力开展高层次人才选拔活动，面向企业家队伍选拔“历城领头雁”</w:t>
      </w:r>
      <w:r>
        <w:rPr>
          <w:rFonts w:hint="eastAsia" w:ascii="仿宋_GB2312" w:hAnsi="仿宋_GB2312" w:cs="仿宋_GB2312"/>
        </w:rPr>
        <w:t>。</w:t>
      </w:r>
    </w:p>
    <w:p>
      <w:pPr>
        <w:spacing w:line="560" w:lineRule="exact"/>
        <w:ind w:firstLine="643"/>
        <w:jc w:val="both"/>
        <w:rPr>
          <w:rFonts w:ascii="仿宋_GB2312" w:hAnsi="仿宋_GB2312" w:cs="仿宋_GB2312"/>
        </w:rPr>
      </w:pPr>
      <w:r>
        <w:rPr>
          <w:rFonts w:hint="eastAsia" w:asciiTheme="minorHAnsi" w:hAnsiTheme="minorHAnsi" w:cstheme="minorBidi"/>
          <w:b/>
          <w:bCs/>
        </w:rPr>
        <w:t>加大人才培养力度。</w:t>
      </w:r>
      <w:r>
        <w:rPr>
          <w:rFonts w:hint="eastAsia" w:ascii="仿宋_GB2312" w:hAnsi="仿宋" w:cs="仿宋"/>
          <w:szCs w:val="32"/>
        </w:rPr>
        <w:t>深入实施“历城专业技术拔尖人才”“历城精英人才”“历城工匠”等基础人才工程，梯次培养高端人才和高技能人才。建设高素质专业化人才队伍，依法保护企业家合法权益，激励企业家干事创业，培育具有国际视野和现代经营管理理念的企业家群体。完善高层次人才培训体系，</w:t>
      </w:r>
      <w:r>
        <w:rPr>
          <w:rFonts w:hint="eastAsia" w:ascii="仿宋_GB2312" w:hAnsi="仿宋_GB2312" w:cs="仿宋_GB2312"/>
        </w:rPr>
        <w:t>加强专业型</w:t>
      </w:r>
      <w:r>
        <w:rPr>
          <w:rFonts w:hint="eastAsia" w:ascii="仿宋_GB2312" w:hAnsi="仿宋" w:cs="仿宋"/>
          <w:szCs w:val="32"/>
        </w:rPr>
        <w:t>人才培养，积极引进国内外优质教育培训品牌，试点创办中外合作经营性教育培训机构和职业技能培训机构。加强农村人才队伍建设，培养留得住、用得上、懂技术、会经营的高素质本土人才。</w:t>
      </w:r>
      <w:r>
        <w:rPr>
          <w:rFonts w:hint="eastAsia" w:ascii="仿宋_GB2312" w:hAnsi="仿宋_GB2312" w:cs="仿宋_GB2312"/>
        </w:rPr>
        <w:t>提升人才服务平台功能，完善人才安居、人才就医、青年人才生活等精细化人才服务举措，打造“稼轩人才社区”一体化服务模式。</w:t>
      </w:r>
    </w:p>
    <w:p>
      <w:pPr>
        <w:pStyle w:val="3"/>
        <w:spacing w:line="560" w:lineRule="exact"/>
        <w:rPr>
          <w:rFonts w:hint="default"/>
        </w:rPr>
      </w:pPr>
      <w:bookmarkStart w:id="61" w:name="_Toc2215"/>
      <w:bookmarkStart w:id="62" w:name="_Toc27462"/>
      <w:r>
        <w:t>第六章做强产业构筑智造历城强引擎</w:t>
      </w:r>
      <w:bookmarkEnd w:id="61"/>
      <w:bookmarkEnd w:id="62"/>
    </w:p>
    <w:p>
      <w:pPr>
        <w:spacing w:line="560" w:lineRule="exact"/>
        <w:jc w:val="both"/>
        <w:rPr>
          <w:rFonts w:cs="宋体"/>
          <w:szCs w:val="22"/>
        </w:rPr>
      </w:pPr>
      <w:r>
        <w:rPr>
          <w:rFonts w:hint="eastAsia" w:cs="宋体"/>
          <w:szCs w:val="22"/>
        </w:rPr>
        <w:t>围绕省“十强”产业和市十大千亿产业布局，立足资源优势和发展实际，坚持把发展着力点放在实体经济上，聚焦生物医药、大数据与新一代信息技术、智能制造、高端装备等优势领域，促进金融服务、现代物流等服务业提质增效，提升</w:t>
      </w:r>
      <w:r>
        <w:rPr>
          <w:rFonts w:hint="eastAsia" w:ascii="仿宋_GB2312" w:hAnsiTheme="majorEastAsia" w:cstheme="minorBidi"/>
          <w:szCs w:val="32"/>
        </w:rPr>
        <w:t>全产业链竞争实力，</w:t>
      </w:r>
      <w:r>
        <w:rPr>
          <w:rFonts w:hint="eastAsia" w:cs="宋体"/>
          <w:szCs w:val="22"/>
        </w:rPr>
        <w:t>加速数字产业化及产业数字化进程，全力建设“智造历城”。</w:t>
      </w:r>
    </w:p>
    <w:p>
      <w:pPr>
        <w:pStyle w:val="4"/>
        <w:spacing w:line="560" w:lineRule="exact"/>
      </w:pPr>
      <w:bookmarkStart w:id="63" w:name="_Toc20309"/>
      <w:bookmarkStart w:id="64" w:name="_Toc14432"/>
      <w:bookmarkStart w:id="65" w:name="_Toc25032"/>
      <w:r>
        <w:rPr>
          <w:rFonts w:hint="eastAsia"/>
        </w:rPr>
        <w:t>第一节深入落实工业强市战略</w:t>
      </w:r>
      <w:bookmarkEnd w:id="63"/>
      <w:bookmarkEnd w:id="64"/>
      <w:bookmarkEnd w:id="65"/>
    </w:p>
    <w:p>
      <w:pPr>
        <w:spacing w:line="560" w:lineRule="exact"/>
        <w:jc w:val="both"/>
        <w:rPr>
          <w:rFonts w:ascii="仿宋_GB2312" w:hAnsi="仿宋_GB2312" w:cs="仿宋_GB2312"/>
          <w:szCs w:val="22"/>
        </w:rPr>
      </w:pPr>
      <w:r>
        <w:rPr>
          <w:rFonts w:hint="eastAsia" w:ascii="仿宋_GB2312" w:hAnsi="仿宋_GB2312" w:cs="仿宋_GB2312"/>
          <w:szCs w:val="22"/>
        </w:rPr>
        <w:t>进一步明确产业发展方向、理清发展思路、突出发展重点、破解发展瓶颈，推动发展动力从要素驱动向创新驱动转变、发展方式从规模速度粗放型向质量效率集约型转变，提升工业产业发展能级。</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大力实施工业攻坚行动。</w:t>
      </w:r>
      <w:r>
        <w:rPr>
          <w:rFonts w:hint="eastAsia" w:ascii="仿宋_GB2312" w:hAnsi="仿宋_GB2312" w:cs="仿宋_GB2312"/>
          <w:szCs w:val="22"/>
        </w:rPr>
        <w:t>统筹新兴产业发展壮大和传统产业转型升级，突出创新驱动、项目带动、政策促动，推动生产方式和企业形态根本性变革，逐步实现工业产业迭代跨越和升级。支持领航企业通过内生增长、对外并购合作等方式，加快市场化改革，推动企业科学兼并重组，做大做强一批本地优势企业，</w:t>
      </w:r>
      <w:r>
        <w:rPr>
          <w:rFonts w:hint="eastAsia" w:ascii="仿宋_GB2312" w:hAnsi="仿宋_GB2312" w:cs="仿宋_GB2312"/>
          <w:szCs w:val="32"/>
        </w:rPr>
        <w:t>引进一批龙头企业，培育一批高成长型企业。力争</w:t>
      </w:r>
      <w:r>
        <w:rPr>
          <w:rFonts w:hint="eastAsia" w:ascii="仿宋_GB2312" w:hAnsi="仿宋_GB2312" w:cs="仿宋_GB2312"/>
          <w:szCs w:val="22"/>
        </w:rPr>
        <w:t>全区建设整合一千万平方米生产性服务业载体、一千万平方米标准化厂房、一千万平方米人才公寓，着力强化载体支撑。力争实现规模以上工业增加值年均增长9%左右。</w:t>
      </w:r>
    </w:p>
    <w:p>
      <w:pPr>
        <w:pStyle w:val="2"/>
        <w:spacing w:line="560" w:lineRule="exact"/>
        <w:ind w:firstLine="643"/>
        <w:jc w:val="both"/>
        <w:rPr>
          <w:rFonts w:ascii="仿宋_GB2312" w:hAnsi="仿宋_GB2312" w:cs="仿宋_GB2312"/>
          <w:szCs w:val="22"/>
        </w:rPr>
      </w:pPr>
      <w:r>
        <w:rPr>
          <w:rFonts w:hint="eastAsia" w:ascii="仿宋_GB2312" w:hAnsi="仿宋_GB2312" w:cs="仿宋_GB2312"/>
          <w:b/>
          <w:bCs/>
          <w:szCs w:val="22"/>
        </w:rPr>
        <w:t>加速临港开发区创新提升。</w:t>
      </w:r>
      <w:r>
        <w:rPr>
          <w:rFonts w:hint="eastAsia" w:ascii="仿宋_GB2312" w:hAnsi="仿宋_GB2312" w:cs="仿宋_GB2312"/>
          <w:szCs w:val="22"/>
        </w:rPr>
        <w:t>夯实临港经济开发区工业“主战场”地位，优化开发区产业结构，进一步完善“一谷四园”功能布局，以体制改革促产业变革，依托主导产业、骨干企业、重点平台，培育一批新经济增长极。加大双招双引力度，面向智能制造与高端装备、高端物流、生物医药、新一代信息技术等产业，深入研究产业方向、政策资源、投资领域，促进优势产业集聚发展。突出项目引领、加快项目建设，推进一批精品项目建成并投入使用。加快推进开发区与自贸区“一体化”深度融合发展，制定完善创新制度“一体化”发展方案，形成互融互通的“一体化”发展格局。力争实现新增规模以上工业企业120家以上。</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推动生物医药产业发展。</w:t>
      </w:r>
      <w:r>
        <w:rPr>
          <w:rFonts w:hint="eastAsia" w:ascii="仿宋_GB2312" w:hAnsi="仿宋_GB2312" w:cs="仿宋_GB2312"/>
          <w:szCs w:val="22"/>
        </w:rPr>
        <w:t>以人民健康需求为导向，以创新和国际化为发展重心，立足自身产业优势，重点突破医药制造、中医药、医疗器械等核心领域，打造历城生物医药产业“名片”。整合人才、技术、资金资源，加大科研开发力量，加强对生物医药技术的原始创新，接轨国际标准，推动医药创新临床转化，破除产品同质化竞争等市场瓶颈，打造从研发、临床到市场的全过程转化服务体系。筑牢生物医药产业发展平台，带动一批产业配套企业，不断增强产业发展动力。依托自贸区优势和山东省国际生物试剂物流公共服务平台，支持发展CRO（新药研发合同外包服务机构）、CDMO（医药领域定制研发生产）行业，建设研发孵化、成果转化中心，共享GMP（</w:t>
      </w:r>
      <w:r>
        <w:rPr>
          <w:rFonts w:ascii="仿宋_GB2312" w:hAnsi="仿宋_GB2312" w:cs="仿宋_GB2312"/>
          <w:szCs w:val="22"/>
        </w:rPr>
        <w:t>药品生产质量管理规范</w:t>
      </w:r>
      <w:r>
        <w:rPr>
          <w:rFonts w:hint="eastAsia" w:ascii="仿宋_GB2312" w:hAnsi="仿宋_GB2312" w:cs="仿宋_GB2312"/>
          <w:szCs w:val="22"/>
        </w:rPr>
        <w:t>）生产基地，打造涵盖中试及标准化批量生产的制造大平台，引进能与现有产业形成集聚效应的疫苗生产、创新药生产等重点企业；支持漱玉平民、宏济堂等企业提档升级，加快建设中医药科技城，打造中医药技术平台及中药饮片、中药颗粒生产基地；依托内陆港区位优势，重点引进透析、影像、康复等大型设备生产企业及家用医疗器械生产企业；发挥内陆港、山东省国际生物试剂物流公共服务平台通关优势和高端物流聚集区冷链聚集优势，大力引进医药冷链企业。到2025年，力争生物医药产业规模达到300亿元。</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做大做强装备制造业。</w:t>
      </w:r>
      <w:r>
        <w:rPr>
          <w:rFonts w:hint="eastAsia" w:ascii="仿宋_GB2312" w:hAnsi="仿宋_GB2312" w:cs="仿宋_GB2312"/>
          <w:szCs w:val="22"/>
        </w:rPr>
        <w:t>积极发展以数字化、柔性化及系统集成技术为核心的装备制造业，聚焦电力装备、特高压设备、轨道交通高端装备、自动化数控设备等领域，提升产业能级、打造产业集群。支持装备制造产业科技创新，以首台（套）技术装备培育和保险补偿为抓手，鼓励企业研发创新和市场推广。以核心技术攻关和推动细分行业示范试点建设为方向，着力打造集工业高端智库、人才引育基地、技术创新高地及成果孵化基地于一体的综合性服务载体。坚持需求导向、痛点聚焦，将智能制造技术重点应用于工业智能及工业痛点解决方案。加快创新智能制造新模式、新业态，形成基于工业数据的典型服务应用场景，推动工业机器人、物流机器人、医用机器人、信息智能硬件等领域发展。加快推进中电建·能源谷、安靠智电、轨道装备产业园等重点园区项目建设，形成以机器人、电力设备、半导体为主导领域的产业集群。</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打造空天信息产业“济南样板”。</w:t>
      </w:r>
      <w:r>
        <w:rPr>
          <w:rFonts w:hint="eastAsia" w:ascii="仿宋_GB2312" w:hAnsi="仿宋_GB2312" w:cs="仿宋_GB2312"/>
          <w:szCs w:val="22"/>
        </w:rPr>
        <w:t>以空天信息齐鲁研究院为平台，以济钢防务空天信息产业基地为载体，重点发展卫星装备、空天信息、智能遥感等产业，逐步实现空间行波管等空天装备研发制造及微纳集成系统的研发。以高精度导航与全景定位先进技术为牵引，积极推进空间基础设施建设，构建卫星产业发展链条，形成空天信息产业集群。加强产业载体建设，借助中科院空天信息创新研究院资源优势，发挥辐射带动作用，汇聚空天生产领域龙头企业，打造空天信息科创新城。</w:t>
      </w:r>
    </w:p>
    <w:p>
      <w:pPr>
        <w:pStyle w:val="4"/>
        <w:spacing w:line="560" w:lineRule="exact"/>
      </w:pPr>
      <w:bookmarkStart w:id="66" w:name="_Toc10271"/>
      <w:bookmarkStart w:id="67" w:name="_Toc31598"/>
      <w:bookmarkStart w:id="68" w:name="_Toc20876"/>
      <w:r>
        <w:rPr>
          <w:rFonts w:hint="eastAsia"/>
        </w:rPr>
        <w:t>第二节提升全产业链竞争实力</w:t>
      </w:r>
      <w:bookmarkEnd w:id="66"/>
      <w:bookmarkEnd w:id="67"/>
      <w:bookmarkEnd w:id="68"/>
    </w:p>
    <w:p>
      <w:pPr>
        <w:spacing w:line="560" w:lineRule="exact"/>
        <w:jc w:val="both"/>
        <w:rPr>
          <w:rFonts w:ascii="仿宋_GB2312" w:hAnsi="仿宋_GB2312" w:cs="仿宋_GB2312"/>
          <w:szCs w:val="22"/>
        </w:rPr>
      </w:pPr>
      <w:r>
        <w:rPr>
          <w:rFonts w:hint="eastAsia" w:ascii="仿宋_GB2312" w:hAnsi="仿宋_GB2312" w:cs="仿宋_GB2312"/>
          <w:szCs w:val="22"/>
        </w:rPr>
        <w:t>推进产业基础高级化、产业链现代化，绘制主要产业生态图谱，做好产业链供应链战略设计，努力形成自主可控、安全高效的产业链供应链。</w:t>
      </w:r>
    </w:p>
    <w:p>
      <w:pPr>
        <w:spacing w:line="560" w:lineRule="exact"/>
        <w:ind w:firstLine="643"/>
        <w:contextualSpacing/>
        <w:jc w:val="both"/>
        <w:rPr>
          <w:rFonts w:ascii="仿宋_GB2312" w:hAnsi="仿宋_GB2312" w:cs="仿宋_GB2312"/>
          <w:szCs w:val="32"/>
          <w:highlight w:val="green"/>
        </w:rPr>
      </w:pPr>
      <w:r>
        <w:rPr>
          <w:rFonts w:hint="eastAsia" w:ascii="仿宋_GB2312" w:hAnsi="仿宋_GB2312" w:cs="仿宋_GB2312"/>
          <w:b/>
          <w:bCs/>
          <w:szCs w:val="32"/>
        </w:rPr>
        <w:t>做好“建链、补链、强链、延链”文章。</w:t>
      </w:r>
      <w:r>
        <w:rPr>
          <w:rFonts w:hint="eastAsia" w:ascii="仿宋_GB2312" w:hAnsi="仿宋_GB2312" w:cs="仿宋_GB2312"/>
          <w:szCs w:val="32"/>
        </w:rPr>
        <w:t>完善“一链一策”政策体系，</w:t>
      </w:r>
      <w:r>
        <w:rPr>
          <w:rFonts w:hint="eastAsia" w:ascii="仿宋_GB2312" w:hAnsi="仿宋_GB2312" w:cs="仿宋_GB2312"/>
          <w:szCs w:val="22"/>
        </w:rPr>
        <w:t>做实重点产业链“链长制”工作，</w:t>
      </w:r>
      <w:r>
        <w:rPr>
          <w:rFonts w:hint="eastAsia" w:ascii="仿宋_GB2312" w:hAnsi="仿宋_GB2312" w:cs="仿宋_GB2312"/>
          <w:szCs w:val="32"/>
        </w:rPr>
        <w:t>加大产业链垂直整合力度，</w:t>
      </w:r>
      <w:r>
        <w:rPr>
          <w:rFonts w:hint="eastAsia" w:ascii="仿宋_GB2312" w:hAnsi="仿宋_GB2312" w:cs="仿宋_GB2312"/>
          <w:szCs w:val="22"/>
        </w:rPr>
        <w:t>在要素保障、市场需求、政策帮扶等领域精准发力，</w:t>
      </w:r>
      <w:r>
        <w:rPr>
          <w:rFonts w:hint="eastAsia" w:ascii="仿宋_GB2312" w:hAnsi="仿宋_GB2312" w:cs="仿宋_GB2312"/>
          <w:szCs w:val="32"/>
        </w:rPr>
        <w:t>构建“平台+生态、龙头+配套、承接+转型”的优良产业生态。</w:t>
      </w:r>
      <w:r>
        <w:rPr>
          <w:rFonts w:hint="eastAsia" w:ascii="仿宋_GB2312" w:hAnsi="仿宋_GB2312" w:cs="仿宋_GB2312"/>
          <w:szCs w:val="22"/>
        </w:rPr>
        <w:t>完善由生物制药、医疗器械、医疗服务、医养健康为主导的生物医药康养产业链。依托齐鲁制药、宏济堂、山东大学、山东科学院生物所等企业及高校院所，以建设生物医药产业园区、中医药特色传承区为重要抓手，发挥物流集聚区流通优势，以及漱玉平民大药房、国药医疗器械总部等销售优势，形成以医为主、拓展养老，以养为主、医疗介入创新产业链模式。完善大数据与新一代信息技术产业链。抢抓济南建设国家级人工智能创新应用先导区、新一代人工智能创新发展试验区重大机遇，全面布局超算应用服务产业链。依托国家超算济南中心科技园、浪潮IBM智能计算机产业园等重大平台和领航企业，精准</w:t>
      </w:r>
      <w:r>
        <w:rPr>
          <w:rFonts w:hint="eastAsia" w:ascii="仿宋_GB2312" w:hAnsi="仿宋_GB2312" w:cs="仿宋_GB2312"/>
          <w:szCs w:val="32"/>
        </w:rPr>
        <w:t>引进高技术、高成长型企业，推动产业链式集群规模化发展。</w:t>
      </w:r>
      <w:r>
        <w:rPr>
          <w:rFonts w:hint="eastAsia" w:ascii="仿宋_GB2312" w:hAnsi="仿宋_GB2312" w:cs="仿宋_GB2312"/>
          <w:szCs w:val="22"/>
        </w:rPr>
        <w:t>加快发展芯片研发、服务器生产等大数据核心环节，构建集科技研发、产业支撑、“双创”孵化于一体的“超算生态”。</w:t>
      </w:r>
    </w:p>
    <w:p>
      <w:pPr>
        <w:spacing w:line="560" w:lineRule="exact"/>
        <w:ind w:firstLine="643"/>
        <w:jc w:val="both"/>
        <w:rPr>
          <w:rFonts w:ascii="仿宋_GB2312" w:hAnsi="仿宋_GB2312" w:cs="仿宋_GB2312"/>
          <w:szCs w:val="32"/>
        </w:rPr>
      </w:pPr>
      <w:r>
        <w:rPr>
          <w:rFonts w:hint="eastAsia" w:ascii="仿宋_GB2312" w:hAnsi="仿宋_GB2312" w:cs="仿宋_GB2312"/>
          <w:b/>
          <w:bCs/>
          <w:szCs w:val="22"/>
        </w:rPr>
        <w:t>提升产业链供应链现代化水平。</w:t>
      </w:r>
      <w:r>
        <w:rPr>
          <w:rFonts w:hint="eastAsia" w:ascii="仿宋_GB2312" w:hAnsi="仿宋_GB2312" w:cs="仿宋_GB2312"/>
          <w:szCs w:val="22"/>
        </w:rPr>
        <w:t>锻造产业链供应链长板，持续推进东部老工业区转型升级，支持老工业基地发展战略型新兴产业，促进产业有序导入，优化区域产业链布局。深入开展质量提升行动，织密质量发展保护网。试点推行重点企业首席质量官制度，提高完善标准、计量、检验检测等质量基础设施，严格落实企业标准监督检查制度。补齐产业链供应链短板，加大重要产品和关键核心技术攻关力度，发展先进适用技术，推动产业链供应链多元化，增强抗风险能力。发挥优质企业在产业链供应链现代化中的重要作用，</w:t>
      </w:r>
      <w:r>
        <w:rPr>
          <w:rFonts w:hint="eastAsia" w:ascii="仿宋_GB2312" w:hAnsi="仿宋_GB2312" w:cs="仿宋_GB2312"/>
          <w:szCs w:val="32"/>
        </w:rPr>
        <w:t>落实落细财税、金融、用工、用能、物流等政策措施，</w:t>
      </w:r>
      <w:r>
        <w:rPr>
          <w:rFonts w:hint="eastAsia" w:ascii="仿宋_GB2312" w:hAnsi="仿宋_GB2312" w:cs="仿宋_GB2312"/>
          <w:szCs w:val="22"/>
        </w:rPr>
        <w:t>支持大企业做优做强，</w:t>
      </w:r>
      <w:r>
        <w:rPr>
          <w:rFonts w:hint="eastAsia" w:ascii="仿宋_GB2312" w:hAnsi="仿宋_GB2312" w:cs="仿宋_GB2312"/>
          <w:szCs w:val="32"/>
        </w:rPr>
        <w:t>支持高成长型的产业链骨干企业上市融资，加速生产要素集聚、促进产业联动，培育一批具有生态主导力的“链主”企业，提升产业发展水平和竞争能力。</w:t>
      </w:r>
    </w:p>
    <w:p>
      <w:pPr>
        <w:widowControl/>
        <w:adjustRightInd/>
        <w:snapToGrid/>
        <w:spacing w:line="240" w:lineRule="auto"/>
        <w:ind w:firstLine="0" w:firstLineChars="0"/>
        <w:rPr>
          <w:rFonts w:ascii="Calibri Light" w:hAnsi="Calibri Light" w:eastAsia="楷体_GB2312"/>
          <w:bCs/>
          <w:szCs w:val="32"/>
        </w:rPr>
      </w:pPr>
      <w:bookmarkStart w:id="69" w:name="_Toc10818"/>
      <w:bookmarkStart w:id="70" w:name="_Toc3770"/>
      <w:bookmarkStart w:id="71" w:name="_Toc19684"/>
      <w:r>
        <w:br w:type="page"/>
      </w:r>
    </w:p>
    <w:p>
      <w:pPr>
        <w:pStyle w:val="4"/>
        <w:spacing w:line="560" w:lineRule="exact"/>
      </w:pPr>
      <w:r>
        <w:rPr>
          <w:rFonts w:hint="eastAsia"/>
        </w:rPr>
        <w:t>第三节加速发展数字化新引擎</w:t>
      </w:r>
      <w:bookmarkEnd w:id="69"/>
      <w:bookmarkEnd w:id="70"/>
      <w:bookmarkEnd w:id="71"/>
    </w:p>
    <w:p>
      <w:pPr>
        <w:spacing w:line="560" w:lineRule="exact"/>
        <w:jc w:val="both"/>
        <w:rPr>
          <w:rFonts w:ascii="仿宋_GB2312" w:hAnsi="仿宋_GB2312" w:cs="仿宋_GB2312"/>
          <w:szCs w:val="22"/>
        </w:rPr>
      </w:pPr>
      <w:r>
        <w:rPr>
          <w:rFonts w:hint="eastAsia" w:ascii="仿宋_GB2312" w:hAnsi="仿宋_GB2312" w:cs="仿宋_GB2312"/>
          <w:szCs w:val="22"/>
        </w:rPr>
        <w:t>紧扣社会经济高质量发展主攻方向，做大做强数字经济，多方发力提升数字赋能水平，推动数字经济和实体经济深度融合，提升经济发展数字化、智能化、融合化水平。</w:t>
      </w:r>
    </w:p>
    <w:p>
      <w:pPr>
        <w:spacing w:line="560" w:lineRule="exact"/>
        <w:ind w:firstLine="643"/>
        <w:jc w:val="both"/>
        <w:rPr>
          <w:rFonts w:ascii="仿宋_GB2312" w:hAnsi="仿宋_GB2312" w:cs="仿宋_GB2312"/>
          <w:b/>
          <w:bCs/>
          <w:szCs w:val="22"/>
        </w:rPr>
      </w:pPr>
      <w:r>
        <w:rPr>
          <w:rFonts w:hint="eastAsia" w:ascii="仿宋_GB2312" w:hAnsi="仿宋_GB2312" w:cs="仿宋_GB2312"/>
          <w:b/>
          <w:bCs/>
          <w:szCs w:val="22"/>
        </w:rPr>
        <w:t>加速数字产业化发展。</w:t>
      </w:r>
      <w:r>
        <w:rPr>
          <w:rFonts w:hint="eastAsia" w:ascii="仿宋_GB2312" w:hAnsi="仿宋_GB2312" w:cs="仿宋_GB2312"/>
          <w:szCs w:val="22"/>
        </w:rPr>
        <w:t>依托国家超算济南中心，加快新加坡人工智能产业园等项目建设，推动大数据、人工智能、云计算、工业互联网等领域发展，打造具有国际竞争力的数字产业集群。联合济南超算技术研究院等机构，以教育科研机构、政府企事业单位为重点服务对象，发展计算、运维、软件测评、生命健康数据等业务。借助济钢矿道有利条件，建设全省数据存储中心，打造历城区大数据自有品牌，招引“数据治理”“数据挖掘”等企业落户我区。</w:t>
      </w:r>
    </w:p>
    <w:p>
      <w:pPr>
        <w:spacing w:line="560" w:lineRule="exact"/>
        <w:ind w:firstLine="643"/>
        <w:jc w:val="both"/>
        <w:rPr>
          <w:rFonts w:asciiTheme="minorHAnsi" w:hAnsiTheme="minorHAnsi" w:cstheme="minorBidi"/>
        </w:rPr>
      </w:pPr>
      <w:r>
        <w:rPr>
          <w:rFonts w:hint="eastAsia" w:ascii="仿宋_GB2312" w:hAnsi="仿宋_GB2312" w:cs="仿宋_GB2312"/>
          <w:b/>
          <w:bCs/>
          <w:szCs w:val="22"/>
        </w:rPr>
        <w:t>提升数字赋能水平。</w:t>
      </w:r>
      <w:r>
        <w:rPr>
          <w:rFonts w:hint="eastAsia" w:ascii="仿宋_GB2312" w:hAnsi="仿宋_GB2312" w:cs="仿宋_GB2312"/>
          <w:szCs w:val="22"/>
        </w:rPr>
        <w:t>加速数据处理、数据共享，聚智新生态，赋能新经济，深化新一代信息技术与本地重点制造业、特色制造业深度融合发展，</w:t>
      </w:r>
      <w:r>
        <w:rPr>
          <w:rFonts w:hint="eastAsia" w:ascii="仿宋_GB2312" w:hAnsiTheme="minorHAnsi" w:cstheme="minorBidi"/>
          <w:szCs w:val="32"/>
        </w:rPr>
        <w:t>持续推进大数据应用赋能智能制造。推动企业落实数字化转型工作，</w:t>
      </w:r>
      <w:r>
        <w:rPr>
          <w:rFonts w:hint="eastAsia" w:ascii="仿宋_GB2312" w:hAnsi="仿宋_GB2312" w:cs="仿宋_GB2312"/>
          <w:szCs w:val="22"/>
        </w:rPr>
        <w:t>持续优化“两化”平台建设，提升工业经济软优势，推行普惠性“上云用数赋智”服务，降低企业转型成本。支持领航企业不断提升数字信息化应用水平，推广应用生产信息实时管理系统、产品溯源系统、工业机器人等先进技术，以数字技术应用促进企业产品结构转型。开展“数字化转型伙伴行动”，构建“政府引导—平台赋能—龙头引领—机构支撑—多元服务”的联合推进机制，带动中小微企业数字化转型。加快“5G+工业互联网”典型应用场景向更多实体经济延伸。建立全面系统的工业大数据生态，以数字赋能产业链条供需两侧信息化、高效化水平，促进大数据与业务流程深度融合。加快数字社会、数字政府建设，推广智慧交通、智慧教育、智慧医疗、智慧社区等创新应用，不断提升公共服务、社会治理等数字化智能化水平。</w:t>
      </w:r>
    </w:p>
    <w:p>
      <w:pPr>
        <w:pStyle w:val="4"/>
        <w:spacing w:line="560" w:lineRule="exact"/>
      </w:pPr>
      <w:bookmarkStart w:id="72" w:name="_Toc31633"/>
      <w:bookmarkStart w:id="73" w:name="_Toc30700"/>
      <w:bookmarkStart w:id="74" w:name="_Toc4290"/>
      <w:r>
        <w:rPr>
          <w:rFonts w:hint="eastAsia"/>
        </w:rPr>
        <w:t>第四节推动服务业高质量发展</w:t>
      </w:r>
      <w:bookmarkEnd w:id="72"/>
      <w:bookmarkEnd w:id="73"/>
      <w:bookmarkEnd w:id="74"/>
    </w:p>
    <w:p>
      <w:pPr>
        <w:spacing w:line="560" w:lineRule="exact"/>
        <w:jc w:val="both"/>
        <w:rPr>
          <w:rFonts w:ascii="仿宋_GB2312" w:hAnsi="仿宋_GB2312" w:cs="仿宋_GB2312"/>
          <w:szCs w:val="22"/>
        </w:rPr>
      </w:pPr>
      <w:r>
        <w:rPr>
          <w:rFonts w:hint="eastAsia" w:ascii="仿宋_GB2312" w:hAnsi="仿宋_GB2312" w:cs="仿宋_GB2312"/>
          <w:szCs w:val="22"/>
        </w:rPr>
        <w:t>大力发展知识密集型服务业，坚持融合、创新、品质、集聚发展原则，推动金融、物流、商务等生产性服务业向专业化和价值链高端延伸，推动生活性服务业向高品质多样化升级，使高质量服务业成为经济发展的强劲推动力。</w:t>
      </w:r>
    </w:p>
    <w:p>
      <w:pPr>
        <w:spacing w:line="560" w:lineRule="exact"/>
        <w:ind w:firstLine="643"/>
        <w:jc w:val="both"/>
        <w:rPr>
          <w:rFonts w:ascii="仿宋_GB2312" w:hAnsi="仿宋_GB2312" w:cs="仿宋_GB2312"/>
          <w:szCs w:val="32"/>
        </w:rPr>
      </w:pPr>
      <w:r>
        <w:rPr>
          <w:rFonts w:hint="eastAsia" w:ascii="仿宋_GB2312" w:hAnsi="仿宋_GB2312" w:cs="仿宋_GB2312"/>
          <w:b/>
          <w:bCs/>
          <w:szCs w:val="22"/>
        </w:rPr>
        <w:t>促进金融服务业发展。</w:t>
      </w:r>
      <w:r>
        <w:rPr>
          <w:rFonts w:hint="eastAsia" w:ascii="仿宋_GB2312" w:hAnsi="仿宋_GB2312" w:cs="仿宋_GB2312"/>
          <w:szCs w:val="32"/>
        </w:rPr>
        <w:t>提升现代金融业发展水平，</w:t>
      </w:r>
      <w:r>
        <w:rPr>
          <w:rFonts w:hint="eastAsia" w:ascii="仿宋_GB2312" w:hAnsi="仿宋_GB2312" w:cs="仿宋_GB2312"/>
          <w:szCs w:val="22"/>
        </w:rPr>
        <w:t>优先支持本地重点行业领军企业做稳做优，打造优势产业链金融平台。</w:t>
      </w:r>
      <w:r>
        <w:rPr>
          <w:rFonts w:hint="eastAsia" w:ascii="仿宋_GB2312" w:hAnsi="仿宋_GB2312" w:cs="仿宋_GB2312"/>
          <w:szCs w:val="32"/>
        </w:rPr>
        <w:t>加强对空天信息、5G等战略性新兴产业和生物医药、装备制造等优势产业支持力度，以融促产，以产带融，构筑产业金融发展基础，进一步升级战略性新兴产业成长蓝海。推动银行、证券、保险、期货等各种金融业态发展，构建以历城金融大厦、黄金产业金融中心、黄河基金小镇等金融功能区为节点的发展格局。</w:t>
      </w:r>
      <w:r>
        <w:rPr>
          <w:rFonts w:hint="eastAsia" w:ascii="仿宋_GB2312" w:hAnsi="仿宋_GB2312" w:cs="仿宋_GB2312"/>
          <w:szCs w:val="22"/>
        </w:rPr>
        <w:t>完善多层次资本市场体系，采取多种措施为企业提供灵活、包容的金融服务环境。创新金融服务产品，增强金融工具有效性，为企业提供高质量、易获得的金融产品和金融服务。构建科技创新金融平台，支持科技性创新企业直接融资。通过金融超市、齐鲁股权交易中心等平台有效提高金融撮合效率，化解企业融资瓶颈。</w:t>
      </w:r>
    </w:p>
    <w:p>
      <w:pPr>
        <w:spacing w:line="560" w:lineRule="exact"/>
        <w:ind w:firstLine="643"/>
        <w:jc w:val="both"/>
        <w:rPr>
          <w:rFonts w:ascii="仿宋_GB2312" w:hAnsi="仿宋_GB2312" w:cs="仿宋_GB2312"/>
        </w:rPr>
      </w:pPr>
      <w:r>
        <w:rPr>
          <w:rFonts w:hint="eastAsia" w:ascii="仿宋_GB2312" w:hAnsi="仿宋_GB2312" w:cs="仿宋_GB2312"/>
          <w:b/>
          <w:bCs/>
          <w:szCs w:val="22"/>
        </w:rPr>
        <w:t>促进物流产业发展。</w:t>
      </w:r>
      <w:r>
        <w:rPr>
          <w:rFonts w:hint="eastAsia" w:ascii="仿宋_GB2312" w:hAnsi="仿宋_GB2312" w:cs="仿宋_GB2312"/>
          <w:szCs w:val="22"/>
        </w:rPr>
        <w:t>创新“物流+产业”融合发展路径，支持物流企业与制造企业通过市场化方式，创新供应链协同共建模式。培育、引进一批具有核心竞争力的现代物流集团，支持上下游企业加快发展，鼓励企业建设供应链管理服务平台。引导制造企业系统整合内部分散的物流服务能力及存量设施资源，加速发展高品质、专业化定制物流服务。打造物流供应链信息化服务平台，推进物流与区块链、5G等新兴技术在信息共享和信用体系建设中的应用，提升产业信息化、智能化、集约化、绿色化水平，整合运输管理、智能分拨、智能仓储、物流金融等功能，优化物流全链条监管和服务。完善产业载体建设，依托国际内陆港-中央高端物流集聚区平台，大力发展多式联运和智慧物流；依托董家货运场站、中欧班列、海铁联运班列、小清河复航，突出“一带一路”枢纽功能，打造大宗商品交易平台；依托盖世物流等重点企业，实施国家物流枢纽载体存量优化及增量提升工程，高标准建设物流枢纽经济总部基地、城市物流科创中心、智慧物流实景实验示范区等；推进水发国际物流园、华芯环渤海区域高端冷链结算总部基地、北方生活资料分拨中心等一批重点项目建设。</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促进商务服务业发展。</w:t>
      </w:r>
      <w:r>
        <w:rPr>
          <w:rFonts w:hint="eastAsia" w:ascii="仿宋_GB2312" w:hAnsi="仿宋_GB2312" w:cs="仿宋_GB2312"/>
          <w:szCs w:val="22"/>
        </w:rPr>
        <w:t>聚焦主导产业发展方向，紧抓工业设计、技术服务、营销管理等关键环节，加强工业设计基础研究和关键共性技术研发，建立开放共享的数据资源库，夯实工业设计发展基础。搭建网络化设计协同平台，开展众创、众包、众设等模式的应用推广。大力发展知识型服务业，推动技术密集与人才密集程度不断提高。加强信息技术服务、节能技术服务与制造业深度融合。培育科技成果转化、知识产权及相关法律服务等服务业态，推进全区公共法律服务体系和平台建设工作，推出公共法律产品，为企业健康发展提供良好法治服务。</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22"/>
        </w:rPr>
        <w:t>推动生活性服务业升级。</w:t>
      </w:r>
      <w:r>
        <w:rPr>
          <w:rFonts w:hint="eastAsia" w:ascii="仿宋_GB2312" w:hAnsi="仿宋_GB2312" w:cs="仿宋_GB2312"/>
          <w:szCs w:val="22"/>
        </w:rPr>
        <w:t>推动生活性服务业向高品质多样化升级，加快发展文化、旅游、家政、物业、体育、健康、养老、育幼等细分行业纵深发展，创新服务业态和模式，促进服务扩容提质。加强对公益性、基础性服务业的分类指导，聚焦重点领域和薄弱环节，形成合力、精准施策。提升文化服务内涵，推进文化创意和设计服务等新型服务业发展；健全城乡居民家政服务体系，推动家政服务市场多层次、多形式发展；围绕提升全民健康素质和水平，鼓励发展健康体检、健康咨询、健康文化、健康旅游、体育健身等多样化健康服务，建立业态丰富、结构合理的健康服务体系。</w:t>
      </w:r>
    </w:p>
    <w:p>
      <w:pPr>
        <w:spacing w:line="560" w:lineRule="exact"/>
        <w:ind w:firstLine="643"/>
        <w:jc w:val="both"/>
        <w:rPr>
          <w:rFonts w:ascii="仿宋_GB2312" w:hAnsi="仿宋_GB2312" w:cs="仿宋_GB2312"/>
          <w:szCs w:val="22"/>
        </w:rPr>
      </w:pPr>
      <w:r>
        <w:rPr>
          <w:rFonts w:hint="eastAsia" w:ascii="仿宋_GB2312" w:hAnsi="仿宋_GB2312" w:cs="仿宋_GB2312"/>
          <w:b/>
          <w:bCs/>
          <w:szCs w:val="32"/>
        </w:rPr>
        <w:t>培育新经济形态。</w:t>
      </w:r>
      <w:r>
        <w:rPr>
          <w:rFonts w:hint="eastAsia" w:ascii="仿宋_GB2312" w:hAnsi="仿宋_GB2312" w:cs="仿宋_GB2312"/>
          <w:szCs w:val="22"/>
        </w:rPr>
        <w:t>做强做优总部经济，充分发挥新东站—济钢片区高铁枢纽优势地位，加快推进省企总部城建设，引进上市公司、大型企业总部、区域总部、研发中心等，推进以国企、能源、金融行业为重点领域的总部经济发展。支持发展现有总部企业，着力培育新兴总部企业，落实各项配套扶持政策，鼓励企业立足本地、加大投入，通过资本运营、并购重组、增资扩产等方式做大做强。放大总部经济平台效应，汇集人才流、资金流、技术流和信息流，对各类专业服务业集聚形成强大“磁场”。依托“互联网+”</w:t>
      </w:r>
      <w:r>
        <w:rPr>
          <w:rFonts w:hint="eastAsia" w:ascii="仿宋_GB2312" w:hAnsi="仿宋_GB2312" w:cs="仿宋_GB2312"/>
          <w:szCs w:val="32"/>
        </w:rPr>
        <w:t>培育发展共享经济、平台经济等新经济形态，加速推进经济转型、提升经济发展活力。</w:t>
      </w:r>
    </w:p>
    <w:p>
      <w:pPr>
        <w:pStyle w:val="4"/>
        <w:spacing w:line="560" w:lineRule="exact"/>
      </w:pPr>
      <w:bookmarkStart w:id="75" w:name="_Toc7987"/>
      <w:bookmarkStart w:id="76" w:name="_Toc28043"/>
      <w:bookmarkStart w:id="77" w:name="_Toc18322"/>
      <w:r>
        <w:rPr>
          <w:rFonts w:hint="eastAsia"/>
        </w:rPr>
        <w:t>第五节统筹推进基础设施建设</w:t>
      </w:r>
      <w:bookmarkEnd w:id="75"/>
      <w:bookmarkEnd w:id="76"/>
      <w:bookmarkEnd w:id="77"/>
    </w:p>
    <w:p>
      <w:pPr>
        <w:pStyle w:val="4"/>
        <w:spacing w:line="560" w:lineRule="exact"/>
        <w:ind w:firstLine="640" w:firstLineChars="200"/>
        <w:jc w:val="both"/>
        <w:rPr>
          <w:rFonts w:ascii="仿宋_GB2312" w:hAnsi="仿宋_GB2312" w:eastAsia="仿宋_GB2312" w:cs="仿宋_GB2312"/>
          <w:bCs w:val="0"/>
          <w:szCs w:val="22"/>
        </w:rPr>
      </w:pPr>
      <w:r>
        <w:rPr>
          <w:rFonts w:hint="eastAsia" w:ascii="仿宋_GB2312" w:hAnsi="仿宋_GB2312" w:eastAsia="仿宋_GB2312" w:cs="仿宋_GB2312"/>
          <w:bCs w:val="0"/>
          <w:szCs w:val="22"/>
        </w:rPr>
        <w:t>构建现代化基础设施体系，增强经济保障能力，夯实数字基础设施建设，推进交通设施互联互通，提升水利能源支撑能力，有力提高城市发展综合承载力。</w:t>
      </w:r>
    </w:p>
    <w:p>
      <w:pPr>
        <w:widowControl/>
        <w:spacing w:line="560" w:lineRule="exact"/>
        <w:ind w:firstLine="643"/>
        <w:jc w:val="both"/>
        <w:rPr>
          <w:rFonts w:ascii="仿宋_GB2312" w:hAnsi="仿宋_GB2312" w:cs="仿宋_GB2312"/>
          <w:szCs w:val="32"/>
        </w:rPr>
      </w:pPr>
      <w:r>
        <w:rPr>
          <w:rFonts w:hint="eastAsia" w:ascii="仿宋_GB2312" w:hAnsi="仿宋_GB2312" w:cs="仿宋_GB2312"/>
          <w:b/>
          <w:bCs/>
          <w:szCs w:val="32"/>
        </w:rPr>
        <w:t>夯实数字基础设施建设。</w:t>
      </w:r>
      <w:r>
        <w:rPr>
          <w:rFonts w:hint="eastAsia" w:ascii="仿宋_GB2312" w:hAnsi="仿宋_GB2312" w:cs="仿宋_GB2312"/>
          <w:szCs w:val="32"/>
        </w:rPr>
        <w:t>加大5G、工业互联网、大数据中心、智算中心、人工智能、区块链等数字新型基础设施建设力度。深入推进5G、工业无源光纤网络、时间敏感网络等关键技术研发和产业化进程。推进5G软环境建设，支持5G融合应用创新发展，聚焦物联网、车联网等应用领域，为垂直行业赋能赋智。推进数据防护和数据治理能力不断提升，保障数字基础设施建设安全高效。</w:t>
      </w:r>
    </w:p>
    <w:p>
      <w:pPr>
        <w:widowControl/>
        <w:spacing w:line="560" w:lineRule="exact"/>
        <w:ind w:firstLine="643"/>
        <w:jc w:val="both"/>
        <w:rPr>
          <w:rFonts w:ascii="仿宋_GB2312" w:hAnsi="仿宋_GB2312" w:cs="仿宋_GB2312"/>
          <w:szCs w:val="32"/>
        </w:rPr>
      </w:pPr>
      <w:r>
        <w:rPr>
          <w:rFonts w:hint="eastAsia" w:ascii="仿宋_GB2312" w:hAnsi="仿宋_GB2312" w:cs="仿宋_GB2312"/>
          <w:b/>
          <w:bCs/>
          <w:szCs w:val="32"/>
        </w:rPr>
        <w:t>提升交通基础设施建设。</w:t>
      </w:r>
      <w:r>
        <w:rPr>
          <w:rFonts w:hint="eastAsia" w:ascii="仿宋_GB2312" w:hAnsi="仿宋_GB2312" w:cs="仿宋_GB2312"/>
          <w:szCs w:val="32"/>
        </w:rPr>
        <w:t>聚焦城市功能完善，优化交通路网结构，加快推进小清河复航，高速、高铁和轨道交通等重大交通基础设施建设，全面推动全区各大快速通道、园区道路、瓶颈节点等重点交通项目建设，构建便捷智能绿色安全的交通网络。加速推进奥体西路北延、奥体中路北延、凤凰路北延、开源路南延等市政道路建设。高标准实施山大北路、山大路等智慧交通示范路工程和农村公路改造提升项目，以大交通支撑城市品质功能提升。实施交通信号设施改造升级，推进交通语言优化提升，科学调整和优化提升道路标识线、护栏、信号灯等基础设施。通过“疏、管、控”城市精细化管理，加快推进公共停车场建设，发展立体停车、智慧停车，盘活存量停车资源，实现停车资源“错时”共享。增设充电桩和智能停车桩，提升新能源资源配置，加快建设“车桩相随、布局合理、智能高效、保障有力”的充电基础设施体系。畅通对外辐射通道，打造陆水相通、空地互接的交通体系，实现人流物流迅速通达，为创建国家多式联运示范工程和产城融合发展提供有力支撑。</w:t>
      </w:r>
    </w:p>
    <w:p>
      <w:pPr>
        <w:widowControl/>
        <w:spacing w:line="560" w:lineRule="exact"/>
        <w:ind w:firstLine="643"/>
        <w:jc w:val="both"/>
        <w:rPr>
          <w:rFonts w:ascii="仿宋_GB2312" w:hAnsi="仿宋_GB2312" w:cs="仿宋_GB2312"/>
          <w:szCs w:val="32"/>
        </w:rPr>
      </w:pPr>
      <w:r>
        <w:rPr>
          <w:rFonts w:hint="eastAsia" w:ascii="仿宋_GB2312" w:hAnsi="仿宋_GB2312" w:cs="仿宋_GB2312"/>
          <w:b/>
          <w:bCs/>
          <w:szCs w:val="32"/>
        </w:rPr>
        <w:t>推进水利治理体系现代化。</w:t>
      </w:r>
      <w:r>
        <w:rPr>
          <w:rFonts w:hint="eastAsia" w:ascii="仿宋_GB2312" w:hAnsi="仿宋_GB2312" w:cs="仿宋_GB2312"/>
          <w:szCs w:val="32"/>
        </w:rPr>
        <w:t>加快河湖综合治理，全面开展刘公河、土河、杨家河综合治理，推进小清河、巨野河防洪综合治理工程，完成汉峪河、韩仓河、赵王河、大辛河等河道治理，启动小型河湖生态修复治理。加强水利设施建设，加快推进董家、彩石、唐王、章锦、华山北等水质净化厂建设，做好节约用水和中水回用规划，建设中水回用管网，实施雨污分流改造，加强排水管网日常监管，对建成区排水管网进行清淤疏浚。切实增强水安全保障，搭建智慧水务平台，利用大数据、遥感等技术手段，用精细和动态的方式管理水资源保护、水土保持、给排水等水务工作。全面落实重点防洪工程的安全度汛措施。深入落实河长制，创新工作模式，推进河长制由全面建立向全面见效转变。</w:t>
      </w:r>
    </w:p>
    <w:p>
      <w:pPr>
        <w:spacing w:line="560" w:lineRule="exact"/>
        <w:ind w:firstLine="643"/>
        <w:jc w:val="both"/>
        <w:rPr>
          <w:rFonts w:ascii="仿宋_GB2312" w:hAnsi="仿宋_GB2312" w:cs="仿宋_GB2312"/>
          <w:szCs w:val="32"/>
        </w:rPr>
      </w:pPr>
      <w:r>
        <w:rPr>
          <w:rFonts w:hint="eastAsia" w:ascii="仿宋_GB2312" w:hAnsi="仿宋_GB2312" w:cs="仿宋_GB2312"/>
          <w:b/>
          <w:bCs/>
          <w:szCs w:val="32"/>
        </w:rPr>
        <w:t>保障能源平稳安全供应。</w:t>
      </w:r>
      <w:r>
        <w:rPr>
          <w:rFonts w:hint="eastAsia" w:ascii="仿宋_GB2312" w:hAnsi="仿宋_GB2312" w:cs="仿宋_GB2312"/>
          <w:szCs w:val="32"/>
        </w:rPr>
        <w:t>加快城市电网建设，统筹考虑电网远景目标网架，不断规范高压配网，结合产业发展和城镇体系调整及用电负荷预测，全面提升城市配电网的供电能力和智能化水平。进一步加快推进电网规划引领和协调发展，持续提升优质供电服务水平。推进农业灌溉用电设施建设改造，进一步实施农村电网建设和改造升级，推动乡村电气化发展。全面改善农网和城乡低压电网，提高供电质量和农村安全用电水平，有效降损节能。全面提升城镇燃气规划、建设、运营、管理、技术和服务水平，提高城镇燃气普及率，推动城镇燃气管道全覆盖。积极发展循环产业，发展资源节约型企业，优化能源结构，大力减少劣质煤使用量，提升新能源资源配置能力。加快智慧能源系统建设，建立基于大数据支持下的智慧能源管理系统，实现能耗数字化、管理动态化、数据可视化、节能指标化。</w:t>
      </w:r>
    </w:p>
    <w:tbl>
      <w:tblPr>
        <w:tblStyle w:val="15"/>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937" w:type="dxa"/>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b/>
                <w:bCs/>
                <w:sz w:val="28"/>
                <w:szCs w:val="28"/>
              </w:rPr>
              <w:t>专栏6.1 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7" w:type="dxa"/>
          </w:tcPr>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生物医药产业：</w:t>
            </w:r>
            <w:r>
              <w:rPr>
                <w:rFonts w:hint="eastAsia" w:ascii="楷体_GB2312" w:hAnsi="楷体_GB2312" w:eastAsia="楷体_GB2312" w:cs="楷体_GB2312"/>
                <w:sz w:val="28"/>
                <w:szCs w:val="28"/>
              </w:rPr>
              <w:t>齐鲁中医药国际科技园项目、山东坤力疫苗产业化项目、齐鲁制药董家制剂园。</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高端装备与智能制造产业：</w:t>
            </w:r>
            <w:r>
              <w:rPr>
                <w:rFonts w:hint="eastAsia" w:ascii="楷体_GB2312" w:hAnsi="楷体_GB2312" w:eastAsia="楷体_GB2312" w:cs="楷体_GB2312"/>
                <w:sz w:val="28"/>
                <w:szCs w:val="28"/>
              </w:rPr>
              <w:t>济南轨道交通产业园项目、小鸭智能制造产业园、山东智慧能源产业园（安靠智电）。</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空天信息产业：</w:t>
            </w:r>
            <w:r>
              <w:rPr>
                <w:rFonts w:hint="eastAsia" w:ascii="楷体_GB2312" w:hAnsi="楷体_GB2312" w:eastAsia="楷体_GB2312" w:cs="楷体_GB2312"/>
                <w:sz w:val="28"/>
                <w:szCs w:val="28"/>
              </w:rPr>
              <w:t>空天信息齐鲁研究院项目、济钢防务空天信息产业基地、空间行波管项目</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大数据与新一代信息技术产业：</w:t>
            </w:r>
            <w:r>
              <w:rPr>
                <w:rFonts w:hint="eastAsia" w:ascii="楷体_GB2312" w:hAnsi="楷体_GB2312" w:eastAsia="楷体_GB2312" w:cs="楷体_GB2312"/>
                <w:sz w:val="28"/>
                <w:szCs w:val="28"/>
              </w:rPr>
              <w:t>济南超算中心科技园（二期）、浪潮智能计算产业园、新加坡人工智能科技园项目。</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物流贸易产业：</w:t>
            </w:r>
            <w:r>
              <w:rPr>
                <w:rFonts w:hint="eastAsia" w:ascii="楷体_GB2312" w:hAnsi="楷体_GB2312" w:eastAsia="楷体_GB2312" w:cs="楷体_GB2312"/>
                <w:sz w:val="28"/>
                <w:szCs w:val="28"/>
              </w:rPr>
              <w:t>济南国际内陆港-中央高端物流集聚区、水发国际物流园、济南零点国际供应链产业园项目、盖世未来物流城、盖世智慧供应链枢纽、绿地全球商品贸易港。</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城乡道路基础设施：</w:t>
            </w:r>
            <w:r>
              <w:rPr>
                <w:rFonts w:hint="eastAsia" w:ascii="楷体_GB2312" w:hAnsi="楷体_GB2312" w:eastAsia="楷体_GB2312" w:cs="楷体_GB2312"/>
                <w:sz w:val="28"/>
                <w:szCs w:val="28"/>
              </w:rPr>
              <w:t>彩西路拓展工程项目、国道309线提升工程项目、二环东路快速路北延项目、工业北路快速路东延项目、济南东站至济阳区有轨电车项目，加快建设黄台联络线、研究论证董家至黄大铁路联络线。</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城乡水务基础设施：</w:t>
            </w:r>
            <w:r>
              <w:rPr>
                <w:rFonts w:hint="eastAsia" w:ascii="楷体_GB2312" w:hAnsi="楷体_GB2312" w:eastAsia="楷体_GB2312" w:cs="楷体_GB2312"/>
                <w:sz w:val="28"/>
                <w:szCs w:val="28"/>
              </w:rPr>
              <w:t>新东站片区等区域供水设施，唐王污水处理站，华山北片区、董家、彩石污水处理厂。</w:t>
            </w:r>
          </w:p>
        </w:tc>
      </w:tr>
    </w:tbl>
    <w:p>
      <w:pPr>
        <w:pStyle w:val="3"/>
        <w:spacing w:line="560" w:lineRule="exact"/>
        <w:rPr>
          <w:rFonts w:hint="default"/>
        </w:rPr>
      </w:pPr>
      <w:bookmarkStart w:id="78" w:name="_Toc10252"/>
      <w:bookmarkStart w:id="79" w:name="_Toc11937"/>
      <w:bookmarkStart w:id="80" w:name="_Toc8587"/>
      <w:r>
        <w:t>第七章融入双循环打造对外开放新门户</w:t>
      </w:r>
      <w:bookmarkEnd w:id="78"/>
      <w:bookmarkEnd w:id="79"/>
      <w:bookmarkEnd w:id="80"/>
    </w:p>
    <w:p>
      <w:pPr>
        <w:spacing w:line="560" w:lineRule="exact"/>
        <w:jc w:val="both"/>
        <w:rPr>
          <w:rFonts w:ascii="仿宋" w:hAnsi="仿宋" w:cs="仿宋"/>
        </w:rPr>
      </w:pPr>
      <w:r>
        <w:rPr>
          <w:rFonts w:hint="eastAsia" w:ascii="仿宋" w:hAnsi="仿宋" w:cs="仿宋"/>
        </w:rPr>
        <w:t>按照构建以国内大循环为主体、国内国际双循环相互促进新发展格局要求，提高供需体系适配能力，打通现代化流通环节，推动贸易流通在更高水平、更大范围实现健康、良性循环，</w:t>
      </w:r>
      <w:r>
        <w:rPr>
          <w:rFonts w:hint="eastAsia" w:ascii="仿宋_GB2312" w:hAnsi="等线"/>
          <w:szCs w:val="32"/>
        </w:rPr>
        <w:t>建设高标准自贸区历城区块，</w:t>
      </w:r>
      <w:r>
        <w:rPr>
          <w:rFonts w:hint="eastAsia" w:ascii="仿宋" w:hAnsi="仿宋" w:cs="仿宋"/>
        </w:rPr>
        <w:t>打造国际领先水平内陆港，</w:t>
      </w:r>
      <w:r>
        <w:rPr>
          <w:rFonts w:hint="eastAsia" w:ascii="仿宋_GB2312" w:hAnsi="等线"/>
          <w:szCs w:val="32"/>
        </w:rPr>
        <w:t>在融入双循环中展现更大作为。</w:t>
      </w:r>
    </w:p>
    <w:p>
      <w:pPr>
        <w:pStyle w:val="4"/>
        <w:spacing w:line="560" w:lineRule="exact"/>
        <w:ind w:firstLine="640"/>
      </w:pPr>
      <w:bookmarkStart w:id="81" w:name="_Toc22340"/>
      <w:bookmarkStart w:id="82" w:name="_Toc26601"/>
      <w:bookmarkStart w:id="83" w:name="_Toc20576"/>
      <w:bookmarkStart w:id="84" w:name="_Toc255"/>
      <w:r>
        <w:rPr>
          <w:rFonts w:hint="eastAsia"/>
        </w:rPr>
        <w:t>第一节高水平推进自贸区建设</w:t>
      </w:r>
      <w:bookmarkEnd w:id="81"/>
      <w:bookmarkEnd w:id="82"/>
      <w:bookmarkEnd w:id="83"/>
      <w:bookmarkEnd w:id="84"/>
    </w:p>
    <w:p>
      <w:pPr>
        <w:spacing w:line="560" w:lineRule="exact"/>
        <w:jc w:val="both"/>
        <w:rPr>
          <w:rFonts w:ascii="仿宋_GB2312" w:hAnsi="等线"/>
          <w:szCs w:val="32"/>
        </w:rPr>
      </w:pPr>
      <w:r>
        <w:rPr>
          <w:rFonts w:hint="eastAsia" w:ascii="仿宋_GB2312" w:hAnsi="等线"/>
          <w:szCs w:val="32"/>
        </w:rPr>
        <w:t>对标国际一流自由贸易区（港）和国际经贸规则，推动国际贸易投资、国际人员往来、国际物流运输便利化，打造立足省会经济圈、辐射山东半岛城市群、服务黄河流域对外开放的自由贸易新高地。</w:t>
      </w:r>
    </w:p>
    <w:p>
      <w:pPr>
        <w:spacing w:line="560" w:lineRule="exact"/>
        <w:ind w:firstLine="643"/>
        <w:jc w:val="both"/>
        <w:rPr>
          <w:rFonts w:ascii="仿宋_GB2312" w:hAnsi="等线"/>
          <w:szCs w:val="32"/>
        </w:rPr>
      </w:pPr>
      <w:r>
        <w:rPr>
          <w:rFonts w:hint="eastAsia" w:ascii="仿宋_GB2312" w:hAnsi="等线"/>
          <w:b/>
          <w:bCs/>
          <w:szCs w:val="32"/>
        </w:rPr>
        <w:t>推进开放平台建设。</w:t>
      </w:r>
      <w:r>
        <w:rPr>
          <w:rFonts w:hint="eastAsia" w:ascii="仿宋_GB2312"/>
        </w:rPr>
        <w:t>建设权威智库，</w:t>
      </w:r>
      <w:r>
        <w:rPr>
          <w:rFonts w:hint="eastAsia" w:ascii="仿宋_GB2312" w:hAnsi="等线"/>
          <w:szCs w:val="32"/>
        </w:rPr>
        <w:t>引入全国自贸区联盟、中日韩经济研究院、山东自贸试验区研究院等一批业内权威的研究机构，</w:t>
      </w:r>
      <w:r>
        <w:rPr>
          <w:rFonts w:hint="eastAsia" w:ascii="仿宋_GB2312"/>
        </w:rPr>
        <w:t>承担政府决策咨询，举办高规格学术论坛，全方位服务外向型经济发展</w:t>
      </w:r>
      <w:r>
        <w:rPr>
          <w:rFonts w:hint="eastAsia" w:ascii="仿宋_GB2312" w:hAnsi="等线"/>
          <w:szCs w:val="32"/>
        </w:rPr>
        <w:t>。</w:t>
      </w:r>
      <w:r>
        <w:rPr>
          <w:rFonts w:hint="eastAsia" w:ascii="仿宋_GB2312"/>
        </w:rPr>
        <w:t>建设贸易综合服务平台，打造“泉贸通”供应链贸易服务平台和跨境贸易服务、推广平台。建设金融服务平台，整合银行、保险、基金、信托等金融或类金融机构，为外向型企业提供开放式、一站式金融服务。搭建以数据平台为基础，以</w:t>
      </w:r>
      <w:r>
        <w:rPr>
          <w:rFonts w:ascii="仿宋_GB2312" w:hAnsi="等线"/>
          <w:szCs w:val="32"/>
        </w:rPr>
        <w:t>文化产业、医疗康养</w:t>
      </w:r>
      <w:r>
        <w:rPr>
          <w:rFonts w:hint="eastAsia" w:ascii="仿宋_GB2312" w:hAnsi="等线"/>
          <w:szCs w:val="32"/>
        </w:rPr>
        <w:t>等</w:t>
      </w:r>
      <w:r>
        <w:rPr>
          <w:rFonts w:ascii="仿宋_GB2312" w:hAnsi="等线"/>
          <w:szCs w:val="32"/>
        </w:rPr>
        <w:t>为依托</w:t>
      </w:r>
      <w:r>
        <w:rPr>
          <w:rFonts w:hint="eastAsia" w:ascii="仿宋_GB2312" w:hAnsi="等线"/>
          <w:szCs w:val="32"/>
        </w:rPr>
        <w:t>的</w:t>
      </w:r>
      <w:r>
        <w:rPr>
          <w:rFonts w:ascii="仿宋_GB2312" w:hAnsi="等线"/>
          <w:szCs w:val="32"/>
        </w:rPr>
        <w:t>新业态新模式</w:t>
      </w:r>
      <w:r>
        <w:rPr>
          <w:rFonts w:hint="eastAsia" w:ascii="仿宋_GB2312" w:hAnsi="等线"/>
          <w:szCs w:val="32"/>
        </w:rPr>
        <w:t>服务平台。</w:t>
      </w:r>
    </w:p>
    <w:p>
      <w:pPr>
        <w:pStyle w:val="2"/>
        <w:spacing w:line="560" w:lineRule="exact"/>
        <w:ind w:firstLine="643"/>
        <w:jc w:val="both"/>
      </w:pPr>
      <w:r>
        <w:rPr>
          <w:rFonts w:hint="eastAsia" w:ascii="仿宋_GB2312"/>
          <w:b/>
          <w:bCs/>
        </w:rPr>
        <w:t>推进特色制度创新。</w:t>
      </w:r>
      <w:r>
        <w:rPr>
          <w:rFonts w:hint="eastAsia"/>
        </w:rPr>
        <w:t>遵循“边试点、边总结、边推广”原则，在加快转变政府职能、深化投资领域改革、推动贸易转型升级、深化金融开放创新等方面，积极探索具有历城特色的创新制度。推行一系列贸易便利化、融资便利化制度，聚焦生物医药、人工智能、信息技术、智能制造等重点产业，提升针对性服务实效，实现链上自贸保税体系，聚集一批优质开放型企业。</w:t>
      </w:r>
      <w:r>
        <w:rPr>
          <w:rFonts w:hint="eastAsia"/>
          <w:lang w:val="zh-CN"/>
        </w:rPr>
        <w:t>设立自贸联动创新区和双向“飞地”合作平台，加强与国际内陆港联动发展。探索“工业互联网＋自贸”融合发展路径，促进现代产业链重构。</w:t>
      </w:r>
      <w:r>
        <w:rPr>
          <w:rFonts w:hint="eastAsia"/>
        </w:rPr>
        <w:t>创新项目管理机制，形成更多首创性、差异化的特色试点项目管理制度。深化对外合作制度创新，密切跟踪研究最新国际经贸规则，对标日、韩、德、新等国际标准，与台港澳地区和日韩等国在科技、医养健康和服务贸易等领域深化合作，建设全省新的外贸产业聚集区。</w:t>
      </w:r>
    </w:p>
    <w:p>
      <w:pPr>
        <w:pStyle w:val="4"/>
        <w:spacing w:line="560" w:lineRule="exact"/>
        <w:ind w:firstLine="640"/>
      </w:pPr>
      <w:bookmarkStart w:id="85" w:name="_Toc14373"/>
      <w:bookmarkStart w:id="86" w:name="_Toc19308"/>
      <w:bookmarkStart w:id="87" w:name="_Toc7056"/>
      <w:bookmarkStart w:id="88" w:name="_Toc1098"/>
      <w:r>
        <w:rPr>
          <w:rFonts w:hint="eastAsia"/>
        </w:rPr>
        <w:t>第二节高标准打造国际内陆港</w:t>
      </w:r>
      <w:bookmarkEnd w:id="85"/>
      <w:bookmarkEnd w:id="86"/>
      <w:bookmarkEnd w:id="87"/>
      <w:bookmarkEnd w:id="88"/>
    </w:p>
    <w:p>
      <w:pPr>
        <w:spacing w:line="560" w:lineRule="exact"/>
        <w:jc w:val="both"/>
        <w:rPr>
          <w:rFonts w:ascii="仿宋_GB2312"/>
        </w:rPr>
      </w:pPr>
      <w:r>
        <w:rPr>
          <w:rFonts w:hint="eastAsia" w:ascii="仿宋_GB2312"/>
        </w:rPr>
        <w:t>抢抓“一字型”大通道建设机遇，充分依托铁路货运枢纽等交通优势，高标准打造多式联运、四港联动的国际内陆港，助力我市充分发挥黄河流域龙头城市作用。</w:t>
      </w:r>
    </w:p>
    <w:p>
      <w:pPr>
        <w:spacing w:line="560" w:lineRule="exact"/>
        <w:ind w:firstLine="643"/>
        <w:jc w:val="both"/>
        <w:rPr>
          <w:rFonts w:ascii="仿宋_GB2312"/>
        </w:rPr>
      </w:pPr>
      <w:r>
        <w:rPr>
          <w:rFonts w:hint="eastAsia" w:ascii="仿宋_GB2312"/>
          <w:b/>
          <w:bCs/>
        </w:rPr>
        <w:t>加强顶层设计、明确建设方向。</w:t>
      </w:r>
      <w:r>
        <w:rPr>
          <w:rFonts w:hint="eastAsia" w:ascii="仿宋_GB2312"/>
        </w:rPr>
        <w:t>高标准规划建设国际内陆港-中央高端物流集聚区，前瞻性规划产业布局，打造高端物流、智慧物流、物流总部基地。建立集产业经济、</w:t>
      </w:r>
      <w:r>
        <w:rPr>
          <w:rFonts w:ascii="仿宋_GB2312"/>
        </w:rPr>
        <w:t>物流技术、供应链管理等多学科融合的物流高端智库，鼓励构建产学研为一体的物流教育与人才培育体系，为国际内陆港建设提供强有力的智力和人才支撑。</w:t>
      </w:r>
      <w:r>
        <w:rPr>
          <w:rFonts w:hint="eastAsia" w:ascii="仿宋_GB2312" w:hAnsi="等线"/>
          <w:szCs w:val="32"/>
        </w:rPr>
        <w:t>大力发展多式联运和智慧物流，打造公路、铁路、空港、水港“四港合一”。</w:t>
      </w:r>
      <w:r>
        <w:rPr>
          <w:rFonts w:hint="eastAsia" w:ascii="仿宋_GB2312"/>
        </w:rPr>
        <w:t>突出国际铁路货运枢纽和空港枢纽两大核心，高水平规划</w:t>
      </w:r>
      <w:r>
        <w:rPr>
          <w:rFonts w:ascii="仿宋_GB2312"/>
        </w:rPr>
        <w:t>建设铁路货运枢纽、智慧公路港、集装箱作业区和散货作业区，</w:t>
      </w:r>
      <w:r>
        <w:rPr>
          <w:rFonts w:hint="eastAsia" w:ascii="仿宋_GB2312"/>
        </w:rPr>
        <w:t>推动</w:t>
      </w:r>
      <w:r>
        <w:rPr>
          <w:rFonts w:hint="eastAsia" w:ascii="仿宋_GB2312"/>
          <w:lang w:val="zh-CN"/>
        </w:rPr>
        <w:t>董家铁路货运中心二期工程建设，</w:t>
      </w:r>
      <w:r>
        <w:rPr>
          <w:rFonts w:hint="eastAsia" w:ascii="仿宋_GB2312"/>
        </w:rPr>
        <w:t>打造</w:t>
      </w:r>
      <w:r>
        <w:rPr>
          <w:rFonts w:ascii="仿宋_GB2312"/>
        </w:rPr>
        <w:t>国际内陆港公铁联运货运中心</w:t>
      </w:r>
      <w:r>
        <w:rPr>
          <w:rFonts w:hint="eastAsia" w:ascii="仿宋_GB2312"/>
        </w:rPr>
        <w:t>；以空港枢纽为衔接点，以公路网为连接线，</w:t>
      </w:r>
      <w:r>
        <w:rPr>
          <w:rFonts w:ascii="仿宋_GB2312"/>
        </w:rPr>
        <w:t>打造区域性航空货运枢纽</w:t>
      </w:r>
      <w:r>
        <w:rPr>
          <w:rFonts w:hint="eastAsia" w:ascii="仿宋_GB2312"/>
        </w:rPr>
        <w:t>。积极对接“一带一路”建设，加快拓展现有中欧班列业务，</w:t>
      </w:r>
      <w:r>
        <w:rPr>
          <w:rFonts w:hint="eastAsia" w:ascii="仿宋" w:hAnsi="仿宋" w:cs="仿宋"/>
        </w:rPr>
        <w:t>充分利用口岸和通道能力，全力承运进出口货物，推动进出口商贸物资快速流动，</w:t>
      </w:r>
      <w:r>
        <w:rPr>
          <w:rFonts w:hint="eastAsia" w:ascii="仿宋_GB2312"/>
        </w:rPr>
        <w:t>提升中欧班列品牌和国际影响力。</w:t>
      </w:r>
    </w:p>
    <w:p>
      <w:pPr>
        <w:widowControl/>
        <w:spacing w:line="560" w:lineRule="exact"/>
        <w:ind w:firstLine="643"/>
        <w:jc w:val="both"/>
        <w:rPr>
          <w:rFonts w:ascii="仿宋_GB2312"/>
        </w:rPr>
      </w:pPr>
      <w:r>
        <w:rPr>
          <w:rFonts w:hint="eastAsia" w:ascii="仿宋_GB2312" w:hAnsi="仿宋_GB2312" w:cs="仿宋_GB2312"/>
          <w:b/>
          <w:bCs/>
          <w:szCs w:val="32"/>
        </w:rPr>
        <w:t>加快平台建设、强化增值服务。</w:t>
      </w:r>
      <w:r>
        <w:rPr>
          <w:rFonts w:hint="eastAsia" w:ascii="仿宋_GB2312" w:hAnsi="仿宋_GB2312" w:cs="仿宋_GB2312"/>
          <w:szCs w:val="32"/>
        </w:rPr>
        <w:t>加速吸引物流高端要素，促进人流、资金流、信息流、数据流加快运行，激发国际内陆港发展活力和动力。加强供应链体系建设，搭建以供应链协同平台、交易平台、综合服务平台为主的各类供应链平台，增强供应链协同和整合能力。积极推进物联网、云计算、大数据等新技术应用，提升国际内陆港物流标准化、信息化水平。围绕公铁货运及小清河水运，大力引进国内外知名物流企业总部和信息、货代等物流链服务企业，以及物流装备制造企业入驻。依托临</w:t>
      </w:r>
      <w:r>
        <w:rPr>
          <w:rFonts w:hint="eastAsia" w:ascii="仿宋_GB2312"/>
        </w:rPr>
        <w:t>港经济开发区发展实体经济和自贸区对外开放主战场的地位，搭建临港经济开发区和自贸区企业之间的合作平台，将产业链从单一生产扩展到设计、研发、采购、生产、销售、物流运输等上下游关键领域，打造实现实体经济、国际物流与内外贸易互补互利，具有国际影响力的现代产业示范区。</w:t>
      </w:r>
    </w:p>
    <w:p>
      <w:pPr>
        <w:pStyle w:val="4"/>
        <w:spacing w:line="560" w:lineRule="exact"/>
        <w:ind w:firstLine="640"/>
      </w:pPr>
      <w:bookmarkStart w:id="89" w:name="_Toc18728"/>
      <w:bookmarkStart w:id="90" w:name="_Toc421"/>
      <w:bookmarkStart w:id="91" w:name="_Toc26517"/>
      <w:bookmarkStart w:id="92" w:name="_Toc15911"/>
      <w:r>
        <w:rPr>
          <w:rFonts w:hint="eastAsia"/>
        </w:rPr>
        <w:t>第三节</w:t>
      </w:r>
      <w:bookmarkEnd w:id="89"/>
      <w:bookmarkEnd w:id="90"/>
      <w:bookmarkEnd w:id="91"/>
      <w:r>
        <w:rPr>
          <w:rFonts w:hint="eastAsia"/>
        </w:rPr>
        <w:t>拓展对外贸易发展空间</w:t>
      </w:r>
      <w:bookmarkEnd w:id="92"/>
    </w:p>
    <w:p>
      <w:pPr>
        <w:spacing w:line="560" w:lineRule="exact"/>
        <w:jc w:val="both"/>
      </w:pPr>
      <w:r>
        <w:rPr>
          <w:rFonts w:hint="eastAsia"/>
        </w:rPr>
        <w:t>加快推进外贸转型升级，巩固提升传统优势、培育发展新优势，多渠道、多方式拓展外贸市场，促进外贸企业转动力调结构，进一步提升外贸企业竞争力。</w:t>
      </w:r>
    </w:p>
    <w:p>
      <w:pPr>
        <w:spacing w:line="560" w:lineRule="exact"/>
        <w:ind w:firstLine="643"/>
        <w:contextualSpacing/>
        <w:jc w:val="both"/>
        <w:rPr>
          <w:rFonts w:ascii="仿宋" w:hAnsi="仿宋" w:cs="仿宋"/>
        </w:rPr>
      </w:pPr>
      <w:r>
        <w:rPr>
          <w:rFonts w:hint="eastAsia" w:ascii="仿宋_GB2312" w:hAnsi="等线"/>
          <w:b/>
          <w:bCs/>
          <w:szCs w:val="32"/>
        </w:rPr>
        <w:t>拓展对外贸易新模式。</w:t>
      </w:r>
      <w:r>
        <w:rPr>
          <w:rFonts w:hint="eastAsia" w:ascii="仿宋_GB2312" w:hAnsi="等线"/>
          <w:szCs w:val="32"/>
        </w:rPr>
        <w:t>抢抓济南市建设商贸服务型国家物流枢纽机遇，加快建设盖世物流城和盖世智慧供应链枢纽项目，培育和引进一批具有核心竞争力的现代流通企业。</w:t>
      </w:r>
      <w:r>
        <w:rPr>
          <w:rFonts w:hint="eastAsia" w:ascii="仿宋" w:hAnsi="仿宋" w:cs="仿宋"/>
        </w:rPr>
        <w:t>加快跨境电子商务发展，提升跨境电商综合保障服务体系数字化、智能化水平，建设线上跨境电商综合服务平台；依托绿地全球贸易港、鲁商集团自贸广场等载体，建设跨境电商商品展示中心和线下体验中心；</w:t>
      </w:r>
      <w:r>
        <w:rPr>
          <w:rFonts w:hint="eastAsia" w:ascii="仿宋_GB2312" w:hAnsi="等线"/>
          <w:szCs w:val="32"/>
        </w:rPr>
        <w:t>依托中国智能骨干网产业组团，打造物流信息交易平台、电子商务聚集中心和O2O展览展示中心。</w:t>
      </w:r>
      <w:r>
        <w:rPr>
          <w:rFonts w:hint="eastAsia" w:ascii="仿宋" w:hAnsi="仿宋" w:cs="仿宋"/>
        </w:rPr>
        <w:t>以“服务企业、服务实体经济”为宗旨创新大宗贸易交易模式，</w:t>
      </w:r>
      <w:r>
        <w:rPr>
          <w:rFonts w:hint="eastAsia" w:ascii="仿宋_GB2312" w:hAnsi="等线"/>
          <w:szCs w:val="32"/>
        </w:rPr>
        <w:t>整合维尔康口岸、董家铁路货运枢纽、小清河码头等资源要素，</w:t>
      </w:r>
      <w:r>
        <w:rPr>
          <w:rFonts w:hint="eastAsia" w:ascii="仿宋" w:hAnsi="仿宋" w:cs="仿宋"/>
        </w:rPr>
        <w:t>集聚大宗商品资源商、交易商、需求商以及金融、口岸等配套服务机构，</w:t>
      </w:r>
      <w:r>
        <w:rPr>
          <w:rFonts w:hint="eastAsia" w:ascii="仿宋_GB2312" w:hAnsi="等线"/>
          <w:szCs w:val="32"/>
        </w:rPr>
        <w:t>重点发展“物流＋贸易”，打造大宗商品交易平台</w:t>
      </w:r>
      <w:r>
        <w:rPr>
          <w:rFonts w:hint="eastAsia" w:ascii="仿宋" w:hAnsi="仿宋" w:cs="仿宋"/>
        </w:rPr>
        <w:t>。创新服务贸易模式，顺应消费需求结构升级，大力发展服务外包，扩大设计咨询、技术转让、国际运输等服务贸易出口。搭建国际化平行供应链贸易平台，依托漱玉平民大药房、鲁商银座汽车等开展平行进口医疗器械和进口车业务试点，积极拓宽国际贸易渠道。培育数字贸易、离岸贸易、保税维修、日韩欧国际贸易等新模式。</w:t>
      </w:r>
    </w:p>
    <w:p>
      <w:pPr>
        <w:spacing w:line="560" w:lineRule="exact"/>
        <w:ind w:firstLine="643"/>
        <w:jc w:val="both"/>
        <w:rPr>
          <w:rFonts w:ascii="仿宋" w:hAnsi="仿宋" w:cs="仿宋"/>
        </w:rPr>
      </w:pPr>
      <w:r>
        <w:rPr>
          <w:rFonts w:hint="eastAsia" w:ascii="仿宋" w:hAnsi="仿宋" w:cs="仿宋"/>
          <w:b/>
          <w:bCs/>
        </w:rPr>
        <w:t>支持外贸企业稳发展。</w:t>
      </w:r>
      <w:r>
        <w:rPr>
          <w:rFonts w:hint="eastAsia" w:ascii="仿宋" w:hAnsi="仿宋" w:cs="仿宋"/>
        </w:rPr>
        <w:t>着力扩大外贸规模，提升外贸市场存量水平，积极引进外贸企业，培育对外贸易新优势，形成一批具有较高知名度和国际竞争力的进出口产品、品牌、平台。建立一对一专员服务，实施“一事一议”帮扶举措，支持龙头企业外贸业务做大做强。支持企业稳外贸、转内销，不断扩大市场流通和销售渠道，依托产销对接平台组织大型企业开展订单直采等业务。实施贸易投融资工程，鼓励各类金融机构对外贸企业加强供应链金融服务，加大信贷支持，引导保险公司提供多元化的保险增值服务。积极参与“济南造全球性”优质产品出海行动，构建国内外互联大通道，主动拓展与RCEP成员国间的地方经贸合作，鼓励本土优势企业带领中小企业走出海外。增强贸易企业和上下游产业链条黏性，解决贸易企业刚性需求，实现物流线上线下各个环节的整合，促进外贸企业集聚。</w:t>
      </w:r>
    </w:p>
    <w:p>
      <w:pPr>
        <w:pStyle w:val="4"/>
        <w:spacing w:line="560" w:lineRule="exact"/>
      </w:pPr>
      <w:bookmarkStart w:id="93" w:name="_Toc5491"/>
      <w:bookmarkStart w:id="94" w:name="_Toc1803"/>
      <w:bookmarkStart w:id="95" w:name="_Toc30605"/>
      <w:bookmarkStart w:id="96" w:name="_Toc29080"/>
      <w:r>
        <w:rPr>
          <w:rFonts w:hint="eastAsia"/>
        </w:rPr>
        <w:t>第四节着力推进消费繁荣升级</w:t>
      </w:r>
      <w:bookmarkEnd w:id="93"/>
      <w:bookmarkEnd w:id="94"/>
      <w:bookmarkEnd w:id="95"/>
      <w:bookmarkEnd w:id="96"/>
    </w:p>
    <w:p>
      <w:pPr>
        <w:spacing w:line="560" w:lineRule="exact"/>
        <w:jc w:val="both"/>
        <w:rPr>
          <w:rFonts w:cs="宋体"/>
        </w:rPr>
      </w:pPr>
      <w:r>
        <w:rPr>
          <w:rFonts w:hint="eastAsia" w:cs="宋体"/>
        </w:rPr>
        <w:t>深入挖掘消费市场潜力，适应个性化、多样化、品质化消费趋势，优化城乡消费环境，更新传统商圈、激发市场活力、丰富消费供给，打造消费新模式新业态，促进消费平稳快速增长。</w:t>
      </w:r>
    </w:p>
    <w:p>
      <w:pPr>
        <w:spacing w:line="560" w:lineRule="exact"/>
        <w:ind w:firstLine="643"/>
        <w:jc w:val="both"/>
        <w:rPr>
          <w:rFonts w:cs="宋体"/>
        </w:rPr>
      </w:pPr>
      <w:r>
        <w:rPr>
          <w:rFonts w:hint="eastAsia" w:cs="宋体"/>
          <w:b/>
          <w:bCs/>
        </w:rPr>
        <w:t>优化城乡消费环境。</w:t>
      </w:r>
      <w:r>
        <w:rPr>
          <w:rFonts w:hint="eastAsia" w:cs="宋体"/>
        </w:rPr>
        <w:t>实施商圈建设提升改造，引进国内外高端品牌，建设一批品质化、精细化、差异化的特色商圈。优化商圈结构布局，实现现有商圈提质升级，激发洪家楼商圈市场新活力，辐射带动周边传统商业业态升级，打造夜间经济主要集聚区；高水平打造新东站商圈，引导高端业态入驻，实现产业集聚；建设形成能够满足东部购物需求的唐冶商圈，不断优化华山全福商圈和港沟商圈商业业态。健全城乡商贸流通体系，加快发展品牌连锁便利店等商贸主</w:t>
      </w:r>
      <w:r>
        <w:rPr>
          <w:rFonts w:hint="eastAsia" w:ascii="仿宋_GB2312" w:hAnsi="仿宋_GB2312" w:cs="仿宋_GB2312"/>
        </w:rPr>
        <w:t>体，提升电商综合水平，推动城乡商贸流通转型升级。持续推进15分钟便民生活圈建设，提升社区便民商业设施和市场末端流通能力，打造精品街区生活服务集聚中心。进一步加强城乡信息基</w:t>
      </w:r>
      <w:r>
        <w:rPr>
          <w:rFonts w:hint="eastAsia" w:cs="宋体"/>
        </w:rPr>
        <w:t>础设施和物流基础设施建设，打通农产品上行通道，推动城乡终端消费与生产供给良性循环。构建布局合理、功能齐备、优质便捷、管理有序的消费市场运行体系。</w:t>
      </w:r>
    </w:p>
    <w:p>
      <w:pPr>
        <w:spacing w:line="560" w:lineRule="exact"/>
        <w:ind w:firstLine="643"/>
        <w:jc w:val="both"/>
        <w:rPr>
          <w:rFonts w:cs="宋体"/>
        </w:rPr>
      </w:pPr>
      <w:r>
        <w:rPr>
          <w:rFonts w:hint="eastAsia" w:cs="宋体"/>
          <w:b/>
          <w:bCs/>
        </w:rPr>
        <w:t>创新消费模式、业态。</w:t>
      </w:r>
      <w:r>
        <w:rPr>
          <w:rFonts w:hint="eastAsia" w:cs="宋体"/>
        </w:rPr>
        <w:t>培育消费市场主体内生动力，通过打造生活化的消费场景及体验式模式，促进消费向绿色、健康、安全发展，激发引领消费升级的全新增长点。大力发展电子商务和直播经济消费新热点，引导新融媒行业集聚发展，培育做强一批新媒体经济主体。依托数字化平台，发放政府消费券等模式，撬动丰富市场资源，加速推动数字化消费转型升级。通过搭建网络平台，实现服务提供者与服务消费者有效对接，促进共享经济、共享消费发展。</w:t>
      </w:r>
    </w:p>
    <w:p>
      <w:pPr>
        <w:spacing w:line="560" w:lineRule="exact"/>
        <w:ind w:firstLine="643"/>
        <w:jc w:val="both"/>
        <w:rPr>
          <w:rFonts w:cs="宋体"/>
        </w:rPr>
      </w:pPr>
      <w:r>
        <w:rPr>
          <w:rFonts w:hint="eastAsia" w:cs="宋体"/>
          <w:b/>
          <w:bCs/>
        </w:rPr>
        <w:t>打造消费优质品牌。</w:t>
      </w:r>
      <w:r>
        <w:rPr>
          <w:rFonts w:hint="eastAsia" w:cs="宋体"/>
        </w:rPr>
        <w:t>开展以“城以物名、物以城兴”为主题的历城品牌优品建设工程，打造推广一批独具特色名优产品，实现地域文化与产品品牌相互赋能。树立企业品牌价值意识，创新品牌产品评价机制，建立以消费者认可和市场竞争力为基础的名牌产生机制。鼓励企业积极采用国际先进标准、技术和设备，增强产品核心竞争力。做强小店经济、首店经济、首发经济，吸引国内外品牌在我区首次</w:t>
      </w:r>
      <w:r>
        <w:rPr>
          <w:rFonts w:hint="eastAsia" w:ascii="仿宋_GB2312" w:hAnsi="仿宋_GB2312" w:cs="仿宋_GB2312"/>
          <w:szCs w:val="22"/>
        </w:rPr>
        <w:t>设立总部，</w:t>
      </w:r>
      <w:r>
        <w:rPr>
          <w:rFonts w:hint="eastAsia" w:cs="宋体"/>
        </w:rPr>
        <w:t>实现品牌价值与区域资源最优耦合。打造推广一批以草莓、白菜、锦鲤为代表的优质特色农产品品牌。</w:t>
      </w:r>
    </w:p>
    <w:p>
      <w:pPr>
        <w:pStyle w:val="4"/>
        <w:spacing w:line="560" w:lineRule="exact"/>
        <w:ind w:firstLine="641"/>
      </w:pPr>
      <w:bookmarkStart w:id="97" w:name="_Toc11080"/>
      <w:bookmarkStart w:id="98" w:name="_Toc2191"/>
      <w:bookmarkStart w:id="99" w:name="_Toc28375"/>
      <w:r>
        <w:rPr>
          <w:rFonts w:hint="eastAsia"/>
        </w:rPr>
        <w:t>第五节多措并举扩大有效投资</w:t>
      </w:r>
      <w:bookmarkEnd w:id="97"/>
      <w:bookmarkEnd w:id="98"/>
      <w:bookmarkEnd w:id="99"/>
    </w:p>
    <w:p>
      <w:pPr>
        <w:spacing w:line="560" w:lineRule="exact"/>
        <w:jc w:val="both"/>
        <w:rPr>
          <w:rFonts w:ascii="仿宋_GB2312" w:hAnsi="仿宋_GB2312" w:cs="仿宋_GB2312"/>
        </w:rPr>
      </w:pPr>
      <w:r>
        <w:rPr>
          <w:rFonts w:hint="eastAsia" w:ascii="仿宋_GB2312" w:hAnsi="仿宋_GB2312" w:cs="仿宋_GB2312"/>
        </w:rPr>
        <w:t>围绕补短板、增动能、扩潜力目标，进一步拓展投资空间，优化投资结构，加强对“两新一重”领域投资，全面落实双招双引，以高质量投资实现高质量发展。</w:t>
      </w:r>
    </w:p>
    <w:p>
      <w:pPr>
        <w:spacing w:line="560" w:lineRule="exact"/>
        <w:ind w:firstLine="643"/>
        <w:jc w:val="both"/>
        <w:rPr>
          <w:rFonts w:ascii="仿宋_GB2312" w:hAnsi="仿宋_GB2312" w:cs="仿宋_GB2312"/>
        </w:rPr>
      </w:pPr>
      <w:r>
        <w:rPr>
          <w:rFonts w:hint="eastAsia" w:ascii="仿宋_GB2312" w:hAnsi="仿宋_GB2312" w:cs="仿宋_GB2312"/>
          <w:b/>
          <w:bCs/>
        </w:rPr>
        <w:t>优化投资结构。</w:t>
      </w:r>
      <w:r>
        <w:rPr>
          <w:rFonts w:hint="eastAsia" w:ascii="仿宋_GB2312" w:hAnsi="仿宋_GB2312" w:cs="仿宋_GB2312"/>
        </w:rPr>
        <w:t>发挥投资对优化供给结构的关键作用，重点突出“两新一重”领域投资，加快5G网络、互联网、大数据、人工智能、数字经济等设施建设，补齐基础设施、市政工程、农业农村、公共安全、生态环保、公共卫生、物资储备、防灾减灾、民生保障等领域短板。扩大重大科研设施和战略性新兴产业投资，巩固提高重点产业、重点企业在国内国际市场产业链供应链价值链中的优势地位。实施智能化技术改造行动，大力推动以智能制造为主攻方向的新一轮企业技术改造投资。扩大现代服务业领域投资，增加对科技创新、人力资本等领域投资。完善经济开发区基础设施，制定更加科学合理奖补政策，加大标准厂房建设力度。激发民间投资活力，完善和落实鼓励民间投资政策，推动民间投资与政府投资、信贷资金等协同联动。</w:t>
      </w:r>
    </w:p>
    <w:p>
      <w:pPr>
        <w:spacing w:line="560" w:lineRule="exact"/>
        <w:ind w:firstLine="643"/>
        <w:jc w:val="both"/>
      </w:pPr>
      <w:r>
        <w:rPr>
          <w:rFonts w:hint="eastAsia" w:ascii="仿宋_GB2312" w:hAnsi="仿宋_GB2312" w:cs="仿宋_GB2312"/>
          <w:b/>
          <w:bCs/>
        </w:rPr>
        <w:t>落实双招双引。</w:t>
      </w:r>
      <w:r>
        <w:rPr>
          <w:rFonts w:hint="eastAsia" w:ascii="仿宋_GB2312" w:hAnsi="仿宋_GB2312" w:cs="仿宋_GB2312"/>
        </w:rPr>
        <w:t>以重大平台、重大项目、重点企业为依托，以科技创新为引领，加大双招双引力度，完善产业发展生态。坚持市场化、国际化和互联网思维，充分吸纳社会化、市场化力量，构筑专业化招商团队、运用专业化招商模式。加快对双招双引流程的重塑及优化，强化科技、金融和人才三大支撑，引入中介、企业院所力量实现“以商招商”，提升项目优质性。用足用好全区资源优势，深挖政策资源、利用高校科研院所资源、全面对接央企国企资源，科学研判企业投资动向，吸引更多优质项目和高端人才落户。构建“储备一批、开工一批、建设一批、竣工一批”的项目建设工作机制，及时完善“十四五”重大项目库，按年度制定实施重点项目建设计划。深化“红黄绿”牌、“集中开工”等项目工作机制，全面推行“容缺办理”。完善重点项目管理办法，建立分级管理和目标责任机制，强化信息采集、数据分析、进展监控、结果评价机制。坚持资金和要素跟着项目走，加大资金、用地、能耗等要素保障力度。</w:t>
      </w:r>
    </w:p>
    <w:p>
      <w:pPr>
        <w:pStyle w:val="3"/>
        <w:spacing w:line="560" w:lineRule="exact"/>
        <w:rPr>
          <w:rFonts w:hint="default"/>
        </w:rPr>
      </w:pPr>
      <w:bookmarkStart w:id="100" w:name="_Toc26371"/>
      <w:bookmarkStart w:id="101" w:name="_Toc7866"/>
      <w:bookmarkStart w:id="102" w:name="_Toc20365"/>
      <w:bookmarkStart w:id="103" w:name="_Toc19971"/>
      <w:bookmarkStart w:id="104" w:name="_Toc14002"/>
      <w:bookmarkStart w:id="105" w:name="_Toc7597"/>
      <w:bookmarkStart w:id="106" w:name="_Toc1706"/>
      <w:bookmarkStart w:id="107" w:name="_Toc26866"/>
      <w:bookmarkStart w:id="108" w:name="_Toc19254"/>
      <w:bookmarkStart w:id="109" w:name="_Toc26214"/>
      <w:bookmarkStart w:id="110" w:name="_Toc15198"/>
      <w:bookmarkStart w:id="111" w:name="_Toc6260"/>
      <w:bookmarkStart w:id="112" w:name="_Toc27447"/>
      <w:r>
        <w:t>第八章开启城乡融合协调发展新局面</w:t>
      </w:r>
      <w:bookmarkEnd w:id="100"/>
      <w:bookmarkEnd w:id="101"/>
      <w:bookmarkEnd w:id="102"/>
    </w:p>
    <w:p>
      <w:pPr>
        <w:spacing w:line="560" w:lineRule="exact"/>
        <w:jc w:val="both"/>
        <w:rPr>
          <w:rFonts w:ascii="仿宋_GB2312" w:hAnsi="仿宋" w:cs="仿宋"/>
          <w:bCs/>
          <w:kern w:val="0"/>
          <w:szCs w:val="32"/>
          <w:shd w:val="clear" w:color="auto" w:fill="FFFFFF"/>
        </w:rPr>
      </w:pPr>
      <w:r>
        <w:rPr>
          <w:rFonts w:hint="eastAsia" w:ascii="仿宋_GB2312" w:hAnsi="仿宋" w:cs="仿宋"/>
          <w:bCs/>
          <w:kern w:val="0"/>
          <w:szCs w:val="32"/>
          <w:shd w:val="clear" w:color="auto" w:fill="FFFFFF"/>
        </w:rPr>
        <w:t>加快城乡融合发展，推动城乡要素双向自由流动，着力破除体制机制弊端，深入推进新型城镇化建设，大力实施乡村振兴工程，构建城乡协调发展新图景。</w:t>
      </w:r>
    </w:p>
    <w:p>
      <w:pPr>
        <w:pStyle w:val="4"/>
        <w:spacing w:line="560" w:lineRule="exact"/>
      </w:pPr>
      <w:bookmarkStart w:id="113" w:name="_Toc9482"/>
      <w:bookmarkStart w:id="114" w:name="_Toc18082"/>
      <w:r>
        <w:rPr>
          <w:rFonts w:hint="eastAsia"/>
        </w:rPr>
        <w:t>第一节健全融合发展体制机制</w:t>
      </w:r>
      <w:bookmarkEnd w:id="113"/>
      <w:bookmarkEnd w:id="114"/>
    </w:p>
    <w:p>
      <w:pPr>
        <w:spacing w:line="560" w:lineRule="exact"/>
        <w:jc w:val="both"/>
        <w:rPr>
          <w:rFonts w:ascii="仿宋_GB2312" w:hAnsi="仿宋" w:cs="仿宋"/>
          <w:bCs/>
          <w:kern w:val="0"/>
          <w:szCs w:val="32"/>
        </w:rPr>
      </w:pPr>
      <w:r>
        <w:rPr>
          <w:rFonts w:hint="eastAsia" w:ascii="仿宋_GB2312" w:hAnsi="仿宋" w:cs="仿宋"/>
          <w:bCs/>
          <w:kern w:val="0"/>
          <w:szCs w:val="32"/>
        </w:rPr>
        <w:t>放宽城市落户限制，加快农村土地制度改革，统筹整合涉农资金，形成工农互促、城乡互补、全面融合、共同繁荣的新型城乡关系。</w:t>
      </w:r>
    </w:p>
    <w:p>
      <w:pPr>
        <w:spacing w:line="560" w:lineRule="exact"/>
        <w:ind w:firstLine="643"/>
        <w:jc w:val="both"/>
        <w:rPr>
          <w:rFonts w:ascii="仿宋_GB2312" w:hAnsi="仿宋" w:cs="仿宋"/>
          <w:bCs/>
          <w:kern w:val="0"/>
          <w:szCs w:val="32"/>
        </w:rPr>
      </w:pPr>
      <w:r>
        <w:rPr>
          <w:rFonts w:hint="eastAsia" w:ascii="仿宋_GB2312" w:hAnsi="仿宋" w:cs="仿宋"/>
          <w:b/>
          <w:kern w:val="0"/>
          <w:szCs w:val="32"/>
        </w:rPr>
        <w:t>促进劳动力跨界流动。</w:t>
      </w:r>
      <w:r>
        <w:rPr>
          <w:rFonts w:hint="eastAsia" w:ascii="仿宋_GB2312" w:hAnsi="仿宋" w:cs="仿宋"/>
          <w:bCs/>
          <w:kern w:val="0"/>
          <w:szCs w:val="32"/>
        </w:rPr>
        <w:t>落实户籍制度改革，合理引导劳动力集聚发展。建立农村集体经济组织成员进城落户转移“三权”备案制度，健全农业转移人口在医疗卫生、教育等方面市民化的制度机制，打通进城农民落户政策通道。研究建立人才加入乡村制度和符合条件的返乡就业创业人员在原籍地或就业创业地落户制度，确保进城农民放心落户，下乡人才安心创业。实施高素质农民培育工程，加快培育有文化、懂技术、善经营、会管理的高素质农民，推动乡村人才振兴。</w:t>
      </w:r>
    </w:p>
    <w:p>
      <w:pPr>
        <w:spacing w:line="560" w:lineRule="exact"/>
        <w:ind w:firstLine="643"/>
        <w:jc w:val="both"/>
        <w:rPr>
          <w:rFonts w:ascii="仿宋_GB2312" w:hAnsi="仿宋" w:cs="仿宋"/>
          <w:bCs/>
          <w:kern w:val="0"/>
          <w:szCs w:val="32"/>
        </w:rPr>
      </w:pPr>
      <w:r>
        <w:rPr>
          <w:rFonts w:hint="eastAsia" w:cs="宋体"/>
          <w:b/>
          <w:bCs/>
        </w:rPr>
        <w:t>高效配置土地资源。</w:t>
      </w:r>
      <w:r>
        <w:rPr>
          <w:rFonts w:hint="eastAsia" w:ascii="仿宋_GB2312" w:hAnsi="仿宋" w:cs="仿宋"/>
          <w:bCs/>
          <w:kern w:val="0"/>
          <w:szCs w:val="32"/>
        </w:rPr>
        <w:t>建立农村资源资产激活机制，通过发挥低效用地再开发、城乡建设用地增减挂钩等政策优势，畅通农村土地要素政策通道，积极盘活土地资源，切实保护耕地。改革建立集体经营性建设用地入市制度，允许就地入市或异地调整入市，允许村集体在农民自愿前提下，依法把有偿收回的闲置宅基地、废弃的集体公益性建设用地转变为集体经营性建设用地入市。建立历城集体经营性建设用地交易服务中心，开展集体经营性建设用地使用权的评估、出让、转让、互换、出资、赠与、抵押等入市交易业务的审批办理，提供信息发布、价值评估、合同监管等服务。</w:t>
      </w:r>
    </w:p>
    <w:p>
      <w:pPr>
        <w:spacing w:line="560" w:lineRule="exact"/>
        <w:ind w:firstLine="643"/>
        <w:jc w:val="both"/>
        <w:rPr>
          <w:rFonts w:ascii="仿宋_GB2312" w:hAnsi="仿宋" w:cs="仿宋"/>
          <w:bCs/>
          <w:kern w:val="0"/>
          <w:szCs w:val="32"/>
        </w:rPr>
      </w:pPr>
      <w:r>
        <w:rPr>
          <w:rFonts w:hint="eastAsia" w:cs="宋体"/>
          <w:b/>
        </w:rPr>
        <w:t>强化</w:t>
      </w:r>
      <w:r>
        <w:rPr>
          <w:rFonts w:cs="宋体"/>
          <w:b/>
        </w:rPr>
        <w:t>资金</w:t>
      </w:r>
      <w:r>
        <w:rPr>
          <w:rFonts w:hint="eastAsia" w:cs="宋体"/>
          <w:b/>
        </w:rPr>
        <w:t>投入</w:t>
      </w:r>
      <w:r>
        <w:rPr>
          <w:rFonts w:cs="宋体"/>
          <w:b/>
        </w:rPr>
        <w:t>保障</w:t>
      </w:r>
      <w:r>
        <w:rPr>
          <w:rFonts w:hint="eastAsia" w:cs="宋体"/>
          <w:b/>
        </w:rPr>
        <w:t>。</w:t>
      </w:r>
      <w:r>
        <w:rPr>
          <w:rFonts w:hint="eastAsia" w:cs="宋体"/>
        </w:rPr>
        <w:t>改革完善利用社会资金参与城中村改造土地熟化的运作机制和办法，</w:t>
      </w:r>
      <w:r>
        <w:rPr>
          <w:rFonts w:hint="eastAsia" w:ascii="仿宋_GB2312" w:hAnsi="仿宋" w:cs="仿宋"/>
          <w:bCs/>
          <w:kern w:val="0"/>
          <w:szCs w:val="32"/>
        </w:rPr>
        <w:t>搭建城乡融合发展投融资服务平台，采取政府主导、社会参与的原则设计股权结构，与具备较强资源整合能力和资金募集能力的基金管理人合作，建立城乡融合发展基金平台。设立城乡融合发展专项基金，发行政府专项债券，支撑城乡融合发展过程中的村庄整合、土地整理，实现项目落地集群发展。完善农村集体经营性建设用地使用权、集体林权等抵押融资以及承包地经营权、集体资产股权等担保融资政策体系。完善农村土地资产价值认定机制，建立土地经营权抵押贷款“项目池”承接机制。推进已入市集体经营性建设用地与国有建设用地在资本市场同地同权，健全农业信贷担保机构。</w:t>
      </w:r>
    </w:p>
    <w:p>
      <w:pPr>
        <w:pStyle w:val="4"/>
        <w:spacing w:line="560" w:lineRule="exact"/>
      </w:pPr>
      <w:bookmarkStart w:id="115" w:name="_Toc13860"/>
      <w:bookmarkStart w:id="116" w:name="_Toc19223"/>
      <w:bookmarkStart w:id="117" w:name="_Toc21633"/>
      <w:r>
        <w:rPr>
          <w:rFonts w:hint="eastAsia"/>
        </w:rPr>
        <w:t>第二节深入推进新型城镇化</w:t>
      </w:r>
      <w:bookmarkEnd w:id="115"/>
      <w:bookmarkEnd w:id="116"/>
      <w:bookmarkEnd w:id="117"/>
    </w:p>
    <w:p>
      <w:pPr>
        <w:spacing w:line="560" w:lineRule="exact"/>
        <w:jc w:val="both"/>
        <w:rPr>
          <w:rFonts w:ascii="仿宋_GB2312" w:hAnsi="仿宋" w:cs="仿宋"/>
          <w:bCs/>
          <w:kern w:val="0"/>
          <w:szCs w:val="32"/>
          <w:shd w:val="clear" w:color="auto" w:fill="FFFFFF"/>
        </w:rPr>
      </w:pPr>
      <w:r>
        <w:rPr>
          <w:rFonts w:hint="eastAsia" w:ascii="仿宋_GB2312" w:hAnsi="仿宋" w:cs="仿宋"/>
          <w:bCs/>
          <w:kern w:val="0"/>
          <w:szCs w:val="32"/>
          <w:shd w:val="clear" w:color="auto" w:fill="FFFFFF"/>
        </w:rPr>
        <w:t>大力实施以人为核心的新型</w:t>
      </w:r>
      <w:r>
        <w:rPr>
          <w:rFonts w:ascii="仿宋_GB2312" w:hAnsi="仿宋" w:cs="仿宋"/>
          <w:bCs/>
          <w:kern w:val="0"/>
          <w:szCs w:val="32"/>
          <w:shd w:val="clear" w:color="auto" w:fill="FFFFFF"/>
        </w:rPr>
        <w:t>城镇化</w:t>
      </w:r>
      <w:r>
        <w:rPr>
          <w:rFonts w:hint="eastAsia" w:ascii="仿宋_GB2312" w:hAnsi="仿宋" w:cs="仿宋"/>
          <w:bCs/>
          <w:kern w:val="0"/>
          <w:szCs w:val="32"/>
          <w:shd w:val="clear" w:color="auto" w:fill="FFFFFF"/>
        </w:rPr>
        <w:t>，坚持规划引领城镇</w:t>
      </w:r>
      <w:r>
        <w:rPr>
          <w:rFonts w:ascii="仿宋_GB2312" w:hAnsi="仿宋" w:cs="仿宋"/>
          <w:bCs/>
          <w:kern w:val="0"/>
          <w:szCs w:val="32"/>
          <w:shd w:val="clear" w:color="auto" w:fill="FFFFFF"/>
        </w:rPr>
        <w:t>发展</w:t>
      </w:r>
      <w:r>
        <w:rPr>
          <w:rFonts w:hint="eastAsia" w:ascii="仿宋_GB2312" w:hAnsi="仿宋" w:cs="仿宋"/>
          <w:bCs/>
          <w:kern w:val="0"/>
          <w:szCs w:val="32"/>
          <w:shd w:val="clear" w:color="auto" w:fill="FFFFFF"/>
        </w:rPr>
        <w:t>，实施城市更新行动，推动</w:t>
      </w:r>
      <w:r>
        <w:rPr>
          <w:rFonts w:ascii="仿宋_GB2312" w:hAnsi="仿宋" w:cs="仿宋"/>
          <w:bCs/>
          <w:kern w:val="0"/>
          <w:szCs w:val="32"/>
          <w:shd w:val="clear" w:color="auto" w:fill="FFFFFF"/>
        </w:rPr>
        <w:t>实现</w:t>
      </w:r>
      <w:r>
        <w:rPr>
          <w:rFonts w:hint="eastAsia" w:ascii="仿宋_GB2312" w:hAnsi="仿宋" w:cs="仿宋"/>
          <w:bCs/>
          <w:kern w:val="0"/>
          <w:szCs w:val="32"/>
          <w:shd w:val="clear" w:color="auto" w:fill="FFFFFF"/>
        </w:rPr>
        <w:t>产城融合。</w:t>
      </w:r>
    </w:p>
    <w:p>
      <w:pPr>
        <w:spacing w:line="560" w:lineRule="exact"/>
        <w:ind w:firstLine="643"/>
        <w:jc w:val="both"/>
        <w:rPr>
          <w:rFonts w:ascii="仿宋_GB2312" w:hAnsi="仿宋" w:cs="仿宋"/>
          <w:bCs/>
          <w:kern w:val="0"/>
          <w:szCs w:val="32"/>
          <w:shd w:val="clear" w:color="auto" w:fill="FFFFFF"/>
        </w:rPr>
      </w:pPr>
      <w:r>
        <w:rPr>
          <w:rFonts w:hint="eastAsia" w:ascii="仿宋_GB2312" w:hAnsi="仿宋_GB2312" w:cs="仿宋_GB2312"/>
          <w:b/>
          <w:kern w:val="0"/>
          <w:szCs w:val="32"/>
          <w:shd w:val="clear" w:color="auto" w:fill="FFFFFF"/>
        </w:rPr>
        <w:t>强化城市规划引领。</w:t>
      </w:r>
      <w:r>
        <w:rPr>
          <w:rFonts w:hint="eastAsia" w:ascii="仿宋_GB2312" w:hAnsi="仿宋" w:cs="仿宋"/>
          <w:bCs/>
          <w:kern w:val="0"/>
          <w:szCs w:val="32"/>
          <w:shd w:val="clear" w:color="auto" w:fill="FFFFFF"/>
        </w:rPr>
        <w:t>高水平规划城乡建设，推进全域土地综合整治，逐步构建集中连片、产业融合、生态宜居、集约高效的国土空间新格局，聚力推动城乡能级跃升。</w:t>
      </w:r>
      <w:r>
        <w:rPr>
          <w:rFonts w:hint="eastAsia" w:ascii="仿宋_GB2312"/>
          <w:szCs w:val="32"/>
        </w:rPr>
        <w:t>着力完善城市功能，合理规划城市规模、人口密度、空间结构，优化城市功能布局。</w:t>
      </w:r>
      <w:r>
        <w:rPr>
          <w:rFonts w:hint="eastAsia" w:ascii="仿宋_GB2312" w:hAnsi="仿宋" w:cs="仿宋"/>
          <w:bCs/>
          <w:kern w:val="0"/>
          <w:szCs w:val="32"/>
          <w:shd w:val="clear" w:color="auto" w:fill="FFFFFF"/>
        </w:rPr>
        <w:t>全方位谋划，融合历城元素，对城市色彩、天际线、建筑风格、建筑立面等开展深入研究，规划建设一批标志性建筑，塑造彰显历城特色的城市景观。对标黄河流域中心城市建设，聘请国内外知名设计机构团队，深度融合黄河文化，统筹生态保护、景观提升、产业发展和片区功能优化，对沿黄区域进行高水平设计。</w:t>
      </w:r>
    </w:p>
    <w:p>
      <w:pPr>
        <w:spacing w:line="560" w:lineRule="exact"/>
        <w:ind w:firstLine="643"/>
        <w:contextualSpacing/>
        <w:jc w:val="both"/>
        <w:rPr>
          <w:rFonts w:ascii="仿宋_GB2312" w:hAnsi="仿宋" w:cs="仿宋"/>
          <w:bCs/>
          <w:kern w:val="0"/>
          <w:szCs w:val="32"/>
          <w:shd w:val="clear" w:color="auto" w:fill="FFFFFF"/>
        </w:rPr>
      </w:pPr>
      <w:r>
        <w:rPr>
          <w:rFonts w:hint="eastAsia" w:ascii="仿宋_GB2312" w:hAnsi="仿宋" w:cs="仿宋"/>
          <w:b/>
          <w:kern w:val="0"/>
          <w:szCs w:val="32"/>
          <w:shd w:val="clear" w:color="auto" w:fill="FFFFFF"/>
        </w:rPr>
        <w:t>有序推进城市更新。</w:t>
      </w:r>
      <w:r>
        <w:rPr>
          <w:rFonts w:hint="eastAsia" w:ascii="仿宋_GB2312"/>
          <w:szCs w:val="32"/>
        </w:rPr>
        <w:t>加快海绵城市建设，完善市政基础配套设施，加快公共服务设施提标扩面、环境卫生设施提级扩能、市政公用设施提档升级，增强城市安全韧性。</w:t>
      </w:r>
      <w:r>
        <w:rPr>
          <w:rFonts w:hint="eastAsia" w:ascii="仿宋_GB2312" w:hAnsi="仿宋" w:cs="仿宋"/>
          <w:bCs/>
          <w:kern w:val="0"/>
          <w:szCs w:val="32"/>
          <w:shd w:val="clear" w:color="auto" w:fill="FFFFFF"/>
        </w:rPr>
        <w:t>加快城中村和零星棚户区改造，分类分批形成拆、改、留实施计划。推进辖区老旧小区改造工作，摸清底数，合理确定改造内容，有序组织实施。提升老旧小区环境品质，全面整修小区道路及公共活动场所，完善治安防控、消防设备、公共照明、环卫设施，整修或新建非机动车车棚、集中充电设施、宣传和信息发布设施。</w:t>
      </w:r>
      <w:bookmarkStart w:id="118" w:name="_Hlk59569541"/>
      <w:r>
        <w:rPr>
          <w:rFonts w:hint="eastAsia" w:ascii="仿宋_GB2312" w:hAnsi="仿宋" w:cs="仿宋"/>
          <w:bCs/>
          <w:kern w:val="0"/>
          <w:szCs w:val="32"/>
          <w:shd w:val="clear" w:color="auto" w:fill="FFFFFF"/>
        </w:rPr>
        <w:t>推进城市地下管线建设，统筹规划地下综合管廊布局。</w:t>
      </w:r>
      <w:bookmarkEnd w:id="118"/>
      <w:r>
        <w:rPr>
          <w:rFonts w:hint="eastAsia" w:ascii="仿宋_GB2312" w:hAnsi="仿宋" w:cs="仿宋"/>
          <w:bCs/>
          <w:kern w:val="0"/>
          <w:szCs w:val="32"/>
          <w:shd w:val="clear" w:color="auto" w:fill="FFFFFF"/>
        </w:rPr>
        <w:t>全面整治出店经营、乱贴乱画、私搭乱建等环境乱象，加强巡查和教育宣传引导工作。</w:t>
      </w:r>
      <w:r>
        <w:rPr>
          <w:rFonts w:hint="eastAsia" w:ascii="仿宋_GB2312" w:hAnsiTheme="minorHAnsi" w:cstheme="minorBidi"/>
          <w:szCs w:val="32"/>
        </w:rPr>
        <w:t>全面推进城市数字化转型，抓好新型智慧城市分级分类建设。</w:t>
      </w:r>
    </w:p>
    <w:p>
      <w:pPr>
        <w:spacing w:line="560" w:lineRule="exact"/>
        <w:ind w:firstLine="643"/>
        <w:jc w:val="both"/>
        <w:rPr>
          <w:rFonts w:ascii="仿宋_GB2312" w:hAnsi="仿宋" w:cs="仿宋"/>
          <w:bCs/>
          <w:kern w:val="0"/>
          <w:szCs w:val="32"/>
          <w:shd w:val="clear" w:color="auto" w:fill="FFFFFF"/>
        </w:rPr>
      </w:pPr>
      <w:r>
        <w:rPr>
          <w:rFonts w:hint="eastAsia" w:ascii="仿宋_GB2312" w:hAnsi="仿宋" w:cs="仿宋"/>
          <w:b/>
          <w:kern w:val="0"/>
          <w:szCs w:val="32"/>
          <w:shd w:val="clear" w:color="auto" w:fill="FFFFFF"/>
        </w:rPr>
        <w:t>推进产城融合发展。</w:t>
      </w:r>
      <w:r>
        <w:rPr>
          <w:rFonts w:hint="eastAsia" w:ascii="仿宋_GB2312"/>
          <w:szCs w:val="32"/>
        </w:rPr>
        <w:t>围绕提供高品质城市生活，坚持以人为本，统筹生产、生活和生态需求，促进产城融合、职住平衡。</w:t>
      </w:r>
      <w:r>
        <w:rPr>
          <w:rFonts w:hint="eastAsia" w:ascii="仿宋_GB2312" w:hAnsi="仿宋" w:cs="仿宋"/>
          <w:bCs/>
          <w:kern w:val="0"/>
          <w:szCs w:val="32"/>
          <w:shd w:val="clear" w:color="auto" w:fill="FFFFFF"/>
        </w:rPr>
        <w:t>大力发展特色产业小镇，高水平推进新东站-济钢片区建设，联动临港经济开发区和唐冶新城，推动产城一体化发展，以吸引产业、吸引人才为目的做好基础设施建设和城市配套。推动人才、技术、信息等各要素协作发展，优化生产生活生态环境，实现产业支撑城市和城市承载产业互动融合。</w:t>
      </w:r>
    </w:p>
    <w:p>
      <w:pPr>
        <w:pStyle w:val="4"/>
        <w:spacing w:line="560" w:lineRule="exact"/>
      </w:pPr>
      <w:bookmarkStart w:id="119" w:name="_Toc15748"/>
      <w:bookmarkStart w:id="120" w:name="_Toc10253"/>
      <w:bookmarkStart w:id="121" w:name="_Toc26730"/>
      <w:r>
        <w:rPr>
          <w:rFonts w:hint="eastAsia"/>
        </w:rPr>
        <w:t>第三节高水平实施乡村振兴</w:t>
      </w:r>
      <w:bookmarkEnd w:id="119"/>
      <w:bookmarkEnd w:id="120"/>
      <w:bookmarkEnd w:id="121"/>
    </w:p>
    <w:p>
      <w:pPr>
        <w:spacing w:line="560" w:lineRule="exact"/>
        <w:jc w:val="both"/>
        <w:rPr>
          <w:rFonts w:ascii="仿宋_GB2312" w:hAnsi="仿宋" w:cs="仿宋"/>
        </w:rPr>
      </w:pPr>
      <w:r>
        <w:rPr>
          <w:rFonts w:hint="eastAsia" w:ascii="仿宋_GB2312" w:hAnsi="仿宋" w:cs="仿宋"/>
        </w:rPr>
        <w:t>将乡村振兴战略作为新时代“三农”工作的总抓手，加快推进农业农村现代化，培育壮大优势特色产业，推动农业产业融合发展，加强乡村基础设施建设，提升乡村治理水平，巩固脱贫攻坚成果。</w:t>
      </w:r>
    </w:p>
    <w:p>
      <w:pPr>
        <w:spacing w:line="560" w:lineRule="exact"/>
        <w:ind w:firstLine="643"/>
        <w:jc w:val="both"/>
        <w:rPr>
          <w:rFonts w:ascii="仿宋_GB2312" w:hAnsi="黑体" w:cs="黑体"/>
          <w:szCs w:val="32"/>
        </w:rPr>
      </w:pPr>
      <w:r>
        <w:rPr>
          <w:rFonts w:hint="eastAsia" w:ascii="仿宋_GB2312" w:hAnsi="黑体" w:cs="黑体"/>
          <w:b/>
          <w:bCs/>
          <w:szCs w:val="32"/>
        </w:rPr>
        <w:t>发展现代都市农业。</w:t>
      </w:r>
      <w:r>
        <w:rPr>
          <w:rFonts w:hint="eastAsia" w:ascii="仿宋_GB2312" w:hAnsi="黑体" w:cs="黑体"/>
          <w:szCs w:val="32"/>
        </w:rPr>
        <w:t>加快推进农业农村现代化，培育壮大新型经营主体，丰富乡村经济业态，提升农业农村数字化水平，全力拓展农民增收空间。严守耕地红线，坚决遏制违法乱占耕地行为。深入落实“藏粮于地、藏粮于技”战略，实施高标准农田改造提升工程，提高农业科技支撑能力，坚持走质量兴农、科技兴农之路。着力推进优质草莓、特色林果、观赏渔业、中医药材、高科种业和民宿康养等产业，培育农业特色品牌，扩大“泉水人家”“历城草莓”等品牌影响力。以</w:t>
      </w:r>
      <w:r>
        <w:rPr>
          <w:rFonts w:ascii="仿宋_GB2312" w:hAnsi="黑体" w:cs="黑体"/>
          <w:szCs w:val="32"/>
        </w:rPr>
        <w:t>满足</w:t>
      </w:r>
      <w:r>
        <w:rPr>
          <w:rFonts w:hint="eastAsia" w:ascii="仿宋_GB2312" w:hAnsi="黑体" w:cs="黑体"/>
          <w:szCs w:val="32"/>
        </w:rPr>
        <w:t>我市</w:t>
      </w:r>
      <w:r>
        <w:rPr>
          <w:rFonts w:ascii="仿宋_GB2312" w:hAnsi="黑体" w:cs="黑体"/>
          <w:szCs w:val="32"/>
        </w:rPr>
        <w:t>高端农产品供应需求</w:t>
      </w:r>
      <w:r>
        <w:rPr>
          <w:rFonts w:hint="eastAsia" w:ascii="仿宋_GB2312" w:hAnsi="黑体" w:cs="黑体"/>
          <w:szCs w:val="32"/>
        </w:rPr>
        <w:t>为导向</w:t>
      </w:r>
      <w:r>
        <w:rPr>
          <w:rFonts w:ascii="仿宋_GB2312" w:hAnsi="黑体" w:cs="黑体"/>
          <w:szCs w:val="32"/>
        </w:rPr>
        <w:t>，全面推行绿色有机标准化生产和全程质量控制模式</w:t>
      </w:r>
      <w:r>
        <w:rPr>
          <w:rFonts w:hint="eastAsia" w:ascii="仿宋_GB2312" w:hAnsi="黑体" w:cs="黑体"/>
          <w:szCs w:val="32"/>
        </w:rPr>
        <w:t>，</w:t>
      </w:r>
      <w:r>
        <w:rPr>
          <w:rFonts w:ascii="仿宋_GB2312" w:hAnsi="黑体" w:cs="黑体"/>
          <w:szCs w:val="32"/>
        </w:rPr>
        <w:t>建成一批农业新兴产业集群</w:t>
      </w:r>
      <w:r>
        <w:rPr>
          <w:rFonts w:hint="eastAsia" w:ascii="仿宋_GB2312" w:hAnsi="黑体" w:cs="黑体"/>
          <w:szCs w:val="32"/>
        </w:rPr>
        <w:t>。重点推进种业发展，发挥省农科院、省种业集团、省科技成果转移转化中心优势，结合省级现代农业产业园等项目建设，为作物良种科技研发、交易流通、中试基地建设搭建平台，打造全省种业“硅谷”。</w:t>
      </w:r>
    </w:p>
    <w:p>
      <w:pPr>
        <w:spacing w:line="560" w:lineRule="exact"/>
        <w:ind w:firstLine="643"/>
        <w:jc w:val="both"/>
        <w:rPr>
          <w:rFonts w:ascii="仿宋_GB2312" w:hAnsi="黑体" w:cs="黑体"/>
          <w:szCs w:val="32"/>
        </w:rPr>
      </w:pPr>
      <w:r>
        <w:rPr>
          <w:rFonts w:hint="eastAsia" w:ascii="仿宋_GB2312" w:hAnsi="黑体" w:cs="黑体"/>
          <w:b/>
          <w:bCs/>
          <w:szCs w:val="32"/>
        </w:rPr>
        <w:t>加快推进乡村建设。</w:t>
      </w:r>
      <w:r>
        <w:rPr>
          <w:rFonts w:hint="eastAsia" w:ascii="仿宋_GB2312" w:hAnsi="黑体" w:cs="黑体"/>
          <w:szCs w:val="32"/>
        </w:rPr>
        <w:t>全面提升地区综合服务能力，推进城乡基本公共服务标准统一、制度并轨。充分尊重乡村发展规律和农民意愿，科学规划村庄布局，保护传统村落、乡村风貌。开展乡村绿化美化，不断提升村容村貌，积极建设美丽宜居乡村，对保留村遵循应绿尽绿原则，进行补植提升，进一步改善农村环境。全面改善乡村硬件基础设施，重点抓好乡村物流、宽带网络等新型基础设施建设，加快建设数字乡村，推动水、电、路、气、通信、广播电视等传统基础设施提档升级。强化乡村服务基础设施建设，引导公共教育、医疗卫生等资源向农村倾斜，加快补齐农村公共服务短板。深入开展农村人居环境整治行动，推进城乡环卫一体化，健全农村人居环境整治长效机制。</w:t>
      </w:r>
    </w:p>
    <w:p>
      <w:pPr>
        <w:spacing w:line="560" w:lineRule="exact"/>
        <w:ind w:firstLine="643"/>
        <w:jc w:val="both"/>
        <w:rPr>
          <w:rFonts w:ascii="仿宋_GB2312" w:hAnsi="黑体" w:cs="黑体"/>
          <w:szCs w:val="32"/>
        </w:rPr>
      </w:pPr>
      <w:r>
        <w:rPr>
          <w:rFonts w:hint="eastAsia" w:ascii="仿宋_GB2312" w:hAnsi="仿宋" w:cs="仿宋"/>
          <w:b/>
          <w:kern w:val="0"/>
          <w:szCs w:val="32"/>
        </w:rPr>
        <w:t>增强</w:t>
      </w:r>
      <w:r>
        <w:rPr>
          <w:rFonts w:ascii="仿宋_GB2312" w:hAnsi="仿宋" w:cs="仿宋"/>
          <w:b/>
          <w:kern w:val="0"/>
          <w:szCs w:val="32"/>
        </w:rPr>
        <w:t>乡村治理</w:t>
      </w:r>
      <w:r>
        <w:rPr>
          <w:rFonts w:hint="eastAsia" w:ascii="仿宋_GB2312" w:hAnsi="仿宋" w:cs="仿宋"/>
          <w:b/>
          <w:kern w:val="0"/>
          <w:szCs w:val="32"/>
        </w:rPr>
        <w:t>效能。</w:t>
      </w:r>
      <w:r>
        <w:rPr>
          <w:rFonts w:hint="eastAsia" w:ascii="仿宋_GB2312" w:hAnsi="黑体" w:cs="黑体"/>
          <w:szCs w:val="32"/>
        </w:rPr>
        <w:t>实施村级小微权力规范化运行等改革，初步形成三级联动、上下贯通、运行有效的农村基层治理体系。积极探索自治法治德治“三治融合”乡村治理新路径，选优配强带头人队伍，不断提升农村基层组织建设，落实制度管村，规范村级权力运行。积极推动治理重心下移，把更多资源下沉到基层单位，实现资源管理的精准化和精细化。实施乡风文明培育行动，树立良好村规民约，加强道德规范。</w:t>
      </w:r>
    </w:p>
    <w:p>
      <w:pPr>
        <w:spacing w:line="560" w:lineRule="exact"/>
        <w:ind w:firstLine="643"/>
        <w:jc w:val="both"/>
        <w:rPr>
          <w:rFonts w:ascii="仿宋_GB2312" w:hAnsi="黑体" w:cs="黑体"/>
          <w:szCs w:val="32"/>
        </w:rPr>
      </w:pPr>
      <w:r>
        <w:rPr>
          <w:rFonts w:hint="eastAsia" w:ascii="仿宋_GB2312" w:hAnsi="仿宋"/>
          <w:b/>
          <w:szCs w:val="22"/>
        </w:rPr>
        <w:t>促进脱贫攻坚与乡村振兴有效衔接。</w:t>
      </w:r>
      <w:r>
        <w:rPr>
          <w:rFonts w:hint="eastAsia" w:ascii="仿宋_GB2312" w:hAnsi="黑体" w:cs="黑体"/>
          <w:szCs w:val="32"/>
        </w:rPr>
        <w:t>严格落实“四个不摘”要求，建立“长短结合、标本兼治”的体制机制。建设常态运行的防贫监测和贫困帮扶机制，强化产业、就业造血式扶持功能，扎实做好防贫保险、社会救助等兜底保障工作，确保低收入群体不返贫、稳增收。保持财政投入总体稳定，在资金、项目、政策等方面继续予以倾斜，加强扶贫项目资金资产管理和监督。选派“第一书记”和“乡村振兴工作专员”等优秀干部驻村帮扶，坚持和完善社会力量参与帮扶机制。继续做好东西部协作和对口支援工作，对各项重点工作进行部署落实。</w:t>
      </w:r>
    </w:p>
    <w:p>
      <w:pPr>
        <w:pStyle w:val="2"/>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42" w:type="dxa"/>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b/>
                <w:bCs/>
                <w:sz w:val="28"/>
                <w:szCs w:val="28"/>
              </w:rPr>
              <w:t>专栏8.1 农业产业项目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奶牛优秀种质自主培育与高效扩繁示范基地项目。</w:t>
            </w:r>
            <w:r>
              <w:rPr>
                <w:rFonts w:hint="eastAsia" w:ascii="楷体_GB2312" w:hAnsi="楷体_GB2312" w:eastAsia="楷体_GB2312" w:cs="楷体_GB2312"/>
                <w:sz w:val="28"/>
                <w:szCs w:val="28"/>
              </w:rPr>
              <w:t>国家重点支持农业种业项目，是全国5个农业“卡脖子”攻关项目之一，将高标准规划设计，加快项目落地实施。</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山东数字农业产业园项目。</w:t>
            </w:r>
            <w:r>
              <w:rPr>
                <w:rFonts w:hint="eastAsia" w:ascii="楷体_GB2312" w:hAnsi="楷体_GB2312" w:eastAsia="楷体_GB2312" w:cs="楷体_GB2312"/>
                <w:sz w:val="28"/>
                <w:szCs w:val="28"/>
              </w:rPr>
              <w:t>依托历城区内家庭农场、草莓生产基地、交易中心，与省农科院及相关企业，创建省级现代农业产业园。</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草莓产业园区项目。</w:t>
            </w:r>
            <w:r>
              <w:rPr>
                <w:rFonts w:hint="eastAsia" w:ascii="楷体_GB2312" w:hAnsi="楷体_GB2312" w:eastAsia="楷体_GB2312" w:cs="楷体_GB2312"/>
                <w:sz w:val="28"/>
                <w:szCs w:val="28"/>
              </w:rPr>
              <w:t>加快草莓种苗繁育基地建设，依托王坡、颜家、纸坊设施草莓组团，打造生态观光采摘旅游、草莓高效产业园区；依托唐西设施草莓组团，打造数字草莓示范园。</w:t>
            </w:r>
          </w:p>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唐王锦鲤产业园区项目。</w:t>
            </w:r>
            <w:r>
              <w:rPr>
                <w:rFonts w:hint="eastAsia" w:ascii="楷体_GB2312" w:hAnsi="楷体_GB2312" w:eastAsia="楷体_GB2312" w:cs="楷体_GB2312"/>
                <w:sz w:val="28"/>
                <w:szCs w:val="28"/>
              </w:rPr>
              <w:t>推进水产养殖业绿色发展，依托现有锦鲤特色养殖中心形成居住、商业、旅游、高端医疗康养等锦鲤特色产业，打造东张、唐东都市休闲创意农业集聚园区。</w:t>
            </w:r>
          </w:p>
          <w:p>
            <w:pPr>
              <w:spacing w:line="240" w:lineRule="auto"/>
              <w:ind w:firstLine="562"/>
              <w:jc w:val="both"/>
              <w:rPr>
                <w:rFonts w:eastAsia="楷体_GB2312"/>
                <w:sz w:val="28"/>
                <w:szCs w:val="28"/>
              </w:rPr>
            </w:pPr>
            <w:r>
              <w:rPr>
                <w:rFonts w:hint="eastAsia" w:ascii="楷体_GB2312" w:hAnsi="楷体_GB2312" w:eastAsia="楷体_GB2312" w:cs="楷体_GB2312"/>
                <w:b/>
                <w:bCs/>
                <w:sz w:val="28"/>
                <w:szCs w:val="28"/>
              </w:rPr>
              <w:t>鱼菜共生项目。</w:t>
            </w:r>
            <w:r>
              <w:rPr>
                <w:rFonts w:hint="eastAsia" w:ascii="楷体_GB2312" w:hAnsi="楷体_GB2312" w:eastAsia="楷体_GB2312" w:cs="楷体_GB2312"/>
                <w:sz w:val="28"/>
                <w:szCs w:val="28"/>
              </w:rPr>
              <w:t>推广鱼菜共生技术，实现节水、高产、绿色发展的目标，带动本地渔业产业走绿色可持续发展道路。</w:t>
            </w:r>
          </w:p>
        </w:tc>
      </w:tr>
    </w:tbl>
    <w:p>
      <w:pPr>
        <w:spacing w:line="240" w:lineRule="auto"/>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81" w:type="dxa"/>
          </w:tcPr>
          <w:p>
            <w:pPr>
              <w:spacing w:line="240" w:lineRule="auto"/>
              <w:ind w:firstLine="0" w:firstLineChars="0"/>
              <w:jc w:val="center"/>
              <w:rPr>
                <w:rFonts w:ascii="楷体_GB2312" w:hAnsi="楷体_GB2312" w:eastAsia="楷体_GB2312" w:cs="楷体_GB2312"/>
                <w:sz w:val="28"/>
                <w:szCs w:val="28"/>
              </w:rPr>
            </w:pPr>
            <w:r>
              <w:rPr>
                <w:rFonts w:hint="eastAsia" w:ascii="楷体_GB2312" w:hAnsi="楷体_GB2312" w:eastAsia="楷体_GB2312" w:cs="楷体_GB2312"/>
                <w:b/>
                <w:bCs/>
                <w:sz w:val="28"/>
                <w:szCs w:val="28"/>
              </w:rPr>
              <w:t>专栏8.2 都市农业品牌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1" w:type="dxa"/>
          </w:tcPr>
          <w:p>
            <w:pPr>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都市乡村特色品牌。</w:t>
            </w:r>
            <w:r>
              <w:rPr>
                <w:rFonts w:hint="eastAsia" w:ascii="楷体_GB2312" w:hAnsi="楷体_GB2312" w:eastAsia="楷体_GB2312" w:cs="楷体_GB2312"/>
                <w:sz w:val="28"/>
                <w:szCs w:val="28"/>
              </w:rPr>
              <w:t>大力发展农业“新六产”，着力培育现代设施农业、休闲体验农业和低碳农业等新模式，打造集旅游观光、休闲康养、餐饮民宿功能于一体的都市乡村旅游特色品牌。</w:t>
            </w:r>
          </w:p>
          <w:p>
            <w:pPr>
              <w:spacing w:line="240" w:lineRule="auto"/>
              <w:ind w:firstLine="562"/>
              <w:jc w:val="both"/>
              <w:rPr>
                <w:sz w:val="28"/>
                <w:szCs w:val="28"/>
              </w:rPr>
            </w:pPr>
            <w:r>
              <w:rPr>
                <w:rFonts w:hint="eastAsia" w:ascii="楷体_GB2312" w:hAnsi="楷体_GB2312" w:eastAsia="楷体_GB2312" w:cs="楷体_GB2312"/>
                <w:b/>
                <w:bCs/>
                <w:sz w:val="28"/>
                <w:szCs w:val="28"/>
              </w:rPr>
              <w:t>现代农业产业品牌。</w:t>
            </w:r>
            <w:r>
              <w:rPr>
                <w:rFonts w:hint="eastAsia" w:ascii="楷体_GB2312" w:hAnsi="楷体_GB2312" w:eastAsia="楷体_GB2312" w:cs="楷体_GB2312"/>
                <w:sz w:val="28"/>
                <w:szCs w:val="28"/>
              </w:rPr>
              <w:t>以农业产业化龙头企业为主，着力发展优质草莓、特色林果、观赏渔业、中医药材和民宿康养等产业，培育农业特色品牌，打造一批具有国际视野、极具时代创新力的优秀企业品牌。</w:t>
            </w:r>
          </w:p>
        </w:tc>
      </w:tr>
    </w:tbl>
    <w:p>
      <w:pPr>
        <w:pStyle w:val="3"/>
        <w:spacing w:line="560" w:lineRule="exact"/>
        <w:rPr>
          <w:rFonts w:hint="default"/>
        </w:rPr>
      </w:pPr>
      <w:bookmarkStart w:id="122" w:name="_Toc5362"/>
      <w:r>
        <w:t>第九章全面深化改革实现发展新突破</w:t>
      </w:r>
      <w:bookmarkEnd w:id="122"/>
    </w:p>
    <w:p>
      <w:pPr>
        <w:spacing w:line="560" w:lineRule="exact"/>
        <w:contextualSpacing/>
        <w:jc w:val="both"/>
        <w:rPr>
          <w:rFonts w:ascii="仿宋_GB2312" w:hAnsi="等线"/>
        </w:rPr>
      </w:pPr>
      <w:r>
        <w:rPr>
          <w:rFonts w:hint="eastAsia" w:ascii="仿宋_GB2312" w:hAnsi="等线"/>
        </w:rPr>
        <w:t>建立和完善社会主义市场经济体制，紧扣新发展理念，</w:t>
      </w:r>
      <w:r>
        <w:rPr>
          <w:rFonts w:hint="eastAsia" w:ascii="仿宋_GB2312" w:hAnsi="仿宋_GB2312" w:cs="仿宋_GB2312"/>
          <w:szCs w:val="32"/>
        </w:rPr>
        <w:t>坚持系统集成、协同高效，</w:t>
      </w:r>
      <w:r>
        <w:rPr>
          <w:rFonts w:hint="eastAsia" w:ascii="仿宋_GB2312" w:hAnsi="等线"/>
        </w:rPr>
        <w:t>发挥市场在资源配置中的决定性作用，推动改革和发展深度融合、高效联动。</w:t>
      </w:r>
    </w:p>
    <w:p>
      <w:pPr>
        <w:pStyle w:val="4"/>
        <w:spacing w:line="560" w:lineRule="exact"/>
      </w:pPr>
      <w:bookmarkStart w:id="123" w:name="_Toc8151"/>
      <w:bookmarkStart w:id="124" w:name="_Toc14996"/>
      <w:bookmarkStart w:id="125" w:name="_Toc2306"/>
      <w:bookmarkStart w:id="126" w:name="_Toc5500"/>
      <w:bookmarkStart w:id="127" w:name="_Toc19473"/>
      <w:r>
        <w:rPr>
          <w:rFonts w:hint="eastAsia"/>
        </w:rPr>
        <w:t>第一节激发市场主体活力</w:t>
      </w:r>
      <w:bookmarkEnd w:id="123"/>
      <w:bookmarkEnd w:id="124"/>
      <w:bookmarkEnd w:id="125"/>
      <w:bookmarkEnd w:id="126"/>
      <w:bookmarkEnd w:id="127"/>
    </w:p>
    <w:p>
      <w:pPr>
        <w:spacing w:line="560" w:lineRule="exact"/>
        <w:contextualSpacing/>
        <w:jc w:val="both"/>
        <w:rPr>
          <w:rFonts w:ascii="仿宋_GB2312" w:hAnsi="仿宋_GB2312" w:cs="仿宋_GB2312"/>
          <w:szCs w:val="32"/>
        </w:rPr>
      </w:pPr>
      <w:r>
        <w:rPr>
          <w:rFonts w:hint="eastAsia" w:ascii="仿宋_GB2312" w:hAnsi="仿宋_GB2312" w:cs="仿宋_GB2312"/>
        </w:rPr>
        <w:t>坚持“两个毫不动摇”，</w:t>
      </w:r>
      <w:r>
        <w:rPr>
          <w:rFonts w:hint="eastAsia" w:ascii="仿宋_GB2312" w:hAnsi="等线"/>
        </w:rPr>
        <w:t>以改革为动力做优做大国有企业，促进民营企业规范发展，</w:t>
      </w:r>
      <w:r>
        <w:rPr>
          <w:rFonts w:hint="eastAsia" w:ascii="仿宋_GB2312" w:hAnsi="仿宋_GB2312" w:cs="仿宋_GB2312"/>
          <w:szCs w:val="32"/>
        </w:rPr>
        <w:t>构建有活力的经济体系。</w:t>
      </w:r>
    </w:p>
    <w:p>
      <w:pPr>
        <w:spacing w:line="560" w:lineRule="exact"/>
        <w:ind w:firstLine="643"/>
        <w:jc w:val="both"/>
        <w:rPr>
          <w:rFonts w:ascii="仿宋_GB2312" w:hAnsi="仿宋" w:cs="仿宋"/>
          <w:bCs/>
          <w:kern w:val="0"/>
          <w:szCs w:val="32"/>
        </w:rPr>
      </w:pPr>
      <w:r>
        <w:rPr>
          <w:rFonts w:hint="eastAsia" w:ascii="仿宋_GB2312" w:hAnsi="仿宋" w:cs="仿宋"/>
          <w:b/>
          <w:kern w:val="0"/>
          <w:szCs w:val="32"/>
        </w:rPr>
        <w:t>深化国有企业改革。</w:t>
      </w:r>
      <w:r>
        <w:rPr>
          <w:rFonts w:hint="eastAsia" w:ascii="仿宋_GB2312" w:hAnsi="仿宋" w:cs="仿宋"/>
          <w:bCs/>
          <w:szCs w:val="32"/>
        </w:rPr>
        <w:t>做优做大国有资本和国有企业，</w:t>
      </w:r>
      <w:r>
        <w:rPr>
          <w:rFonts w:hint="eastAsia" w:ascii="仿宋_GB2312" w:hAnsi="仿宋" w:cs="仿宋"/>
          <w:bCs/>
          <w:kern w:val="0"/>
          <w:szCs w:val="32"/>
        </w:rPr>
        <w:t>推进国有企业运行机制从行政管理机制转向市场化经营机制，加快形成以管资本为主的国资监管制度体系。继续推进国有企业优化重组和混合所有制改革，加快形成有效制衡的法人治理结构和灵活高效的市场化经营机制，持续瘦身健体，提升主业核心竞争力。深化国企供给侧结构性改革，切实加大企业研发投入，提升国有企业自主创新能力。</w:t>
      </w:r>
      <w:r>
        <w:rPr>
          <w:rFonts w:hint="eastAsia" w:ascii="仿宋_GB2312" w:hAnsi="仿宋_GB2312" w:cs="仿宋_GB2312"/>
          <w:szCs w:val="32"/>
          <w:shd w:val="clear" w:color="auto" w:fill="FFFFFF"/>
        </w:rPr>
        <w:t>依托历城控股、金融控股、城市发展</w:t>
      </w:r>
      <w:r>
        <w:rPr>
          <w:rFonts w:hint="eastAsia" w:ascii="仿宋_GB2312" w:hAnsi="仿宋" w:cs="仿宋"/>
          <w:bCs/>
          <w:kern w:val="0"/>
          <w:szCs w:val="32"/>
        </w:rPr>
        <w:t>集团等区属国有企业，推进国有资本向重要行业和关键领域集中，清退不具备优势的非主营业务和低效无效资产。推进国企开展国际化经营，加快形成国际经济合作和竞争新优势，不断拓展国际发展新空间。</w:t>
      </w:r>
    </w:p>
    <w:p>
      <w:pPr>
        <w:spacing w:line="560" w:lineRule="exact"/>
        <w:ind w:firstLine="643"/>
        <w:jc w:val="both"/>
      </w:pPr>
      <w:r>
        <w:rPr>
          <w:rFonts w:hint="eastAsia"/>
          <w:b/>
          <w:bCs/>
        </w:rPr>
        <w:t>加快民营企业发展。</w:t>
      </w:r>
      <w:r>
        <w:rPr>
          <w:rFonts w:hint="eastAsia"/>
        </w:rPr>
        <w:t>大力支持新生代民营经济发展，充分发挥民营企业在建设现代化经济体系中的主体作用，鼓励民营企业积极参与混合所有制改革，支持民营经济做大做强。依托“亲商沙龙”服务平台，做好民营企业全生命周期服务，营造尊商重商浓厚氛围。完善促进中小微企业和个体工商户发展的政策体系，注重发挥政策叠加效应，实施“专精特新”中小企业培育工程，引导中小微企业专业化、创新化发展，着力培育壮大一批“小而优”“小而强”的企业。全面落实惠企政策，切实破解中小微企业融资难题，为民营企业发展纾忧解困。健全完善公平统一的市场监管制度，建立平等保护民营经济发展的法治环境，依法平等保护经营主体合法权益，构建亲清新型政商关系。</w:t>
      </w:r>
    </w:p>
    <w:p>
      <w:pPr>
        <w:pStyle w:val="4"/>
        <w:spacing w:line="560" w:lineRule="exact"/>
      </w:pPr>
      <w:bookmarkStart w:id="128" w:name="_Toc138"/>
      <w:bookmarkStart w:id="129" w:name="_Toc2575"/>
      <w:bookmarkStart w:id="130" w:name="_Toc10280"/>
      <w:bookmarkStart w:id="131" w:name="_Toc12089"/>
      <w:r>
        <w:rPr>
          <w:rFonts w:hint="eastAsia"/>
        </w:rPr>
        <w:t>第二节深化财税金融改革</w:t>
      </w:r>
      <w:bookmarkEnd w:id="128"/>
      <w:bookmarkEnd w:id="129"/>
      <w:bookmarkEnd w:id="130"/>
      <w:bookmarkEnd w:id="131"/>
    </w:p>
    <w:p>
      <w:pPr>
        <w:widowControl/>
        <w:spacing w:line="560" w:lineRule="exact"/>
        <w:jc w:val="both"/>
        <w:rPr>
          <w:rFonts w:ascii="仿宋_GB2312" w:hAnsi="仿宋_GB2312" w:cs="仿宋_GB2312"/>
          <w:szCs w:val="32"/>
        </w:rPr>
      </w:pPr>
      <w:r>
        <w:rPr>
          <w:rFonts w:hint="eastAsia" w:ascii="仿宋_GB2312" w:hAnsi="仿宋_GB2312" w:cs="仿宋_GB2312"/>
          <w:szCs w:val="32"/>
        </w:rPr>
        <w:t>深化财政金融体制改革，建立现代财税金融体制，加大政策支持力度，改进预算管理制度，推动金融业高水平开放。</w:t>
      </w:r>
    </w:p>
    <w:p>
      <w:pPr>
        <w:widowControl/>
        <w:spacing w:line="560" w:lineRule="exact"/>
        <w:ind w:firstLineChars="0"/>
        <w:jc w:val="both"/>
        <w:rPr>
          <w:rFonts w:ascii="仿宋_GB2312"/>
          <w:sz w:val="28"/>
        </w:rPr>
      </w:pPr>
      <w:r>
        <w:rPr>
          <w:rFonts w:hint="eastAsia" w:ascii="仿宋_GB2312" w:hAnsi="仿宋_GB2312" w:cs="仿宋_GB2312"/>
          <w:b/>
          <w:kern w:val="0"/>
          <w:szCs w:val="32"/>
        </w:rPr>
        <w:t>深化财税体制改革。</w:t>
      </w:r>
      <w:r>
        <w:rPr>
          <w:rFonts w:hint="eastAsia" w:ascii="仿宋_GB2312" w:hAnsi="仿宋_GB2312" w:cs="仿宋_GB2312"/>
          <w:szCs w:val="32"/>
        </w:rPr>
        <w:t>加大各类资金统筹力度和有效供给，积极推行“大专项+任务清单”财政保障机制，深入推进各类专项资金整合工作。全面落实增值税税率调整等税制改革，推进实施建筑业税收等利益共享和税收保障机制工作。深化全口径预算管理，深入推进一般公共预算、政府性基金预算、国有资本经营预算和社会保险基金预算有机衔接，全面实施预算绩效“精准控制”，推进预算与绩效挂钩融合，将绩效理念和方法深度融入预算管理全过程。切实做好防范化解政府债务风险工作，进一步加强专项债券资金使用管理。加大财政资金盘活力度，提高财政使用效益。在公共服务领域推广运用政府和社会资本合作（PPP）模式，提升供给质量和效率。</w:t>
      </w:r>
    </w:p>
    <w:p>
      <w:pPr>
        <w:widowControl/>
        <w:spacing w:line="560" w:lineRule="exact"/>
        <w:ind w:firstLineChars="0"/>
        <w:jc w:val="both"/>
        <w:rPr>
          <w:rFonts w:ascii="仿宋_GB2312" w:hAnsi="仿宋_GB2312" w:cs="仿宋_GB2312"/>
          <w:szCs w:val="32"/>
        </w:rPr>
      </w:pPr>
      <w:r>
        <w:rPr>
          <w:rFonts w:hint="eastAsia" w:ascii="仿宋_GB2312" w:hAnsi="仿宋_GB2312" w:cs="仿宋_GB2312"/>
          <w:b/>
          <w:kern w:val="0"/>
          <w:szCs w:val="32"/>
        </w:rPr>
        <w:t>深化金融创新改革。</w:t>
      </w:r>
      <w:r>
        <w:rPr>
          <w:rFonts w:hint="eastAsia" w:ascii="仿宋_GB2312" w:hAnsi="仿宋_GB2312" w:cs="仿宋_GB2312"/>
          <w:szCs w:val="32"/>
        </w:rPr>
        <w:t>推进多层次资本市场建设，完善金融资本扶持资源库，提供多渠道融资增信服务，搭建银企对接平台，鼓励金融资本扶持实体经济。推动投资自由化便利化，加大与金融机构的对接力度，设计优化重大项目融资方案，引导金融机构多渠道投资。构建现代金融体系，结合“服务实体经济、防控金融风险、深化金融改革”三大重点任务，优化金融产业结构，大力发展金融科技、互联网金融、大数据金融。依托“全国融资综合信用服务平台”，健全信贷风险分担机制和政策融资担保机制，完善</w:t>
      </w:r>
      <w:r>
        <w:rPr>
          <w:rFonts w:hint="eastAsia" w:ascii="仿宋_GB2312"/>
          <w:szCs w:val="32"/>
        </w:rPr>
        <w:t>现代金融监管体系，提高地方金融监管透明度和法治化水平。</w:t>
      </w:r>
      <w:r>
        <w:rPr>
          <w:rFonts w:hint="eastAsia" w:ascii="仿宋_GB2312" w:hAnsi="仿宋_GB2312" w:cs="仿宋_GB2312"/>
          <w:szCs w:val="32"/>
        </w:rPr>
        <w:t>严控金融风险，针对金融机构开展非法集资、互联网金融专项整治行动，搭建大数据防范金融风险系统平台，强化源头治理，着力防范化解金融风险。</w:t>
      </w:r>
    </w:p>
    <w:p>
      <w:pPr>
        <w:pStyle w:val="4"/>
        <w:spacing w:line="560" w:lineRule="exact"/>
      </w:pPr>
      <w:bookmarkStart w:id="132" w:name="_Toc21732"/>
      <w:bookmarkStart w:id="133" w:name="_Toc7351"/>
      <w:bookmarkStart w:id="134" w:name="_Toc6577"/>
      <w:bookmarkStart w:id="135" w:name="_Toc13183"/>
      <w:r>
        <w:rPr>
          <w:rFonts w:hint="eastAsia"/>
        </w:rPr>
        <w:t>第三节推进要素市场化配置</w:t>
      </w:r>
      <w:bookmarkEnd w:id="132"/>
      <w:bookmarkEnd w:id="133"/>
      <w:bookmarkEnd w:id="134"/>
      <w:bookmarkEnd w:id="135"/>
    </w:p>
    <w:p>
      <w:pPr>
        <w:spacing w:line="560" w:lineRule="exact"/>
        <w:jc w:val="both"/>
        <w:rPr>
          <w:rFonts w:cs="宋体"/>
        </w:rPr>
      </w:pPr>
      <w:r>
        <w:rPr>
          <w:rFonts w:hint="eastAsia" w:cs="宋体"/>
        </w:rPr>
        <w:t>畅通要素流动渠道，推动要素配置依据市场规则、市场价格、市场竞争实现效益最大化和效率最优化，</w:t>
      </w:r>
      <w:r>
        <w:rPr>
          <w:rFonts w:hint="eastAsia" w:ascii="仿宋_GB2312"/>
          <w:szCs w:val="32"/>
        </w:rPr>
        <w:t>提高资源配置效率和全要素生产率。</w:t>
      </w:r>
    </w:p>
    <w:p>
      <w:pPr>
        <w:widowControl/>
        <w:spacing w:line="560" w:lineRule="exact"/>
        <w:ind w:firstLine="643"/>
        <w:jc w:val="both"/>
        <w:rPr>
          <w:rFonts w:ascii="仿宋_GB2312" w:hAnsi="仿宋_GB2312" w:cs="仿宋_GB2312"/>
          <w:bCs/>
          <w:kern w:val="0"/>
          <w:szCs w:val="32"/>
        </w:rPr>
      </w:pPr>
      <w:r>
        <w:rPr>
          <w:rFonts w:hint="eastAsia" w:ascii="仿宋_GB2312" w:hAnsi="仿宋_GB2312" w:cs="仿宋_GB2312"/>
          <w:b/>
          <w:bCs/>
          <w:kern w:val="0"/>
          <w:szCs w:val="32"/>
        </w:rPr>
        <w:t>完善促进要素价格形成机制。</w:t>
      </w:r>
      <w:r>
        <w:rPr>
          <w:rFonts w:hint="eastAsia" w:ascii="仿宋_GB2312" w:hAnsi="仿宋_GB2312" w:cs="仿宋_GB2312"/>
          <w:bCs/>
          <w:kern w:val="0"/>
          <w:szCs w:val="32"/>
        </w:rPr>
        <w:t>扩大要素市场化配置范围，加快要素价格市场化改革。严格控制土地价格，完善城镇建设用地价格形成机制。加强各类技术和知识产权交易平台建设，鼓励技术中介服务机构发展，建立主要由市场决定技术创新项目和经费分配、评价成果的机制，有效发挥市场对技术研发方向、路线选择、要素价格及各类创新要素配置的导向作用。</w:t>
      </w:r>
    </w:p>
    <w:p>
      <w:pPr>
        <w:widowControl/>
        <w:spacing w:line="560" w:lineRule="exact"/>
        <w:ind w:firstLine="643"/>
        <w:jc w:val="both"/>
        <w:rPr>
          <w:rFonts w:ascii="宋体" w:hAnsi="宋体" w:eastAsia="宋体" w:cs="宋体"/>
          <w:kern w:val="0"/>
          <w:sz w:val="24"/>
        </w:rPr>
      </w:pPr>
      <w:r>
        <w:rPr>
          <w:rFonts w:hint="eastAsia" w:ascii="仿宋_GB2312" w:hAnsi="仿宋_GB2312" w:cs="仿宋_GB2312"/>
          <w:b/>
          <w:szCs w:val="32"/>
        </w:rPr>
        <w:t>构建统一</w:t>
      </w:r>
      <w:r>
        <w:rPr>
          <w:rFonts w:ascii="仿宋_GB2312" w:hAnsi="仿宋_GB2312" w:cs="仿宋_GB2312"/>
          <w:b/>
          <w:szCs w:val="32"/>
        </w:rPr>
        <w:t>开放</w:t>
      </w:r>
      <w:r>
        <w:rPr>
          <w:rFonts w:hint="eastAsia" w:ascii="仿宋_GB2312" w:hAnsi="仿宋_GB2312" w:cs="仿宋_GB2312"/>
          <w:b/>
          <w:szCs w:val="32"/>
        </w:rPr>
        <w:t>要素市场。</w:t>
      </w:r>
      <w:r>
        <w:rPr>
          <w:rFonts w:hint="eastAsia" w:ascii="仿宋_GB2312" w:hAnsi="仿宋_GB2312" w:cs="仿宋_GB2312"/>
          <w:bCs/>
          <w:kern w:val="0"/>
          <w:szCs w:val="32"/>
        </w:rPr>
        <w:t>推进土地、劳动力、资本、技术和数据等要素市场自主有序流动，健全要素市场体系</w:t>
      </w:r>
      <w:r>
        <w:rPr>
          <w:rFonts w:hint="eastAsia" w:ascii="仿宋_GB2312" w:hAnsi="仿宋_GB2312" w:cs="仿宋_GB2312"/>
          <w:szCs w:val="32"/>
        </w:rPr>
        <w:t>。建立城乡统一</w:t>
      </w:r>
      <w:r>
        <w:rPr>
          <w:rFonts w:hint="eastAsia" w:ascii="仿宋_GB2312" w:hAnsi="仿宋_GB2312" w:cs="仿宋_GB2312"/>
          <w:bCs/>
          <w:kern w:val="0"/>
          <w:szCs w:val="32"/>
        </w:rPr>
        <w:t>的建设用地市场，</w:t>
      </w:r>
      <w:r>
        <w:rPr>
          <w:rFonts w:hint="eastAsia" w:ascii="仿宋_GB2312" w:hAnsi="仿宋_GB2312" w:cs="仿宋_GB2312"/>
          <w:szCs w:val="32"/>
        </w:rPr>
        <w:t>深化产业用地市场化配置改革，推行“标准地”供应和工业用地建设方案出让，落实“四证齐发”“拿地即开工”等工作。统筹推进标准化工业厂房建设，健全长期租赁、先租后让、弹性年期供应等工业用地市场供应体系。促进人才的社会性流动和高端人才市场培育，加快与国际人力资源市场对接。</w:t>
      </w:r>
      <w:r>
        <w:rPr>
          <w:rFonts w:hint="eastAsia" w:ascii="仿宋_GB2312" w:hAnsi="仿宋_GB2312" w:cs="仿宋_GB2312"/>
          <w:bCs/>
          <w:kern w:val="0"/>
          <w:szCs w:val="32"/>
        </w:rPr>
        <w:t>发展技术要素市场，推动国有事业单位、高校、科研院所市场化、企业化改革，明晰</w:t>
      </w:r>
      <w:r>
        <w:rPr>
          <w:rFonts w:hint="eastAsia" w:ascii="仿宋_GB2312" w:hAnsi="仿宋_GB2312" w:cs="仿宋_GB2312"/>
          <w:szCs w:val="32"/>
        </w:rPr>
        <w:t>职务发明和职务技术产权问题。围绕做大做强空天产业等重点领域，在薪酬待遇、股权激励、电价等基础要素倾斜方面加强先行先试。加速数据要素市场培育，构建系统化数据治理体系。</w:t>
      </w:r>
    </w:p>
    <w:p>
      <w:pPr>
        <w:pStyle w:val="4"/>
        <w:spacing w:line="560" w:lineRule="exact"/>
      </w:pPr>
      <w:bookmarkStart w:id="136" w:name="_Toc21821"/>
      <w:bookmarkStart w:id="137" w:name="_Toc25112"/>
      <w:bookmarkStart w:id="138" w:name="_Toc802"/>
      <w:bookmarkStart w:id="139" w:name="_Toc5022"/>
      <w:r>
        <w:rPr>
          <w:rFonts w:hint="eastAsia"/>
        </w:rPr>
        <w:t>第四节打造一流营商环境</w:t>
      </w:r>
      <w:bookmarkEnd w:id="136"/>
      <w:bookmarkEnd w:id="137"/>
      <w:bookmarkEnd w:id="138"/>
      <w:bookmarkEnd w:id="139"/>
    </w:p>
    <w:p>
      <w:pPr>
        <w:spacing w:line="560" w:lineRule="exact"/>
        <w:jc w:val="both"/>
        <w:rPr>
          <w:rFonts w:ascii="等线" w:hAnsi="等线" w:eastAsia="仿宋"/>
        </w:rPr>
      </w:pPr>
      <w:r>
        <w:rPr>
          <w:rFonts w:hint="eastAsia" w:ascii="仿宋_GB2312" w:hAnsi="等线"/>
          <w:szCs w:val="32"/>
        </w:rPr>
        <w:t>坚持以服务市场主体需求为导向，分类施策，细化措施，为重点项目、驻区企业、驻地高校、金融机构、全民创业等各类服务主体营造良好环境。</w:t>
      </w:r>
    </w:p>
    <w:p>
      <w:pPr>
        <w:spacing w:line="560" w:lineRule="exact"/>
        <w:ind w:firstLine="643"/>
        <w:jc w:val="both"/>
        <w:rPr>
          <w:rFonts w:ascii="仿宋_GB2312" w:hAnsi="等线"/>
          <w:szCs w:val="32"/>
        </w:rPr>
      </w:pPr>
      <w:r>
        <w:rPr>
          <w:rFonts w:hint="eastAsia" w:ascii="仿宋_GB2312" w:hAnsi="等线"/>
          <w:b/>
          <w:szCs w:val="32"/>
        </w:rPr>
        <w:t>加快建设服务型政府。</w:t>
      </w:r>
      <w:r>
        <w:rPr>
          <w:rFonts w:hint="eastAsia" w:ascii="仿宋_GB2312" w:hAnsi="等线"/>
          <w:szCs w:val="32"/>
        </w:rPr>
        <w:t>运用互联网、大数据、人工智能等技术手段提升政府治理能力，进一步简化政府服务、行政审批、执法监管的流程，建立跨部门的服务管理平台，为全国一体化政务服务平台建设和数字政府建设奠定基础。改变以审批为核心的政府管理模式，加快推进各部门业务专网接通山东政务服务网，推进跨地区、跨部门、跨层级的信息数据共享。深化“最多跑一次”“一网通办”等改革创新。全面推进政务服务标准化、规范化、便利化，构建企业、市民诉求“接诉即办”快速响应机制，不断提高政务服务效能。</w:t>
      </w:r>
    </w:p>
    <w:p>
      <w:pPr>
        <w:spacing w:line="560" w:lineRule="exact"/>
        <w:ind w:firstLine="643"/>
        <w:jc w:val="both"/>
        <w:rPr>
          <w:rFonts w:ascii="仿宋_GB2312" w:hAnsi="等线"/>
          <w:szCs w:val="32"/>
        </w:rPr>
      </w:pPr>
      <w:r>
        <w:rPr>
          <w:rFonts w:hint="eastAsia" w:ascii="仿宋_GB2312" w:hAnsi="等线"/>
          <w:b/>
          <w:szCs w:val="32"/>
        </w:rPr>
        <w:t>提高政府监管效能。</w:t>
      </w:r>
      <w:r>
        <w:rPr>
          <w:rFonts w:hint="eastAsia" w:ascii="仿宋_GB2312" w:hAnsi="等线"/>
          <w:szCs w:val="32"/>
        </w:rPr>
        <w:t>严格规范市场准入管理，推动“非禁即入”落地落实。推进权力下放，将一批与企业群众密切相关的政务服务事项以帮办代办的形式放至街道、村（居）、社区办理。协调推进行政执法体制改革，推行“双随机、一公开”模式。加强区内审批部门与监管部门沟通协调力度，有效衔接审批监管，推动审批部门与上级业务指导部门对接通畅。加强和完善公共服务监督机制，充分发挥人大和人民群众对服务型政府的监督作用。</w:t>
      </w:r>
    </w:p>
    <w:p>
      <w:pPr>
        <w:pStyle w:val="3"/>
        <w:spacing w:line="560" w:lineRule="exact"/>
        <w:rPr>
          <w:rFonts w:hint="default"/>
        </w:rPr>
      </w:pPr>
      <w:bookmarkStart w:id="140" w:name="_Toc30035"/>
      <w:r>
        <w:t>第十章</w:t>
      </w:r>
      <w:bookmarkEnd w:id="103"/>
      <w:r>
        <w:t>打造人与自然和谐共生</w:t>
      </w:r>
      <w:bookmarkEnd w:id="104"/>
      <w:r>
        <w:t>新样板</w:t>
      </w:r>
      <w:bookmarkEnd w:id="105"/>
      <w:bookmarkEnd w:id="106"/>
      <w:bookmarkEnd w:id="140"/>
    </w:p>
    <w:p>
      <w:pPr>
        <w:widowControl/>
        <w:spacing w:line="560" w:lineRule="exact"/>
        <w:jc w:val="both"/>
        <w:rPr>
          <w:rFonts w:ascii="仿宋_GB2312" w:hAnsi="等线"/>
          <w:szCs w:val="32"/>
        </w:rPr>
      </w:pPr>
      <w:r>
        <w:rPr>
          <w:rFonts w:hint="eastAsia" w:ascii="仿宋_GB2312" w:hAnsi="等线"/>
          <w:szCs w:val="32"/>
        </w:rPr>
        <w:t>严守生态保护红线，建设天蓝地绿山</w:t>
      </w:r>
      <w:r>
        <w:rPr>
          <w:rFonts w:hint="eastAsia" w:ascii="仿宋_GB2312" w:hAnsi="等线"/>
          <w:szCs w:val="32"/>
          <w:lang w:val="en-US" w:eastAsia="zh-CN"/>
        </w:rPr>
        <w:t>清</w:t>
      </w:r>
      <w:bookmarkStart w:id="259" w:name="_GoBack"/>
      <w:bookmarkEnd w:id="259"/>
      <w:r>
        <w:rPr>
          <w:rFonts w:hint="eastAsia" w:ascii="仿宋_GB2312" w:hAnsi="等线"/>
          <w:szCs w:val="32"/>
        </w:rPr>
        <w:t>水秀的生态环境，发展绿色低碳循环经济</w:t>
      </w:r>
      <w:r>
        <w:rPr>
          <w:rFonts w:hint="eastAsia" w:ascii="仿宋_GB2312" w:hAnsi="仿宋_GB2312" w:cs="仿宋_GB2312"/>
          <w:szCs w:val="32"/>
        </w:rPr>
        <w:t>，加强环境整治力度，</w:t>
      </w:r>
      <w:r>
        <w:rPr>
          <w:rFonts w:hint="eastAsia" w:ascii="仿宋_GB2312" w:hAnsi="等线"/>
          <w:szCs w:val="32"/>
        </w:rPr>
        <w:t>打造宜居宜业、功能完善、现代时尚的美好生活示范区。</w:t>
      </w:r>
    </w:p>
    <w:p>
      <w:pPr>
        <w:pStyle w:val="4"/>
        <w:spacing w:line="560" w:lineRule="exact"/>
      </w:pPr>
      <w:bookmarkStart w:id="141" w:name="_Toc20058"/>
      <w:bookmarkStart w:id="142" w:name="_Toc8121"/>
      <w:bookmarkStart w:id="143" w:name="_Toc9354"/>
      <w:bookmarkStart w:id="144" w:name="_Toc21329"/>
      <w:bookmarkStart w:id="145" w:name="_Toc31602"/>
      <w:r>
        <w:rPr>
          <w:rFonts w:hint="eastAsia"/>
        </w:rPr>
        <w:t>第一节推进生态文明</w:t>
      </w:r>
      <w:bookmarkEnd w:id="141"/>
      <w:r>
        <w:rPr>
          <w:rFonts w:hint="eastAsia"/>
        </w:rPr>
        <w:t>建设</w:t>
      </w:r>
      <w:bookmarkEnd w:id="142"/>
      <w:bookmarkEnd w:id="143"/>
      <w:bookmarkEnd w:id="144"/>
      <w:bookmarkEnd w:id="145"/>
    </w:p>
    <w:p>
      <w:pPr>
        <w:spacing w:line="560" w:lineRule="exact"/>
        <w:jc w:val="both"/>
        <w:rPr>
          <w:rFonts w:ascii="仿宋_GB2312" w:hAnsi="仿宋_GB2312" w:cs="仿宋_GB2312"/>
        </w:rPr>
      </w:pPr>
      <w:r>
        <w:rPr>
          <w:rFonts w:hint="eastAsia" w:ascii="仿宋_GB2312" w:hAnsi="仿宋_GB2312" w:cs="仿宋_GB2312"/>
        </w:rPr>
        <w:t>加强生态文明建设，牢固树立“绿水青山就是金山银山”和“山水林田湖草生命共同体”的理念，从统筹布局、制度设计等方面全面加强生态环境保护。</w:t>
      </w:r>
    </w:p>
    <w:p>
      <w:pPr>
        <w:widowControl/>
        <w:spacing w:line="560" w:lineRule="exact"/>
        <w:ind w:firstLine="643"/>
        <w:jc w:val="both"/>
        <w:rPr>
          <w:rFonts w:ascii="仿宋_GB2312" w:hAnsi="仿宋_GB2312" w:cs="仿宋_GB2312"/>
          <w:bCs/>
          <w:szCs w:val="32"/>
        </w:rPr>
      </w:pPr>
      <w:r>
        <w:rPr>
          <w:rFonts w:hint="eastAsia" w:ascii="仿宋_GB2312" w:hAnsi="仿宋_GB2312" w:cs="仿宋_GB2312"/>
          <w:b/>
          <w:szCs w:val="32"/>
        </w:rPr>
        <w:t>优化国土空间开发保护格局。</w:t>
      </w:r>
      <w:r>
        <w:rPr>
          <w:rFonts w:hint="eastAsia" w:ascii="仿宋_GB2312" w:hAnsi="仿宋_GB2312" w:cs="仿宋_GB2312"/>
          <w:bCs/>
          <w:szCs w:val="32"/>
        </w:rPr>
        <w:t>贯彻落实国土空间规划，落实并严守生态保护红线、永久基本农田和城镇开发边界三条控制线，实现国土空间开发保护“一张图”。在城镇开发界限内区域制定（按照）土地征收成片开发方案，在城镇开发界限外区域实行“详细筹划+筹划许可”和“约束指标+分区准入”的管制方法。加快推进片区规划申报工作，着力调整重点片区建设用地规模，加大创新型产业用地规划。扩展沿黄区域北部开发边界，推动形成全域一体的开发保护空间格局，构建沿黄流域高质量发展新局面。</w:t>
      </w:r>
    </w:p>
    <w:p>
      <w:pPr>
        <w:spacing w:line="560" w:lineRule="exact"/>
        <w:ind w:firstLine="643"/>
        <w:jc w:val="both"/>
        <w:rPr>
          <w:rFonts w:ascii="仿宋_GB2312" w:hAnsi="仿宋_GB2312" w:cs="仿宋_GB2312"/>
          <w:szCs w:val="32"/>
        </w:rPr>
      </w:pPr>
      <w:r>
        <w:rPr>
          <w:rFonts w:hint="eastAsia" w:ascii="仿宋_GB2312" w:hAnsi="仿宋_GB2312" w:cs="仿宋_GB2312"/>
          <w:b/>
        </w:rPr>
        <w:t>全面构筑绿色生态体系。</w:t>
      </w:r>
      <w:r>
        <w:rPr>
          <w:rFonts w:hint="eastAsia" w:ascii="仿宋_GB2312" w:hAnsi="仿宋_GB2312" w:cs="仿宋_GB2312"/>
          <w:szCs w:val="32"/>
        </w:rPr>
        <w:t>推动山水林田湖草一体化保护和修复，加强黄河、小清河等重要生态廊道建设，高水平打造“两河生态体系”。综合考虑山水林田湖草综合治理，依托现有自然条件和资源禀赋，开展植树造林，增加森林资源，构建农田防护和生态保护体系。推进湿地资源保护和恢复，发挥湿地生态效益。因地制宜种植绿色植被，提升小清河及其重要支流两侧绿道和景观，打造水清、岸绿、景美的沿河生态景观带。高规格构建城市绿道体系，加快规划建设铁路沿线、重要道路等绿道绿廊，推进花漾街区、花卉景观大道建设，形成多树种、多色彩、成片成形、季相变化丰富的城市园林景观。坚持“生态、品牌、优质、安全”的绿色发展理念，积极创建生态农业示范区，发展观光农业、休闲农业、循环农业，继续推进农业“三减”工作。</w:t>
      </w:r>
    </w:p>
    <w:p>
      <w:pPr>
        <w:pStyle w:val="4"/>
        <w:spacing w:line="560" w:lineRule="exact"/>
      </w:pPr>
      <w:bookmarkStart w:id="146" w:name="_Toc6985"/>
      <w:bookmarkStart w:id="147" w:name="_Toc6096"/>
      <w:bookmarkStart w:id="148" w:name="_Toc21892"/>
      <w:bookmarkStart w:id="149" w:name="_Toc15957"/>
      <w:r>
        <w:rPr>
          <w:rFonts w:hint="eastAsia"/>
        </w:rPr>
        <w:t>第二节推动绿色低碳发展</w:t>
      </w:r>
      <w:bookmarkEnd w:id="146"/>
      <w:bookmarkEnd w:id="147"/>
      <w:bookmarkEnd w:id="148"/>
      <w:bookmarkEnd w:id="149"/>
    </w:p>
    <w:p>
      <w:pPr>
        <w:spacing w:line="560" w:lineRule="exact"/>
        <w:jc w:val="both"/>
        <w:rPr>
          <w:rFonts w:ascii="仿宋_GB2312" w:hAnsi="仿宋_GB2312" w:cs="仿宋_GB2312"/>
          <w:szCs w:val="32"/>
        </w:rPr>
      </w:pPr>
      <w:r>
        <w:rPr>
          <w:rFonts w:ascii="仿宋_GB2312" w:hAnsi="仿宋_GB2312" w:cs="仿宋_GB2312"/>
          <w:szCs w:val="32"/>
        </w:rPr>
        <w:t>加快绿色发展顶层规划设计</w:t>
      </w:r>
      <w:r>
        <w:rPr>
          <w:rFonts w:hint="eastAsia" w:ascii="仿宋_GB2312" w:hAnsi="仿宋_GB2312" w:cs="仿宋_GB2312"/>
          <w:szCs w:val="32"/>
        </w:rPr>
        <w:t>，</w:t>
      </w:r>
      <w:r>
        <w:rPr>
          <w:rFonts w:ascii="仿宋_GB2312" w:hAnsi="仿宋_GB2312" w:cs="仿宋_GB2312"/>
          <w:szCs w:val="32"/>
        </w:rPr>
        <w:t>推动</w:t>
      </w:r>
      <w:r>
        <w:rPr>
          <w:rFonts w:hint="eastAsia" w:ascii="仿宋_GB2312" w:hAnsi="仿宋_GB2312" w:cs="仿宋_GB2312"/>
          <w:szCs w:val="32"/>
        </w:rPr>
        <w:t>产业经济全面转型升级，将绿色发展在各个领域落到实处，提高资源能源利用效率，满足人民群众美好生活需求。</w:t>
      </w:r>
    </w:p>
    <w:p>
      <w:pPr>
        <w:spacing w:line="560" w:lineRule="exact"/>
        <w:ind w:firstLine="643"/>
        <w:contextualSpacing/>
        <w:jc w:val="both"/>
        <w:rPr>
          <w:rFonts w:ascii="仿宋_GB2312" w:hAnsi="仿宋_GB2312" w:cs="仿宋_GB2312"/>
          <w:szCs w:val="32"/>
        </w:rPr>
      </w:pPr>
      <w:r>
        <w:rPr>
          <w:rFonts w:hint="eastAsia" w:ascii="仿宋_GB2312" w:hAnsi="仿宋_GB2312" w:cs="仿宋_GB2312"/>
          <w:b/>
          <w:szCs w:val="32"/>
        </w:rPr>
        <w:t>加快构建绿色生产方式</w:t>
      </w:r>
      <w:r>
        <w:rPr>
          <w:rFonts w:ascii="仿宋_GB2312" w:hAnsi="仿宋_GB2312" w:cs="仿宋_GB2312"/>
          <w:b/>
          <w:szCs w:val="32"/>
        </w:rPr>
        <w:t>。</w:t>
      </w:r>
      <w:r>
        <w:rPr>
          <w:rFonts w:ascii="仿宋_GB2312" w:hAnsi="仿宋_GB2312" w:cs="仿宋_GB2312"/>
          <w:szCs w:val="32"/>
        </w:rPr>
        <w:t>大力节约集约利用资源，推动资源利用方式根本转变，加强全过程节约管理，大幅降低能源、水、土地消耗强度，促进生产、流通、消费过程的减量化、再利用、资源化。</w:t>
      </w:r>
      <w:r>
        <w:rPr>
          <w:rFonts w:hint="eastAsia" w:ascii="仿宋_GB2312" w:hAnsi="仿宋_GB2312" w:cs="仿宋_GB2312"/>
          <w:szCs w:val="32"/>
        </w:rPr>
        <w:t>加快调整优化产业结构、能源结构，严格做好碳排放工作，力争实现碳达峰。完善绿色发展的政策体系，开展重点行业、领域绿色化改造提升，推进低碳城市规划建设。强化能耗“双控”，加强煤炭总量控制，推动能源绿色低碳转型。壮大绿色产业规模，支持绿色技术创新，发展绿色建筑、节能环保、循环经济、清洁能源等绿色产业。落实助力绿色产业发展的价格、财税、投资等政策，鼓励发展绿色信贷、绿色债券等金融产品。</w:t>
      </w:r>
    </w:p>
    <w:p>
      <w:pPr>
        <w:spacing w:line="560" w:lineRule="exact"/>
        <w:ind w:firstLine="643"/>
        <w:contextualSpacing/>
        <w:jc w:val="both"/>
        <w:rPr>
          <w:rFonts w:ascii="仿宋_GB2312" w:hAnsi="仿宋_GB2312" w:cs="仿宋_GB2312"/>
          <w:szCs w:val="32"/>
        </w:rPr>
      </w:pPr>
      <w:r>
        <w:rPr>
          <w:rFonts w:hint="eastAsia" w:ascii="仿宋_GB2312" w:hAnsi="仿宋_GB2312" w:cs="仿宋_GB2312"/>
          <w:b/>
          <w:szCs w:val="32"/>
        </w:rPr>
        <w:t>开展绿色生活创建行动。</w:t>
      </w:r>
      <w:r>
        <w:rPr>
          <w:rFonts w:hint="eastAsia" w:ascii="仿宋_GB2312" w:hAnsi="仿宋_GB2312" w:cs="仿宋_GB2312"/>
          <w:szCs w:val="32"/>
        </w:rPr>
        <w:t>提高公众思想认识高度、环保宣传广度和环境教育深度，让生态文明进一步深入人心。宣传推广简约适度、绿色低碳、文明健康的生活理念和生活方式，开展</w:t>
      </w:r>
      <w:r>
        <w:rPr>
          <w:rFonts w:ascii="仿宋_GB2312" w:hAnsi="仿宋_GB2312" w:cs="仿宋_GB2312"/>
          <w:szCs w:val="32"/>
        </w:rPr>
        <w:t>节约电、水、油、</w:t>
      </w:r>
      <w:r>
        <w:rPr>
          <w:rFonts w:hint="eastAsia" w:ascii="仿宋_GB2312" w:hAnsi="仿宋_GB2312" w:cs="仿宋_GB2312"/>
          <w:szCs w:val="32"/>
        </w:rPr>
        <w:t>气宣传教育活动，推动绿色消费、倡导低碳生活。</w:t>
      </w:r>
      <w:r>
        <w:rPr>
          <w:rFonts w:ascii="仿宋_GB2312" w:hAnsi="仿宋_GB2312" w:cs="仿宋_GB2312"/>
          <w:szCs w:val="32"/>
        </w:rPr>
        <w:t>多措并举巩固生活垃圾分类管理成效</w:t>
      </w:r>
      <w:r>
        <w:rPr>
          <w:rFonts w:hint="eastAsia" w:ascii="仿宋_GB2312" w:hAnsi="仿宋_GB2312" w:cs="仿宋_GB2312"/>
          <w:szCs w:val="32"/>
        </w:rPr>
        <w:t>，提升市民垃圾分类投放意识,深入推进垃圾分类投放的宣传工作。</w:t>
      </w:r>
      <w:bookmarkStart w:id="150" w:name="_Toc6174"/>
      <w:bookmarkStart w:id="151" w:name="_Toc15959"/>
      <w:bookmarkStart w:id="152" w:name="_Toc383"/>
      <w:r>
        <w:rPr>
          <w:rFonts w:hint="eastAsia" w:ascii="仿宋_GB2312" w:hAnsi="仿宋_GB2312" w:cs="仿宋_GB2312"/>
          <w:szCs w:val="32"/>
        </w:rPr>
        <w:t>广泛开展节约型机关、绿色学校、绿色社区、绿色家庭等创建活动。</w:t>
      </w:r>
    </w:p>
    <w:p>
      <w:pPr>
        <w:spacing w:line="560" w:lineRule="exact"/>
        <w:ind w:firstLine="643"/>
        <w:jc w:val="both"/>
      </w:pPr>
      <w:r>
        <w:rPr>
          <w:rFonts w:hint="eastAsia" w:ascii="仿宋_GB2312" w:hAnsi="仿宋_GB2312" w:cs="仿宋_GB2312"/>
          <w:b/>
          <w:bCs/>
          <w:szCs w:val="32"/>
        </w:rPr>
        <w:t>全面提高资源能源利用效率。</w:t>
      </w:r>
      <w:r>
        <w:rPr>
          <w:rFonts w:hint="eastAsia" w:ascii="仿宋_GB2312" w:hAnsi="仿宋_GB2312" w:cs="仿宋_GB2312"/>
          <w:szCs w:val="32"/>
        </w:rPr>
        <w:t>全面明晰资源权属，加强资源主体权益保护，建立分级负责、分工明确的确权登记工作机制。强化资源利用全过程动态跟踪监管和评价监测，全面掌握资源状况。推行工业用地“亩产效益”评价，推动不同产业用地类型合理转换。完善大数据提升土地监管能力，建立健全土地权属争议调处机制，妥善处理农村集体土地权属争议。高标准实施矿山地质环境治理恢复，加快推进港沟、彩石等地矿山复绿。</w:t>
      </w:r>
    </w:p>
    <w:p>
      <w:pPr>
        <w:pStyle w:val="4"/>
        <w:spacing w:line="560" w:lineRule="exact"/>
      </w:pPr>
      <w:bookmarkStart w:id="153" w:name="_Toc1916"/>
      <w:r>
        <w:rPr>
          <w:rFonts w:hint="eastAsia"/>
        </w:rPr>
        <w:t>第三节加大环境整治力度</w:t>
      </w:r>
      <w:bookmarkEnd w:id="150"/>
      <w:bookmarkEnd w:id="151"/>
      <w:bookmarkEnd w:id="152"/>
      <w:bookmarkEnd w:id="153"/>
    </w:p>
    <w:p>
      <w:pPr>
        <w:spacing w:line="560" w:lineRule="exact"/>
        <w:contextualSpacing/>
        <w:jc w:val="both"/>
        <w:rPr>
          <w:rFonts w:ascii="仿宋_GB2312" w:hAnsi="仿宋_GB2312" w:cs="仿宋_GB2312"/>
          <w:szCs w:val="32"/>
        </w:rPr>
      </w:pPr>
      <w:r>
        <w:rPr>
          <w:rFonts w:ascii="仿宋_GB2312" w:hAnsi="仿宋_GB2312" w:cs="仿宋_GB2312"/>
          <w:szCs w:val="32"/>
        </w:rPr>
        <w:t>扎实开展环境污染综合整治，</w:t>
      </w:r>
      <w:r>
        <w:rPr>
          <w:rFonts w:hint="eastAsia" w:ascii="仿宋_GB2312" w:hAnsi="仿宋_GB2312" w:cs="仿宋_GB2312"/>
          <w:szCs w:val="32"/>
        </w:rPr>
        <w:t>打好“蓝天</w:t>
      </w:r>
      <w:r>
        <w:rPr>
          <w:rFonts w:ascii="仿宋_GB2312" w:hAnsi="仿宋_GB2312" w:cs="仿宋_GB2312"/>
          <w:szCs w:val="32"/>
        </w:rPr>
        <w:t>、碧水、净土</w:t>
      </w:r>
      <w:r>
        <w:rPr>
          <w:rFonts w:hint="eastAsia" w:ascii="仿宋_GB2312" w:hAnsi="仿宋_GB2312" w:cs="仿宋_GB2312"/>
          <w:szCs w:val="32"/>
        </w:rPr>
        <w:t>”保卫战</w:t>
      </w:r>
      <w:r>
        <w:rPr>
          <w:rFonts w:ascii="仿宋_GB2312" w:hAnsi="仿宋_GB2312" w:cs="仿宋_GB2312"/>
          <w:szCs w:val="32"/>
        </w:rPr>
        <w:t>，强化生态环境监管制度建设</w:t>
      </w:r>
      <w:r>
        <w:rPr>
          <w:rFonts w:hint="eastAsia" w:ascii="仿宋_GB2312" w:hAnsi="仿宋_GB2312" w:cs="仿宋_GB2312"/>
          <w:szCs w:val="32"/>
        </w:rPr>
        <w:t>，完善生态补偿机制，建立生态环境保护修复与治理机制，形成权责分明、共治共享的生态格局。</w:t>
      </w:r>
    </w:p>
    <w:p>
      <w:pPr>
        <w:spacing w:line="560" w:lineRule="exact"/>
        <w:ind w:firstLine="643"/>
        <w:jc w:val="both"/>
        <w:rPr>
          <w:rFonts w:ascii="仿宋_GB2312" w:hAnsi="仿宋_GB2312" w:cs="仿宋_GB2312"/>
          <w:b/>
          <w:szCs w:val="32"/>
        </w:rPr>
      </w:pPr>
      <w:r>
        <w:rPr>
          <w:rFonts w:hint="eastAsia" w:ascii="仿宋_GB2312" w:hAnsi="仿宋_GB2312" w:cs="仿宋_GB2312"/>
          <w:b/>
          <w:szCs w:val="32"/>
        </w:rPr>
        <w:t>打赢打好</w:t>
      </w:r>
      <w:r>
        <w:rPr>
          <w:rFonts w:ascii="仿宋_GB2312" w:hAnsi="仿宋_GB2312" w:cs="仿宋_GB2312"/>
          <w:b/>
          <w:szCs w:val="32"/>
        </w:rPr>
        <w:t>蓝天保卫</w:t>
      </w:r>
      <w:r>
        <w:rPr>
          <w:rFonts w:hint="eastAsia" w:ascii="仿宋_GB2312" w:hAnsi="仿宋_GB2312" w:cs="仿宋_GB2312"/>
          <w:b/>
          <w:szCs w:val="32"/>
        </w:rPr>
        <w:t>战</w:t>
      </w:r>
      <w:r>
        <w:rPr>
          <w:rFonts w:ascii="仿宋_GB2312" w:hAnsi="仿宋_GB2312" w:cs="仿宋_GB2312"/>
          <w:b/>
          <w:szCs w:val="32"/>
        </w:rPr>
        <w:t>。</w:t>
      </w:r>
      <w:r>
        <w:rPr>
          <w:rFonts w:hint="eastAsia" w:ascii="仿宋_GB2312" w:hAnsi="仿宋_GB2312" w:cs="仿宋_GB2312"/>
          <w:szCs w:val="32"/>
        </w:rPr>
        <w:t>严管</w:t>
      </w:r>
      <w:r>
        <w:rPr>
          <w:rFonts w:ascii="仿宋_GB2312" w:hAnsi="仿宋_GB2312" w:cs="仿宋_GB2312"/>
          <w:szCs w:val="32"/>
        </w:rPr>
        <w:t>扬尘</w:t>
      </w:r>
      <w:r>
        <w:rPr>
          <w:rFonts w:hint="eastAsia" w:ascii="仿宋_GB2312" w:hAnsi="仿宋_GB2312" w:cs="仿宋_GB2312"/>
          <w:szCs w:val="32"/>
        </w:rPr>
        <w:t>污染，加强施工工地现场管理，全过程严管渣土运输，提升道路清扫保洁洒水冲洗等作业标准，最大限度减少道路扬尘，</w:t>
      </w:r>
      <w:r>
        <w:rPr>
          <w:rFonts w:ascii="仿宋_GB2312" w:hAnsi="仿宋_GB2312" w:cs="仿宋_GB2312"/>
          <w:szCs w:val="32"/>
        </w:rPr>
        <w:t>落实“</w:t>
      </w:r>
      <w:r>
        <w:rPr>
          <w:rFonts w:hint="eastAsia" w:ascii="仿宋_GB2312" w:hAnsi="仿宋_GB2312" w:cs="仿宋_GB2312"/>
          <w:szCs w:val="32"/>
        </w:rPr>
        <w:t>六个100</w:t>
      </w:r>
      <w:r>
        <w:rPr>
          <w:rFonts w:ascii="仿宋_GB2312" w:hAnsi="仿宋_GB2312" w:cs="仿宋_GB2312"/>
          <w:szCs w:val="32"/>
        </w:rPr>
        <w:t>%”</w:t>
      </w:r>
      <w:r>
        <w:rPr>
          <w:rFonts w:hint="eastAsia" w:ascii="仿宋_GB2312" w:hAnsi="仿宋_GB2312" w:cs="仿宋_GB2312"/>
          <w:szCs w:val="32"/>
        </w:rPr>
        <w:t>。大力开展机动车尾气专项治理，减少汽车尾气污染。加大整治餐饮油烟、秸秆燃烧</w:t>
      </w:r>
      <w:r>
        <w:rPr>
          <w:rFonts w:ascii="仿宋_GB2312" w:hAnsi="仿宋_GB2312" w:cs="仿宋_GB2312"/>
          <w:szCs w:val="32"/>
        </w:rPr>
        <w:t>、烟花爆竹</w:t>
      </w:r>
      <w:r>
        <w:rPr>
          <w:rFonts w:hint="eastAsia" w:ascii="仿宋_GB2312" w:hAnsi="仿宋_GB2312" w:cs="仿宋_GB2312"/>
          <w:szCs w:val="32"/>
        </w:rPr>
        <w:t>燃放。进一步</w:t>
      </w:r>
      <w:r>
        <w:rPr>
          <w:rFonts w:ascii="仿宋_GB2312" w:hAnsi="仿宋_GB2312" w:cs="仿宋_GB2312"/>
          <w:szCs w:val="32"/>
        </w:rPr>
        <w:t>推进大气污染物综合</w:t>
      </w:r>
      <w:r>
        <w:rPr>
          <w:rFonts w:hint="eastAsia" w:ascii="仿宋_GB2312" w:hAnsi="仿宋_GB2312" w:cs="仿宋_GB2312"/>
          <w:szCs w:val="32"/>
        </w:rPr>
        <w:t>整治，实施空气质量提升行动，加强协同控制，完善大气污染立体监测系统，进一步减少重污染天气。</w:t>
      </w:r>
    </w:p>
    <w:p>
      <w:pPr>
        <w:spacing w:line="560" w:lineRule="exact"/>
        <w:ind w:firstLine="643"/>
        <w:jc w:val="both"/>
        <w:rPr>
          <w:rFonts w:ascii="黑体" w:hAnsi="黑体" w:eastAsia="黑体" w:cs="宋体"/>
          <w:sz w:val="33"/>
          <w:szCs w:val="33"/>
          <w:shd w:val="clear" w:color="auto" w:fill="FFFFFF"/>
        </w:rPr>
      </w:pPr>
      <w:r>
        <w:rPr>
          <w:rFonts w:hint="eastAsia" w:ascii="仿宋_GB2312" w:hAnsi="仿宋_GB2312" w:cs="仿宋_GB2312"/>
          <w:b/>
          <w:szCs w:val="32"/>
        </w:rPr>
        <w:t>深入开展</w:t>
      </w:r>
      <w:r>
        <w:rPr>
          <w:rFonts w:ascii="仿宋_GB2312" w:hAnsi="仿宋_GB2312" w:cs="仿宋_GB2312"/>
          <w:b/>
          <w:szCs w:val="32"/>
        </w:rPr>
        <w:t>碧水保卫战</w:t>
      </w:r>
      <w:r>
        <w:rPr>
          <w:rFonts w:hint="eastAsia" w:ascii="仿宋_GB2312" w:hAnsi="仿宋_GB2312" w:cs="仿宋_GB2312"/>
          <w:b/>
          <w:szCs w:val="32"/>
        </w:rPr>
        <w:t>。</w:t>
      </w:r>
      <w:r>
        <w:rPr>
          <w:rFonts w:hint="eastAsia" w:ascii="仿宋_GB2312" w:hAnsi="仿宋_GB2312" w:cs="仿宋_GB2312"/>
          <w:szCs w:val="32"/>
        </w:rPr>
        <w:t>强化河湖长制，统筹开展水环境改善、水生态修复、水资源保障，基本实现城镇污水应治尽治。</w:t>
      </w:r>
      <w:r>
        <w:rPr>
          <w:rFonts w:hint="eastAsia" w:ascii="仿宋_GB2312" w:cs="宋体"/>
          <w:szCs w:val="32"/>
        </w:rPr>
        <w:t>抓好“水十条”目标任务落实，深入开展小清河环境综合整治，</w:t>
      </w:r>
      <w:r>
        <w:rPr>
          <w:rFonts w:hint="eastAsia" w:ascii="仿宋_GB2312" w:hAnsi="仿宋_GB2312" w:cs="仿宋_GB2312"/>
          <w:szCs w:val="32"/>
          <w:shd w:val="clear" w:color="auto" w:fill="FFFFFF"/>
        </w:rPr>
        <w:t>加快推进全</w:t>
      </w:r>
      <w:r>
        <w:rPr>
          <w:rFonts w:hint="eastAsia" w:ascii="仿宋_GB2312" w:hAnsi="仿宋_GB2312" w:cs="仿宋_GB2312"/>
          <w:bCs/>
          <w:szCs w:val="32"/>
        </w:rPr>
        <w:t>福河、韩仓河、巨野河等支流整治。</w:t>
      </w:r>
      <w:r>
        <w:rPr>
          <w:rFonts w:hint="eastAsia" w:ascii="仿宋_GB2312" w:hAnsi="仿宋_GB2312" w:cs="仿宋_GB2312"/>
          <w:szCs w:val="32"/>
        </w:rPr>
        <w:t>实施流域内乡村水环境综合整治攻坚，建立农村污水处理长效机制。</w:t>
      </w:r>
      <w:r>
        <w:rPr>
          <w:rFonts w:hint="eastAsia" w:ascii="仿宋_GB2312" w:cs="宋体"/>
          <w:szCs w:val="32"/>
        </w:rPr>
        <w:t>推进劣Ⅴ类河流及不达标河流整治，全面</w:t>
      </w:r>
      <w:r>
        <w:rPr>
          <w:rFonts w:ascii="仿宋_GB2312" w:cs="宋体"/>
          <w:szCs w:val="32"/>
        </w:rPr>
        <w:t>消除市</w:t>
      </w:r>
      <w:r>
        <w:rPr>
          <w:rFonts w:hint="eastAsia" w:ascii="仿宋_GB2312" w:cs="宋体"/>
          <w:szCs w:val="32"/>
        </w:rPr>
        <w:t>控</w:t>
      </w:r>
      <w:r>
        <w:rPr>
          <w:rFonts w:ascii="仿宋_GB2312" w:cs="宋体"/>
          <w:szCs w:val="32"/>
        </w:rPr>
        <w:t>断面劣</w:t>
      </w:r>
      <w:r>
        <w:rPr>
          <w:rFonts w:hint="eastAsia" w:ascii="仿宋_GB2312" w:cs="宋体"/>
          <w:szCs w:val="32"/>
        </w:rPr>
        <w:t>Ⅴ类水体，</w:t>
      </w:r>
      <w:r>
        <w:rPr>
          <w:rFonts w:ascii="仿宋_GB2312" w:cs="宋体"/>
          <w:szCs w:val="32"/>
        </w:rPr>
        <w:t>巩固提升黑臭水体治理成效。</w:t>
      </w:r>
      <w:r>
        <w:rPr>
          <w:rFonts w:hint="eastAsia" w:ascii="仿宋_GB2312" w:cs="宋体"/>
          <w:szCs w:val="32"/>
        </w:rPr>
        <w:t>突出抓好饮用水水源地环境问题整治，扎实开展农村饮水安全攻坚行动。</w:t>
      </w:r>
    </w:p>
    <w:p>
      <w:pPr>
        <w:spacing w:line="560" w:lineRule="exact"/>
        <w:ind w:firstLine="643"/>
        <w:jc w:val="both"/>
        <w:rPr>
          <w:rFonts w:ascii="仿宋_GB2312" w:hAnsi="仿宋_GB2312" w:cs="仿宋_GB2312"/>
          <w:b/>
          <w:szCs w:val="32"/>
        </w:rPr>
      </w:pPr>
      <w:r>
        <w:rPr>
          <w:rFonts w:hint="eastAsia" w:ascii="仿宋_GB2312" w:hAnsi="仿宋_GB2312" w:cs="仿宋_GB2312"/>
          <w:b/>
          <w:szCs w:val="32"/>
        </w:rPr>
        <w:t>稳步实施</w:t>
      </w:r>
      <w:r>
        <w:rPr>
          <w:rFonts w:ascii="仿宋_GB2312" w:hAnsi="仿宋_GB2312" w:cs="仿宋_GB2312"/>
          <w:b/>
          <w:szCs w:val="32"/>
        </w:rPr>
        <w:t>净土</w:t>
      </w:r>
      <w:r>
        <w:rPr>
          <w:rFonts w:hint="eastAsia" w:ascii="仿宋_GB2312" w:hAnsi="仿宋_GB2312" w:cs="仿宋_GB2312"/>
          <w:b/>
          <w:szCs w:val="32"/>
        </w:rPr>
        <w:t>保卫战</w:t>
      </w:r>
      <w:r>
        <w:rPr>
          <w:rFonts w:ascii="仿宋_GB2312" w:hAnsi="仿宋_GB2312" w:cs="仿宋_GB2312"/>
          <w:b/>
          <w:szCs w:val="32"/>
        </w:rPr>
        <w:t>。</w:t>
      </w:r>
      <w:r>
        <w:rPr>
          <w:rFonts w:hint="eastAsia" w:ascii="仿宋_GB2312" w:cs="宋体"/>
          <w:szCs w:val="32"/>
        </w:rPr>
        <w:t>认真落实“土十条”和土壤污染防治责任制，</w:t>
      </w:r>
      <w:r>
        <w:rPr>
          <w:rFonts w:hint="eastAsia" w:ascii="仿宋_GB2312" w:hAnsi="仿宋_GB2312" w:cs="仿宋_GB2312"/>
          <w:szCs w:val="32"/>
        </w:rPr>
        <w:t>全面实施土壤污染防治行动计划，抓好重金属、危险废物和农用地污染防治，建立土壤环境质量监测网络。加强涉</w:t>
      </w:r>
      <w:r>
        <w:rPr>
          <w:rFonts w:ascii="仿宋_GB2312" w:hAnsi="仿宋_GB2312" w:cs="仿宋_GB2312"/>
          <w:szCs w:val="32"/>
        </w:rPr>
        <w:t>重金属行业企业土壤污染</w:t>
      </w:r>
      <w:r>
        <w:rPr>
          <w:rFonts w:hint="eastAsia" w:ascii="仿宋_GB2312" w:hAnsi="仿宋_GB2312" w:cs="仿宋_GB2312"/>
          <w:szCs w:val="32"/>
        </w:rPr>
        <w:t>防控</w:t>
      </w:r>
      <w:r>
        <w:rPr>
          <w:rFonts w:ascii="仿宋_GB2312" w:hAnsi="仿宋_GB2312" w:cs="仿宋_GB2312"/>
          <w:szCs w:val="32"/>
        </w:rPr>
        <w:t>，</w:t>
      </w:r>
      <w:r>
        <w:rPr>
          <w:rFonts w:ascii="Arial" w:hAnsi="Arial" w:cs="Arial"/>
          <w:shd w:val="clear" w:color="auto" w:fill="FFFFFF"/>
        </w:rPr>
        <w:t>开展涉重金属重点行业企业全面排查，建立全口径涉重金属重点行业企业清单</w:t>
      </w:r>
      <w:r>
        <w:rPr>
          <w:rFonts w:hint="eastAsia" w:ascii="Arial" w:hAnsi="Arial" w:cs="Arial"/>
          <w:shd w:val="clear" w:color="auto" w:fill="FFFFFF"/>
        </w:rPr>
        <w:t>。</w:t>
      </w:r>
      <w:r>
        <w:rPr>
          <w:rFonts w:hint="eastAsia" w:ascii="仿宋_GB2312" w:hAnsi="仿宋_GB2312" w:cs="仿宋_GB2312"/>
          <w:szCs w:val="32"/>
        </w:rPr>
        <w:t>加快土壤污染治理与修复，有效管控农用地和城市建设用地土壤环境风险</w:t>
      </w:r>
      <w:r>
        <w:rPr>
          <w:rFonts w:hint="eastAsia" w:ascii="仿宋_GB2312" w:cs="宋体"/>
          <w:szCs w:val="32"/>
        </w:rPr>
        <w:t>，减少化肥农药使用量</w:t>
      </w:r>
      <w:r>
        <w:rPr>
          <w:rFonts w:hint="eastAsia" w:ascii="仿宋_GB2312" w:hAnsi="仿宋_GB2312" w:cs="仿宋_GB2312"/>
          <w:szCs w:val="32"/>
        </w:rPr>
        <w:t>，坚决守住土壤环境质量底线。</w:t>
      </w:r>
    </w:p>
    <w:p>
      <w:pPr>
        <w:spacing w:line="560" w:lineRule="exact"/>
        <w:ind w:firstLine="643"/>
        <w:jc w:val="both"/>
      </w:pPr>
      <w:r>
        <w:rPr>
          <w:rFonts w:hint="eastAsia" w:ascii="仿宋_GB2312" w:hAnsi="仿宋_GB2312" w:cs="仿宋_GB2312"/>
          <w:b/>
          <w:szCs w:val="32"/>
        </w:rPr>
        <w:t>打好</w:t>
      </w:r>
      <w:r>
        <w:rPr>
          <w:rFonts w:ascii="仿宋_GB2312" w:hAnsi="仿宋_GB2312" w:cs="仿宋_GB2312"/>
          <w:b/>
          <w:szCs w:val="32"/>
        </w:rPr>
        <w:t>固废治理攻坚战。</w:t>
      </w:r>
      <w:r>
        <w:rPr>
          <w:rFonts w:hint="eastAsia" w:ascii="仿宋_GB2312" w:hAnsi="仿宋_GB2312" w:cs="宋体"/>
        </w:rPr>
        <w:t>坚持分类施策、精准发力，全面推进生活固废、建筑固废、污泥固废、有害固废、再生固废治理，实现固体废弃物的无害化处理及资源化利用。统筹布局建设固废收集、运输和处置设施，建立完善的城乡生活垃圾一体化收运处置体系。加快推进建筑垃圾可再生资源化利用。推进垃圾分类减量物流综合体（转运站）建设，促进垃圾全分类、资源全回收、原生垃圾零填埋。</w:t>
      </w:r>
      <w:r>
        <w:rPr>
          <w:rFonts w:hint="eastAsia" w:ascii="仿宋_GB2312" w:hAnsi="仿宋_GB2312" w:cs="仿宋_GB2312"/>
          <w:szCs w:val="32"/>
        </w:rPr>
        <w:t>全面禁止生产和销售无法回收的塑料产品，从供、销、用三个环节做好废旧农膜污染防治，</w:t>
      </w:r>
      <w:r>
        <w:rPr>
          <w:rFonts w:hint="eastAsia" w:ascii="仿宋_GB2312" w:hAnsi="仿宋_GB2312" w:cs="宋体"/>
        </w:rPr>
        <w:t>加强</w:t>
      </w:r>
      <w:r>
        <w:rPr>
          <w:rFonts w:ascii="仿宋_GB2312" w:hAnsi="仿宋_GB2312" w:cs="宋体"/>
        </w:rPr>
        <w:t>白色污染、</w:t>
      </w:r>
      <w:r>
        <w:rPr>
          <w:rFonts w:hint="eastAsia" w:ascii="仿宋_GB2312" w:hAnsi="仿宋_GB2312" w:cs="宋体"/>
        </w:rPr>
        <w:t>公路污染综合治理</w:t>
      </w:r>
      <w:r>
        <w:rPr>
          <w:rFonts w:ascii="仿宋_GB2312" w:hAnsi="仿宋_GB2312" w:cs="宋体"/>
        </w:rPr>
        <w:t>，</w:t>
      </w:r>
      <w:r>
        <w:rPr>
          <w:rFonts w:hint="eastAsia" w:ascii="仿宋_GB2312" w:hAnsi="仿宋_GB2312" w:cs="宋体"/>
        </w:rPr>
        <w:t>有序开展</w:t>
      </w:r>
      <w:r>
        <w:rPr>
          <w:rFonts w:ascii="仿宋_GB2312" w:hAnsi="仿宋_GB2312" w:cs="宋体"/>
        </w:rPr>
        <w:t>白色</w:t>
      </w:r>
      <w:r>
        <w:rPr>
          <w:rFonts w:hint="eastAsia" w:ascii="仿宋_GB2312" w:hAnsi="仿宋_GB2312" w:cs="宋体"/>
        </w:rPr>
        <w:t>污染</w:t>
      </w:r>
      <w:r>
        <w:rPr>
          <w:rFonts w:ascii="仿宋_GB2312" w:hAnsi="仿宋_GB2312" w:cs="宋体"/>
        </w:rPr>
        <w:t>排查整治。</w:t>
      </w:r>
      <w:bookmarkEnd w:id="107"/>
      <w:bookmarkEnd w:id="108"/>
      <w:bookmarkEnd w:id="109"/>
      <w:bookmarkEnd w:id="110"/>
      <w:bookmarkEnd w:id="111"/>
    </w:p>
    <w:p>
      <w:pPr>
        <w:pStyle w:val="3"/>
        <w:spacing w:line="560" w:lineRule="exact"/>
        <w:rPr>
          <w:rFonts w:hint="default"/>
        </w:rPr>
      </w:pPr>
      <w:bookmarkStart w:id="154" w:name="_Toc30914"/>
      <w:r>
        <w:t>第十一章促进文化繁荣提升城市软实力</w:t>
      </w:r>
      <w:bookmarkEnd w:id="112"/>
      <w:bookmarkEnd w:id="154"/>
    </w:p>
    <w:p>
      <w:pPr>
        <w:overflowPunct w:val="0"/>
        <w:spacing w:line="560" w:lineRule="exact"/>
        <w:contextualSpacing/>
        <w:jc w:val="both"/>
        <w:rPr>
          <w:rFonts w:ascii="仿宋_GB2312" w:hAnsi="仿宋_GB2312" w:cs="仿宋_GB2312"/>
          <w:szCs w:val="32"/>
        </w:rPr>
      </w:pPr>
      <w:bookmarkStart w:id="155" w:name="_Hlk76044607"/>
      <w:bookmarkStart w:id="156" w:name="_Toc56021679"/>
      <w:bookmarkStart w:id="157" w:name="_Toc56016207"/>
      <w:bookmarkStart w:id="158" w:name="_Toc24485"/>
      <w:r>
        <w:rPr>
          <w:rFonts w:hint="eastAsia" w:ascii="仿宋_GB2312" w:hAnsi="仿宋_GB2312" w:cs="仿宋_GB2312"/>
          <w:szCs w:val="32"/>
        </w:rPr>
        <w:t>大力弘扬社会主义核心价值观，加强精神文明建设，坚定文化自信，围绕举旗帜、聚民心、育新人、兴文化、展形象的重要任务，</w:t>
      </w:r>
      <w:bookmarkEnd w:id="155"/>
      <w:r>
        <w:rPr>
          <w:rFonts w:hint="eastAsia" w:ascii="仿宋_GB2312" w:hAnsi="仿宋_GB2312" w:cs="仿宋_GB2312"/>
          <w:szCs w:val="32"/>
        </w:rPr>
        <w:t>传承历史文化和红色基因，讲好历城故事，培育文化产业，打造“文化历城”，为建设省会东部现代化强区凝心聚力。</w:t>
      </w:r>
    </w:p>
    <w:p>
      <w:pPr>
        <w:pStyle w:val="4"/>
        <w:spacing w:line="560" w:lineRule="exact"/>
      </w:pPr>
      <w:bookmarkStart w:id="159" w:name="_Toc9390"/>
      <w:bookmarkStart w:id="160" w:name="_Toc22413"/>
      <w:bookmarkStart w:id="161" w:name="_Toc15554"/>
      <w:bookmarkStart w:id="162" w:name="_Toc2369"/>
      <w:r>
        <w:rPr>
          <w:rFonts w:hint="eastAsia"/>
        </w:rPr>
        <w:t>第一节</w:t>
      </w:r>
      <w:bookmarkEnd w:id="156"/>
      <w:bookmarkEnd w:id="157"/>
      <w:r>
        <w:rPr>
          <w:rFonts w:hint="eastAsia"/>
        </w:rPr>
        <w:t>擦亮</w:t>
      </w:r>
      <w:bookmarkEnd w:id="158"/>
      <w:bookmarkEnd w:id="159"/>
      <w:bookmarkEnd w:id="160"/>
      <w:r>
        <w:rPr>
          <w:rFonts w:hint="eastAsia"/>
        </w:rPr>
        <w:t>全区文化文明底色</w:t>
      </w:r>
      <w:bookmarkEnd w:id="161"/>
      <w:bookmarkEnd w:id="162"/>
    </w:p>
    <w:p>
      <w:pPr>
        <w:overflowPunct w:val="0"/>
        <w:spacing w:line="560" w:lineRule="exact"/>
        <w:jc w:val="both"/>
        <w:rPr>
          <w:rFonts w:ascii="仿宋_GB2312" w:hAnsi="仿宋_GB2312" w:cs="仿宋_GB2312"/>
          <w:szCs w:val="20"/>
        </w:rPr>
      </w:pPr>
      <w:r>
        <w:rPr>
          <w:rFonts w:hint="eastAsia" w:ascii="仿宋_GB2312" w:hAnsi="仿宋_GB2312" w:cs="仿宋_GB2312"/>
          <w:szCs w:val="20"/>
        </w:rPr>
        <w:t>以文化引领城市发展，深度挖掘历城历史文化资源</w:t>
      </w:r>
      <w:r>
        <w:rPr>
          <w:rFonts w:hint="eastAsia" w:ascii="仿宋_GB2312" w:hAnsi="仿宋_GB2312" w:cs="仿宋_GB2312"/>
          <w:kern w:val="0"/>
          <w:szCs w:val="32"/>
        </w:rPr>
        <w:t>，</w:t>
      </w:r>
      <w:r>
        <w:rPr>
          <w:rFonts w:hint="eastAsia" w:ascii="仿宋_GB2312" w:hAnsi="仿宋_GB2312" w:cs="仿宋_GB2312"/>
          <w:szCs w:val="20"/>
        </w:rPr>
        <w:t>厚积文化底蕴，激活和创新传统文化价值，不断深化文明城市创建工作，打造城市文化IP。</w:t>
      </w:r>
    </w:p>
    <w:p>
      <w:pPr>
        <w:overflowPunct w:val="0"/>
        <w:spacing w:line="560" w:lineRule="exact"/>
        <w:ind w:firstLine="643"/>
        <w:jc w:val="both"/>
        <w:rPr>
          <w:rFonts w:ascii="仿宋_GB2312" w:hAnsi="仿宋_GB2312" w:cs="仿宋_GB2312"/>
          <w:szCs w:val="20"/>
          <w:highlight w:val="red"/>
        </w:rPr>
      </w:pPr>
      <w:r>
        <w:rPr>
          <w:rFonts w:hint="eastAsia" w:ascii="仿宋_GB2312" w:hAnsi="仿宋_GB2312" w:cs="仿宋_GB2312"/>
          <w:b/>
          <w:szCs w:val="20"/>
        </w:rPr>
        <w:t>传承弘扬传统文化。</w:t>
      </w:r>
      <w:r>
        <w:rPr>
          <w:rFonts w:hint="eastAsia" w:ascii="仿宋_GB2312" w:hAnsi="仿宋_GB2312" w:cs="仿宋_GB2312"/>
          <w:bCs/>
          <w:szCs w:val="20"/>
        </w:rPr>
        <w:t>加强历史文物保护，发掘一批考古项目，</w:t>
      </w:r>
      <w:r>
        <w:rPr>
          <w:rFonts w:hint="eastAsia" w:ascii="仿宋_GB2312" w:hAnsi="仿宋_GB2312" w:cs="仿宋_GB2312"/>
          <w:szCs w:val="20"/>
        </w:rPr>
        <w:t>启动大辛庄考古遗址公园建设，实施馆藏精品文物数字化工程，</w:t>
      </w:r>
      <w:r>
        <w:rPr>
          <w:rFonts w:hint="eastAsia" w:ascii="仿宋_GB2312" w:hAnsi="仿宋_GB2312" w:cs="仿宋_GB2312"/>
          <w:bCs/>
          <w:szCs w:val="20"/>
        </w:rPr>
        <w:t>激活</w:t>
      </w:r>
      <w:r>
        <w:rPr>
          <w:rFonts w:hint="eastAsia" w:ascii="仿宋_GB2312" w:hAnsi="仿宋_GB2312" w:cs="仿宋_GB2312"/>
          <w:szCs w:val="20"/>
        </w:rPr>
        <w:t>大辛庄古文化遗址等文物古迹历史价值。</w:t>
      </w:r>
      <w:r>
        <w:rPr>
          <w:rFonts w:hint="eastAsia" w:ascii="仿宋_GB2312" w:hAnsi="仿宋_GB2312" w:cs="仿宋_GB2312"/>
          <w:szCs w:val="32"/>
        </w:rPr>
        <w:t>推广历城民歌、梆鼓秧歌等非物质文化遗产，支持国家级非物质文化遗产代表性项目柳子戏发展壮大。</w:t>
      </w:r>
      <w:r>
        <w:rPr>
          <w:rFonts w:hint="eastAsia" w:ascii="仿宋_GB2312" w:hAnsi="仿宋_GB2312" w:cs="仿宋_GB2312"/>
          <w:szCs w:val="20"/>
        </w:rPr>
        <w:t>发扬名士文化，挖掘梳理大舜、鲍叔牙、李清照、闵子骞等历史文化名人事迹，推动“历城名士馆”建设，举办名士文化学习教育活动，在城区雕塑、地名路名中注入更多名士文化元素。依托</w:t>
      </w:r>
      <w:r>
        <w:rPr>
          <w:rFonts w:hint="eastAsia" w:ascii="仿宋_GB2312" w:hAnsi="仿宋"/>
          <w:szCs w:val="32"/>
        </w:rPr>
        <w:t>黄台车站、山东大学老校建筑群等载体</w:t>
      </w:r>
      <w:r>
        <w:rPr>
          <w:rFonts w:hint="eastAsia" w:ascii="仿宋_GB2312" w:hAnsi="仿宋_GB2312" w:cs="仿宋_GB2312"/>
          <w:szCs w:val="20"/>
          <w:shd w:val="clear" w:color="auto" w:fill="FFFFFF"/>
        </w:rPr>
        <w:t>，融汇东西方文化、发扬开放文化，提升</w:t>
      </w:r>
      <w:r>
        <w:rPr>
          <w:rFonts w:hint="eastAsia" w:ascii="仿宋_GB2312" w:hAnsi="仿宋_GB2312" w:cs="仿宋_GB2312"/>
          <w:szCs w:val="32"/>
        </w:rPr>
        <w:t>文化包容度。</w:t>
      </w:r>
    </w:p>
    <w:p>
      <w:pPr>
        <w:overflowPunct w:val="0"/>
        <w:spacing w:line="560" w:lineRule="exact"/>
        <w:ind w:firstLine="643"/>
        <w:jc w:val="both"/>
        <w:rPr>
          <w:rFonts w:ascii="仿宋_GB2312" w:hAnsi="仿宋_GB2312" w:cs="仿宋_GB2312"/>
          <w:szCs w:val="20"/>
        </w:rPr>
      </w:pPr>
      <w:r>
        <w:rPr>
          <w:rFonts w:hint="eastAsia" w:ascii="仿宋_GB2312" w:hAnsi="仿宋_GB2312" w:cs="仿宋_GB2312"/>
          <w:b/>
          <w:szCs w:val="20"/>
        </w:rPr>
        <w:t>创建文明城市典范。</w:t>
      </w:r>
      <w:r>
        <w:rPr>
          <w:rFonts w:hint="eastAsia" w:ascii="仿宋_GB2312" w:hAnsi="仿宋_GB2312" w:cs="仿宋_GB2312"/>
          <w:szCs w:val="32"/>
        </w:rPr>
        <w:t>深入开展习近平新时代中国特色社会主义思想学习教育，传承红色革命精神，</w:t>
      </w:r>
      <w:r>
        <w:rPr>
          <w:rFonts w:hint="eastAsia" w:ascii="仿宋_GB2312" w:hAnsi="仿宋_GB2312" w:cs="仿宋_GB2312"/>
          <w:szCs w:val="20"/>
        </w:rPr>
        <w:t>弘扬中华优秀革命文化、社会主义先进文化，培育和践行社会主义核心价值观，</w:t>
      </w:r>
      <w:r>
        <w:rPr>
          <w:rFonts w:hint="eastAsia" w:ascii="仿宋_GB2312" w:hAnsi="仿宋_GB2312" w:cs="仿宋_GB2312"/>
          <w:szCs w:val="32"/>
        </w:rPr>
        <w:t>实现理想信念教育常态化制度化。</w:t>
      </w:r>
      <w:r>
        <w:rPr>
          <w:rFonts w:hint="eastAsia" w:ascii="Times New Roman" w:hAnsi="Times New Roman" w:cs="宋体"/>
          <w:szCs w:val="20"/>
        </w:rPr>
        <w:t>持续开展文明城市创建</w:t>
      </w:r>
      <w:r>
        <w:rPr>
          <w:rFonts w:hint="eastAsia" w:ascii="仿宋_GB2312" w:hAnsi="仿宋_GB2312" w:cs="仿宋_GB2312"/>
          <w:szCs w:val="32"/>
        </w:rPr>
        <w:t>，全面推进文明城市、文明村镇、文明单位、文明家庭、文明校园“五大创建”行动。</w:t>
      </w:r>
      <w:r>
        <w:rPr>
          <w:rFonts w:hint="eastAsia" w:ascii="仿宋_GB2312" w:hAnsi="仿宋_GB2312" w:cs="仿宋_GB2312"/>
          <w:szCs w:val="20"/>
          <w:shd w:val="clear" w:color="auto" w:fill="FFFFFF"/>
        </w:rPr>
        <w:t>深化新时代公民道德培育，传承中华传统美德，</w:t>
      </w:r>
      <w:r>
        <w:rPr>
          <w:rFonts w:hint="eastAsia" w:ascii="仿宋_GB2312" w:hAnsi="仿宋_GB2312" w:cs="仿宋_GB2312"/>
          <w:szCs w:val="32"/>
        </w:rPr>
        <w:t>建好用好新时代文明实践中心。健全志愿服务体系，</w:t>
      </w:r>
      <w:r>
        <w:rPr>
          <w:rFonts w:hint="eastAsia" w:ascii="仿宋_GB2312" w:hAnsi="仿宋_GB2312" w:cs="仿宋_GB2312"/>
          <w:szCs w:val="20"/>
        </w:rPr>
        <w:t>广泛开展志愿服务关爱行动。推进文明乡风建设，实施“乡村记忆”工程，大力</w:t>
      </w:r>
      <w:r>
        <w:rPr>
          <w:rFonts w:hint="eastAsia" w:ascii="仿宋_GB2312" w:hAnsi="仿宋_GB2312" w:cs="仿宋_GB2312"/>
          <w:kern w:val="0"/>
          <w:szCs w:val="20"/>
        </w:rPr>
        <w:t>弘扬乡风文明。</w:t>
      </w:r>
      <w:r>
        <w:rPr>
          <w:rFonts w:hint="eastAsia" w:ascii="仿宋_GB2312" w:hAnsi="仿宋_GB2312" w:cs="仿宋_GB2312"/>
          <w:szCs w:val="20"/>
        </w:rPr>
        <w:t>倡导网络文明，深入开展网上宣传教育活动，营造文明健康、积极向上的网络育人环境。</w:t>
      </w:r>
    </w:p>
    <w:p>
      <w:pPr>
        <w:overflowPunct w:val="0"/>
        <w:spacing w:line="560" w:lineRule="exact"/>
        <w:ind w:firstLine="643"/>
        <w:jc w:val="both"/>
        <w:rPr>
          <w:rFonts w:ascii="仿宋_GB2312" w:hAnsi="仿宋_GB2312" w:cs="仿宋_GB2312"/>
          <w:szCs w:val="20"/>
        </w:rPr>
      </w:pPr>
      <w:r>
        <w:rPr>
          <w:rFonts w:hint="eastAsia" w:ascii="Times New Roman" w:hAnsi="Times New Roman" w:cs="宋体"/>
          <w:b/>
        </w:rPr>
        <w:t>加大文化宣传力度。</w:t>
      </w:r>
      <w:r>
        <w:rPr>
          <w:rFonts w:hint="eastAsia" w:ascii="Times New Roman" w:hAnsi="Times New Roman" w:cs="宋体"/>
          <w:bCs/>
        </w:rPr>
        <w:t>深化“</w:t>
      </w:r>
      <w:r>
        <w:rPr>
          <w:rFonts w:hint="eastAsia" w:ascii="仿宋_GB2312" w:hAnsi="仿宋_GB2312" w:cs="仿宋_GB2312"/>
          <w:bCs/>
          <w:szCs w:val="32"/>
        </w:rPr>
        <w:t>历城融媒</w:t>
      </w:r>
      <w:r>
        <w:rPr>
          <w:rFonts w:hint="eastAsia" w:ascii="Times New Roman" w:hAnsi="Times New Roman" w:cs="宋体"/>
          <w:bCs/>
        </w:rPr>
        <w:t>”平台建设，优化平台供给内容，增强政务服务功能，加快推进媒体深度融合发展，形成全媒体对外传播格局，</w:t>
      </w:r>
      <w:r>
        <w:rPr>
          <w:rFonts w:hint="eastAsia" w:ascii="仿宋_GB2312" w:hAnsi="等线"/>
          <w:szCs w:val="32"/>
        </w:rPr>
        <w:t>打造新时代历城文化学习传播实践重要阵地。</w:t>
      </w:r>
      <w:r>
        <w:rPr>
          <w:rFonts w:hint="eastAsia" w:ascii="仿宋_GB2312" w:hAnsi="仿宋_GB2312" w:cs="仿宋_GB2312"/>
          <w:szCs w:val="32"/>
        </w:rPr>
        <w:t>开展“道德模范”“身边好人”“出彩人家”“最美践行者”等选树活动。加强文化宣传教育力度，积极组织文化进企业、进农村、进机关、进校园、进社区活动。大力开展</w:t>
      </w:r>
      <w:r>
        <w:rPr>
          <w:rFonts w:hint="eastAsia" w:ascii="Times New Roman" w:hAnsi="Times New Roman" w:cs="宋体"/>
        </w:rPr>
        <w:t>对外文化交流工作，积极办好华山音乐节、</w:t>
      </w:r>
      <w:r>
        <w:rPr>
          <w:rFonts w:hint="eastAsia" w:ascii="仿宋_GB2312" w:hAnsi="仿宋_GB2312" w:cs="仿宋_GB2312"/>
          <w:szCs w:val="32"/>
        </w:rPr>
        <w:t>中国草莓文化旅游节</w:t>
      </w:r>
      <w:r>
        <w:rPr>
          <w:rFonts w:hint="eastAsia" w:ascii="Times New Roman" w:hAnsi="Times New Roman" w:cs="宋体"/>
        </w:rPr>
        <w:t>等重大文化活动，提高历城文化对外影响力。</w:t>
      </w:r>
      <w:r>
        <w:rPr>
          <w:rFonts w:hint="eastAsia" w:ascii="仿宋_GB2312" w:hAnsi="仿宋_GB2312" w:cs="仿宋_GB2312"/>
          <w:szCs w:val="20"/>
        </w:rPr>
        <w:t>提倡艰苦奋斗，大力开展以劳动创造幸福为主题的宣传教育活动。</w:t>
      </w:r>
      <w:r>
        <w:rPr>
          <w:rFonts w:hint="eastAsia" w:ascii="Times New Roman" w:hAnsi="Times New Roman" w:cs="宋体"/>
        </w:rPr>
        <w:t>重视新闻发布工作，</w:t>
      </w:r>
      <w:r>
        <w:rPr>
          <w:rFonts w:hint="eastAsia" w:ascii="Times New Roman" w:hAnsi="宋体" w:cs="宋体"/>
          <w:kern w:val="0"/>
          <w:szCs w:val="36"/>
        </w:rPr>
        <w:t>积极回应社会关切。</w:t>
      </w:r>
    </w:p>
    <w:p>
      <w:pPr>
        <w:pStyle w:val="4"/>
        <w:spacing w:line="560" w:lineRule="exact"/>
      </w:pPr>
      <w:bookmarkStart w:id="163" w:name="_Toc56021680"/>
      <w:bookmarkStart w:id="164" w:name="_Toc56016208"/>
      <w:bookmarkStart w:id="165" w:name="_Toc28899"/>
      <w:bookmarkStart w:id="166" w:name="_Toc15613"/>
      <w:bookmarkStart w:id="167" w:name="_Toc20536"/>
      <w:bookmarkStart w:id="168" w:name="_Toc13614"/>
      <w:bookmarkStart w:id="169" w:name="_Toc28945"/>
      <w:r>
        <w:rPr>
          <w:rFonts w:hint="eastAsia"/>
        </w:rPr>
        <w:t>第二节</w:t>
      </w:r>
      <w:bookmarkEnd w:id="163"/>
      <w:bookmarkEnd w:id="164"/>
      <w:r>
        <w:rPr>
          <w:rFonts w:hint="eastAsia"/>
        </w:rPr>
        <w:t>激发公共文化服务效能</w:t>
      </w:r>
      <w:bookmarkEnd w:id="165"/>
      <w:bookmarkEnd w:id="166"/>
      <w:bookmarkEnd w:id="167"/>
      <w:bookmarkEnd w:id="168"/>
      <w:bookmarkEnd w:id="169"/>
    </w:p>
    <w:p>
      <w:pPr>
        <w:overflowPunct w:val="0"/>
        <w:spacing w:line="560" w:lineRule="exact"/>
        <w:jc w:val="both"/>
        <w:rPr>
          <w:rFonts w:ascii="仿宋_GB2312" w:hAnsi="仿宋_GB2312" w:cs="仿宋_GB2312"/>
          <w:szCs w:val="20"/>
          <w:shd w:val="clear" w:color="auto" w:fill="FFFFFF"/>
        </w:rPr>
      </w:pPr>
      <w:bookmarkStart w:id="170" w:name="_Toc56016209"/>
      <w:r>
        <w:rPr>
          <w:rFonts w:hint="eastAsia" w:ascii="仿宋_GB2312" w:hAnsi="仿宋_GB2312" w:cs="仿宋_GB2312"/>
          <w:szCs w:val="20"/>
          <w:shd w:val="clear" w:color="auto" w:fill="FFFFFF"/>
        </w:rPr>
        <w:t>实施文化惠民工程，加强公共文化基础设施建设，增加精神文化产品和服务供给，满足人民群众日益增长的文化需求，提升城市文化品质。</w:t>
      </w:r>
    </w:p>
    <w:p>
      <w:pPr>
        <w:overflowPunct w:val="0"/>
        <w:spacing w:line="560" w:lineRule="exact"/>
        <w:ind w:firstLine="643"/>
        <w:jc w:val="both"/>
        <w:rPr>
          <w:rFonts w:ascii="仿宋_GB2312" w:hAnsi="仿宋_GB2312" w:cs="仿宋_GB2312"/>
          <w:kern w:val="0"/>
          <w:szCs w:val="32"/>
        </w:rPr>
      </w:pPr>
      <w:r>
        <w:rPr>
          <w:rFonts w:hint="eastAsia" w:ascii="仿宋_GB2312" w:hAnsi="仿宋_GB2312" w:cs="仿宋_GB2312"/>
          <w:b/>
          <w:bCs/>
          <w:szCs w:val="32"/>
        </w:rPr>
        <w:t>优化公共文化设施布局。</w:t>
      </w:r>
      <w:r>
        <w:rPr>
          <w:rFonts w:hint="eastAsia" w:ascii="仿宋_GB2312" w:hAnsi="仿宋_GB2312" w:cs="仿宋_GB2312"/>
          <w:szCs w:val="32"/>
        </w:rPr>
        <w:t>加大公共文化建设投入，完善区、街道、村（社区）三级公共文化服务体系。加</w:t>
      </w:r>
      <w:r>
        <w:rPr>
          <w:rFonts w:hint="eastAsia" w:ascii="仿宋_GB2312" w:hAnsi="仿宋_GB2312" w:cs="仿宋_GB2312"/>
        </w:rPr>
        <w:t>快公共文化设施提档升级，</w:t>
      </w:r>
      <w:r>
        <w:rPr>
          <w:rFonts w:hint="eastAsia" w:ascii="仿宋_GB2312" w:hAnsi="仿宋_GB2312" w:cs="仿宋_GB2312"/>
          <w:szCs w:val="20"/>
        </w:rPr>
        <w:t>优化区文博中心、</w:t>
      </w:r>
      <w:r>
        <w:rPr>
          <w:rFonts w:hint="eastAsia" w:ascii="仿宋_GB2312" w:hAnsi="仿宋_GB2312" w:cs="仿宋_GB2312"/>
          <w:szCs w:val="32"/>
        </w:rPr>
        <w:t>街道文化站、社区（村）综合性文化服务中心服务效能</w:t>
      </w:r>
      <w:r>
        <w:rPr>
          <w:rFonts w:hint="eastAsia" w:ascii="仿宋_GB2312" w:hAnsi="仿宋_GB2312" w:cs="仿宋_GB2312"/>
          <w:kern w:val="0"/>
          <w:szCs w:val="32"/>
        </w:rPr>
        <w:t>。加快区文化馆和区图书馆总分馆、泉城书房、市民中心、山东画院、新华书店建设，打造城区文化综合体</w:t>
      </w:r>
      <w:bookmarkEnd w:id="170"/>
      <w:r>
        <w:rPr>
          <w:rFonts w:hint="eastAsia" w:ascii="仿宋_GB2312" w:hAnsi="仿宋_GB2312" w:cs="仿宋_GB2312"/>
          <w:kern w:val="0"/>
          <w:szCs w:val="32"/>
        </w:rPr>
        <w:t>，全面提高文化服务供给水平。</w:t>
      </w:r>
    </w:p>
    <w:p>
      <w:pPr>
        <w:overflowPunct w:val="0"/>
        <w:spacing w:line="560" w:lineRule="exact"/>
        <w:ind w:firstLine="643"/>
        <w:jc w:val="both"/>
        <w:rPr>
          <w:rFonts w:ascii="仿宋_GB2312" w:hAnsi="仿宋_GB2312" w:cs="仿宋_GB2312"/>
          <w:szCs w:val="32"/>
        </w:rPr>
      </w:pPr>
      <w:bookmarkStart w:id="171" w:name="_Toc56016210"/>
      <w:r>
        <w:rPr>
          <w:rFonts w:hint="eastAsia" w:ascii="仿宋_GB2312" w:hAnsi="仿宋_GB2312" w:cs="仿宋_GB2312"/>
          <w:b/>
          <w:bCs/>
          <w:szCs w:val="32"/>
        </w:rPr>
        <w:t>提升公共文化服务水平。</w:t>
      </w:r>
      <w:r>
        <w:rPr>
          <w:rFonts w:hint="eastAsia" w:ascii="仿宋_GB2312" w:hAnsi="仿宋_GB2312" w:cs="仿宋_GB2312"/>
          <w:szCs w:val="20"/>
        </w:rPr>
        <w:t>均衡配置城乡公共文化资源，加强城市对农村文化建设的帮扶，完善城区15分钟和农村30分钟公共文化服务圈。</w:t>
      </w:r>
      <w:r>
        <w:rPr>
          <w:rFonts w:hint="eastAsia" w:ascii="仿宋_GB2312" w:hAnsi="仿宋_GB2312" w:cs="仿宋_GB2312"/>
          <w:szCs w:val="32"/>
        </w:rPr>
        <w:t>加大财政资金扶持力度，设立文化事业专项资金，举办公益性文化活动。</w:t>
      </w:r>
      <w:r>
        <w:rPr>
          <w:rFonts w:hint="eastAsia" w:ascii="仿宋_GB2312" w:hAnsi="仿宋_GB2312" w:cs="仿宋_GB2312"/>
          <w:szCs w:val="20"/>
        </w:rPr>
        <w:t>搭建公共文化云平台，</w:t>
      </w:r>
      <w:r>
        <w:rPr>
          <w:rFonts w:hint="eastAsia" w:ascii="仿宋_GB2312" w:hAnsi="仿宋_GB2312" w:cs="仿宋_GB2312"/>
          <w:szCs w:val="32"/>
        </w:rPr>
        <w:t>完善数字文化馆与数字图书馆建设，提升公共文化服务数字化水平</w:t>
      </w:r>
      <w:r>
        <w:rPr>
          <w:rFonts w:hint="eastAsia" w:ascii="仿宋_GB2312" w:hAnsi="仿宋_GB2312" w:cs="仿宋_GB2312"/>
          <w:szCs w:val="20"/>
        </w:rPr>
        <w:t>。</w:t>
      </w:r>
      <w:r>
        <w:rPr>
          <w:rFonts w:hint="eastAsia" w:ascii="仿宋_GB2312" w:hAnsi="仿宋_GB2312" w:cs="仿宋_GB2312"/>
          <w:szCs w:val="32"/>
        </w:rPr>
        <w:t>倡导全民阅读，推广全福街道“泉城书房”模式，扩大“书香历城”影响力。壮大基层文化人才队伍，提升基层文化艺术队伍整体素质。实施文艺精品创作工程，动员驻地高校院所、文化文艺机构和文艺工作者全面参与，挖掘历城本土素材，按照“有文化、有故事、有灵魂”的标准，不断创作和推出群众喜闻乐见的歌曲、戏曲、舞蹈、动漫、影视、新媒体等主流价值文艺精品。</w:t>
      </w:r>
    </w:p>
    <w:bookmarkEnd w:id="171"/>
    <w:p>
      <w:pPr>
        <w:pStyle w:val="4"/>
        <w:spacing w:line="560" w:lineRule="exact"/>
      </w:pPr>
      <w:bookmarkStart w:id="172" w:name="_Toc56021681"/>
      <w:bookmarkStart w:id="173" w:name="_Toc22186"/>
      <w:bookmarkStart w:id="174" w:name="_Toc9223"/>
      <w:bookmarkStart w:id="175" w:name="_Toc19718"/>
      <w:bookmarkStart w:id="176" w:name="_Toc23687"/>
      <w:bookmarkStart w:id="177" w:name="_Toc31179"/>
      <w:r>
        <w:rPr>
          <w:rFonts w:hint="eastAsia"/>
        </w:rPr>
        <w:t>第三节释放文化产业</w:t>
      </w:r>
      <w:bookmarkEnd w:id="172"/>
      <w:r>
        <w:rPr>
          <w:rFonts w:hint="eastAsia"/>
        </w:rPr>
        <w:t>发展活力</w:t>
      </w:r>
      <w:bookmarkEnd w:id="173"/>
      <w:bookmarkEnd w:id="174"/>
      <w:bookmarkEnd w:id="175"/>
      <w:bookmarkEnd w:id="176"/>
      <w:bookmarkEnd w:id="177"/>
    </w:p>
    <w:p>
      <w:pPr>
        <w:overflowPunct w:val="0"/>
        <w:spacing w:line="560" w:lineRule="exact"/>
        <w:jc w:val="both"/>
        <w:rPr>
          <w:rFonts w:ascii="Times New Roman" w:hAnsi="Times New Roman"/>
          <w:szCs w:val="20"/>
          <w:shd w:val="clear" w:color="auto" w:fill="FFFFFF"/>
        </w:rPr>
      </w:pPr>
      <w:r>
        <w:rPr>
          <w:rFonts w:hint="eastAsia" w:ascii="仿宋_GB2312" w:hAnsi="Times New Roman" w:cs="宋体"/>
          <w:szCs w:val="32"/>
        </w:rPr>
        <w:t>将促进满足人民文化需求和增强人民精神力量相统一，释放文化产业发展活力，健全现代化文化产业体系，加快发展新型文化企业、文化业态、文化消费模式，</w:t>
      </w:r>
      <w:r>
        <w:rPr>
          <w:rFonts w:hint="eastAsia" w:ascii="Times New Roman" w:hAnsi="Times New Roman"/>
          <w:szCs w:val="20"/>
          <w:shd w:val="clear" w:color="auto" w:fill="FFFFFF"/>
        </w:rPr>
        <w:t>构建全域旅游格局，以文化产业新生态赋能经济社会发展。</w:t>
      </w:r>
    </w:p>
    <w:p>
      <w:pPr>
        <w:overflowPunct w:val="0"/>
        <w:spacing w:line="560" w:lineRule="exact"/>
        <w:ind w:firstLine="643"/>
        <w:jc w:val="both"/>
        <w:rPr>
          <w:rFonts w:ascii="仿宋_GB2312" w:hAnsi="Times New Roman"/>
          <w:szCs w:val="32"/>
        </w:rPr>
      </w:pPr>
      <w:r>
        <w:rPr>
          <w:rFonts w:hint="eastAsia" w:ascii="仿宋_GB2312" w:hAnsi="Times New Roman"/>
          <w:b/>
          <w:bCs/>
          <w:szCs w:val="32"/>
        </w:rPr>
        <w:t>完善文化产业体系。</w:t>
      </w:r>
      <w:r>
        <w:rPr>
          <w:rFonts w:hint="eastAsia" w:ascii="Times New Roman" w:hAnsi="Times New Roman"/>
          <w:szCs w:val="20"/>
        </w:rPr>
        <w:t>坚持把社会效益放在首位、社会效益和经济效益相统一，深化文化体制改革，完善文化产业规划和政策，加强文化市场体系建设。</w:t>
      </w:r>
      <w:r>
        <w:rPr>
          <w:rFonts w:hint="eastAsia" w:ascii="仿宋_GB2312" w:hAnsi="Times New Roman"/>
          <w:szCs w:val="32"/>
        </w:rPr>
        <w:t>实施文化产业数字化战略，推进文化产业“上云用数赋智”，</w:t>
      </w:r>
      <w:r>
        <w:rPr>
          <w:rFonts w:hint="eastAsia" w:ascii="Times New Roman" w:hAnsi="Times New Roman"/>
          <w:szCs w:val="20"/>
        </w:rPr>
        <w:t>加快印刷、新闻出版等传统文化产业向数字印刷、数字出版等新兴文化产业转型升级。依托德云文化广场、融创文旅城、</w:t>
      </w:r>
      <w:r>
        <w:rPr>
          <w:rFonts w:hint="eastAsia" w:ascii="仿宋" w:hAnsi="仿宋" w:eastAsia="仿宋" w:cs="仿宋"/>
          <w:szCs w:val="32"/>
        </w:rPr>
        <w:t>中国（唐冶）国际新媒体产业园</w:t>
      </w:r>
      <w:r>
        <w:rPr>
          <w:rFonts w:hint="eastAsia" w:ascii="Times New Roman" w:hAnsi="Times New Roman"/>
          <w:szCs w:val="20"/>
        </w:rPr>
        <w:t>等文化载体，发展壮大各类文化产业主体。</w:t>
      </w:r>
      <w:r>
        <w:rPr>
          <w:rFonts w:hint="eastAsia" w:ascii="仿宋_GB2312" w:hAnsi="Times New Roman" w:cs="宋体"/>
          <w:szCs w:val="32"/>
        </w:rPr>
        <w:t>规划建设现代文化产业园区，</w:t>
      </w:r>
      <w:r>
        <w:rPr>
          <w:rFonts w:hint="eastAsia" w:ascii="仿宋_GB2312" w:hAnsi="Times New Roman"/>
          <w:szCs w:val="32"/>
        </w:rPr>
        <w:t>重点发展影视动漫、</w:t>
      </w:r>
      <w:r>
        <w:rPr>
          <w:rFonts w:hint="eastAsia" w:ascii="仿宋_GB2312" w:hAnsi="Times New Roman" w:cs="宋体"/>
          <w:szCs w:val="32"/>
        </w:rPr>
        <w:t>演艺娱乐、</w:t>
      </w:r>
      <w:r>
        <w:rPr>
          <w:rFonts w:hint="eastAsia" w:ascii="仿宋_GB2312" w:hAnsi="Times New Roman"/>
          <w:szCs w:val="32"/>
        </w:rPr>
        <w:t>广告策划、创意设计、数字媒体、3D打印、非遗传承、传统手工艺等多门类文化业态，融合多元文化场景，打造文创产业聚集地。</w:t>
      </w:r>
    </w:p>
    <w:p>
      <w:pPr>
        <w:overflowPunct w:val="0"/>
        <w:spacing w:line="560" w:lineRule="exact"/>
        <w:ind w:firstLine="643"/>
        <w:jc w:val="both"/>
        <w:rPr>
          <w:rFonts w:ascii="Times New Roman" w:hAnsi="Times New Roman" w:cs="宋体"/>
          <w:b/>
          <w:bCs/>
        </w:rPr>
      </w:pPr>
      <w:r>
        <w:rPr>
          <w:rFonts w:hint="eastAsia" w:ascii="Times New Roman" w:hAnsi="Times New Roman" w:cs="宋体"/>
          <w:b/>
          <w:bCs/>
        </w:rPr>
        <w:t>优化文化产业生态。</w:t>
      </w:r>
      <w:r>
        <w:rPr>
          <w:rFonts w:hint="eastAsia" w:ascii="仿宋_GB2312" w:hAnsi="仿宋" w:cs="宋体"/>
          <w:szCs w:val="32"/>
        </w:rPr>
        <w:t>深化文化体制改革，</w:t>
      </w:r>
      <w:r>
        <w:rPr>
          <w:rFonts w:hint="eastAsia" w:ascii="Times New Roman" w:hAnsi="Times New Roman" w:cs="宋体"/>
        </w:rPr>
        <w:t>推动文化企业</w:t>
      </w:r>
      <w:r>
        <w:rPr>
          <w:rFonts w:ascii="仿宋_GB2312" w:hAnsi="Times New Roman"/>
          <w:szCs w:val="32"/>
        </w:rPr>
        <w:t>建立现代企业制度</w:t>
      </w:r>
      <w:r>
        <w:rPr>
          <w:rFonts w:hint="eastAsia" w:ascii="仿宋_GB2312" w:hAnsi="Times New Roman"/>
          <w:szCs w:val="32"/>
        </w:rPr>
        <w:t>，</w:t>
      </w:r>
      <w:r>
        <w:rPr>
          <w:rFonts w:ascii="仿宋_GB2312" w:hAnsi="Times New Roman"/>
          <w:szCs w:val="32"/>
        </w:rPr>
        <w:t>完善法人治理结构</w:t>
      </w:r>
      <w:r>
        <w:rPr>
          <w:rFonts w:hint="eastAsia" w:ascii="仿宋_GB2312" w:hAnsi="Times New Roman"/>
          <w:szCs w:val="32"/>
        </w:rPr>
        <w:t>，激发文化产业发展活力。</w:t>
      </w:r>
      <w:r>
        <w:rPr>
          <w:rFonts w:hint="eastAsia" w:ascii="仿宋_GB2312" w:hAnsi="仿宋" w:cs="宋体"/>
          <w:szCs w:val="32"/>
        </w:rPr>
        <w:t>在财政奖补、土地供给、税收扶持、产权交易等方面探索出台优惠政策，</w:t>
      </w:r>
      <w:r>
        <w:rPr>
          <w:rFonts w:hint="eastAsia" w:ascii="Times New Roman" w:hAnsi="Times New Roman"/>
          <w:szCs w:val="20"/>
        </w:rPr>
        <w:t>策划一批</w:t>
      </w:r>
      <w:r>
        <w:rPr>
          <w:rFonts w:ascii="Times New Roman" w:hAnsi="Times New Roman"/>
          <w:szCs w:val="20"/>
        </w:rPr>
        <w:t>重大文创项目</w:t>
      </w:r>
      <w:r>
        <w:rPr>
          <w:rFonts w:hint="eastAsia" w:ascii="Times New Roman" w:hAnsi="Times New Roman"/>
          <w:szCs w:val="20"/>
        </w:rPr>
        <w:t>。强化金融支持，</w:t>
      </w:r>
      <w:r>
        <w:rPr>
          <w:rFonts w:hint="eastAsia" w:ascii="仿宋_GB2312" w:hAnsi="仿宋" w:cs="宋体"/>
          <w:szCs w:val="32"/>
        </w:rPr>
        <w:t>探索设立文化股权投资基金、产业引导资金、债券及政策性补贴，全力支持文化科技研发。</w:t>
      </w:r>
      <w:r>
        <w:rPr>
          <w:rFonts w:hint="eastAsia" w:ascii="仿宋_GB2312" w:hAnsi="仿宋_GB2312" w:cs="仿宋_GB2312"/>
          <w:szCs w:val="32"/>
        </w:rPr>
        <w:t>大力倡导知识产权文化，营造“尊重知识、崇尚创新”的浓厚氛围。</w:t>
      </w:r>
    </w:p>
    <w:p>
      <w:pPr>
        <w:spacing w:line="560" w:lineRule="exact"/>
        <w:ind w:firstLine="643"/>
        <w:contextualSpacing/>
        <w:jc w:val="both"/>
        <w:rPr>
          <w:rFonts w:ascii="仿宋_GB2312" w:hAnsi="Times New Roman"/>
          <w:szCs w:val="32"/>
        </w:rPr>
      </w:pPr>
      <w:r>
        <w:rPr>
          <w:rFonts w:hint="eastAsia" w:ascii="仿宋_GB2312" w:hAnsi="Times New Roman"/>
          <w:b/>
          <w:bCs/>
          <w:szCs w:val="32"/>
        </w:rPr>
        <w:t>构建全域旅游格局。</w:t>
      </w:r>
      <w:r>
        <w:rPr>
          <w:rFonts w:hint="eastAsia" w:ascii="仿宋_GB2312" w:hAnsi="Times New Roman"/>
          <w:szCs w:val="32"/>
        </w:rPr>
        <w:t>加快文旅融合发展，以黄河文化、鹊华文化为脉络，做好黄河、华山等旅游资源的挖掘开发、整理提升、宣传推广，创建具有历城特色的区域性文化旅游品牌。</w:t>
      </w:r>
      <w:r>
        <w:rPr>
          <w:rFonts w:hint="eastAsia" w:ascii="仿宋_GB2312" w:hAnsi="Times New Roman" w:cs="宋体"/>
        </w:rPr>
        <w:t>以“一廊（鹊华视廊）、两曲（黄河九曲和十曲）、三桥（黄河公路大桥、石济客专大桥、凤凰路大桥）”为核心景观，塑造“依水、背绿、望山”的生态旅游格局。</w:t>
      </w:r>
      <w:r>
        <w:rPr>
          <w:rFonts w:hint="eastAsia" w:ascii="仿宋_GB2312" w:hAnsi="Times New Roman"/>
          <w:szCs w:val="32"/>
        </w:rPr>
        <w:t>分类整合各类文旅资源，建设一批富有文化特色的旅游景区和度假区，打造多条特色文化精品旅游线路</w:t>
      </w:r>
      <w:r>
        <w:rPr>
          <w:rFonts w:hint="eastAsia" w:ascii="仿宋_GB2312" w:hAnsi="Times New Roman" w:cs="宋体"/>
        </w:rPr>
        <w:t>。实施精细旅游服务、精致旅游管理，做好全区旅游景观和配套服务水平提升，</w:t>
      </w:r>
      <w:r>
        <w:rPr>
          <w:rFonts w:ascii="Times New Roman" w:hAnsi="Times New Roman"/>
          <w:szCs w:val="20"/>
        </w:rPr>
        <w:t>优化</w:t>
      </w:r>
      <w:r>
        <w:rPr>
          <w:rFonts w:hint="eastAsia" w:ascii="仿宋_GB2312" w:hAnsi="Times New Roman"/>
        </w:rPr>
        <w:t>“吃住行游购娱”</w:t>
      </w:r>
      <w:r>
        <w:rPr>
          <w:rFonts w:ascii="Times New Roman" w:hAnsi="Times New Roman"/>
          <w:szCs w:val="20"/>
        </w:rPr>
        <w:t>旅游消费环境</w:t>
      </w:r>
      <w:r>
        <w:rPr>
          <w:rFonts w:hint="eastAsia" w:ascii="Times New Roman" w:hAnsi="Times New Roman"/>
          <w:szCs w:val="20"/>
        </w:rPr>
        <w:t>。</w:t>
      </w:r>
      <w:r>
        <w:rPr>
          <w:rFonts w:hint="eastAsia" w:ascii="仿宋_GB2312" w:hAnsi="Times New Roman"/>
          <w:szCs w:val="32"/>
          <w:lang w:val="zh-CN"/>
        </w:rPr>
        <w:t>利用微博、微信等互联网媒体，打造一批</w:t>
      </w:r>
      <w:r>
        <w:rPr>
          <w:rFonts w:hint="eastAsia" w:ascii="仿宋_GB2312" w:hAnsi="Times New Roman"/>
          <w:szCs w:val="32"/>
        </w:rPr>
        <w:t>“网红打卡地”，加大城市文化宣传。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pPr>
              <w:overflowPunct w:val="0"/>
              <w:spacing w:line="240" w:lineRule="auto"/>
              <w:ind w:firstLine="0" w:firstLineChars="0"/>
              <w:jc w:val="center"/>
              <w:rPr>
                <w:rFonts w:ascii="楷体_GB2312" w:hAnsi="楷体_GB2312" w:eastAsia="楷体_GB2312" w:cs="楷体_GB2312"/>
                <w:bCs/>
                <w:sz w:val="28"/>
                <w:szCs w:val="28"/>
              </w:rPr>
            </w:pPr>
            <w:r>
              <w:rPr>
                <w:rFonts w:hint="eastAsia" w:ascii="楷体_GB2312" w:hAnsi="楷体_GB2312" w:eastAsia="楷体_GB2312" w:cs="楷体_GB2312"/>
                <w:b/>
                <w:bCs/>
                <w:sz w:val="28"/>
                <w:szCs w:val="28"/>
              </w:rPr>
              <w:t>专栏11.1 文化、旅游项目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pPr>
              <w:overflowPunct w:val="0"/>
              <w:spacing w:line="240" w:lineRule="auto"/>
              <w:ind w:firstLine="560"/>
              <w:jc w:val="both"/>
              <w:rPr>
                <w:rFonts w:ascii="宋体" w:hAnsi="宋体" w:eastAsia="楷体_GB2312" w:cs="楷体_GB2312"/>
                <w:kern w:val="0"/>
                <w:sz w:val="28"/>
                <w:szCs w:val="28"/>
              </w:rPr>
            </w:pPr>
            <w:r>
              <w:rPr>
                <w:rFonts w:hint="eastAsia" w:ascii="楷体_GB2312" w:hAnsi="楷体_GB2312" w:eastAsia="楷体_GB2312" w:cs="楷体_GB2312"/>
                <w:bCs/>
                <w:sz w:val="28"/>
                <w:szCs w:val="28"/>
              </w:rPr>
              <w:t>黄河鹊华文创水乡项目、华山生态文旅项目、空天信息主题公园项目、</w:t>
            </w:r>
            <w:r>
              <w:rPr>
                <w:rFonts w:hint="eastAsia" w:ascii="楷体_GB2312" w:hAnsi="楷体_GB2312" w:eastAsia="楷体_GB2312" w:cs="楷体_GB2312"/>
                <w:sz w:val="28"/>
                <w:szCs w:val="28"/>
              </w:rPr>
              <w:t>大辛庄考古遗址公园、济钢文化创意城市服务产业园项目、</w:t>
            </w:r>
            <w:r>
              <w:rPr>
                <w:rFonts w:hint="eastAsia" w:ascii="楷体_GB2312" w:hAnsi="楷体_GB2312" w:eastAsia="楷体_GB2312" w:cs="楷体_GB2312"/>
                <w:bCs/>
                <w:sz w:val="28"/>
                <w:szCs w:val="28"/>
              </w:rPr>
              <w:t>工北21号科创生态园项目、西周城市记忆项目、山东画院文化公园项目、盐仓码头项目、彩石民宿项目、捎近古村项目、荷花汤池度假村项目。</w:t>
            </w:r>
          </w:p>
        </w:tc>
      </w:tr>
    </w:tbl>
    <w:p>
      <w:pPr>
        <w:spacing w:line="240" w:lineRule="auto"/>
        <w:ind w:firstLine="560"/>
        <w:jc w:val="center"/>
        <w:rPr>
          <w:rFonts w:ascii="楷体_GB2312" w:hAnsi="楷体_GB2312" w:eastAsia="楷体_GB2312" w:cs="楷体_GB2312"/>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40" w:lineRule="auto"/>
              <w:ind w:firstLine="0" w:firstLineChars="0"/>
              <w:jc w:val="center"/>
              <w:rPr>
                <w:rFonts w:ascii="楷体_GB2312" w:hAnsi="楷体_GB2312" w:eastAsia="楷体_GB2312" w:cs="楷体_GB2312"/>
                <w:bCs/>
                <w:sz w:val="28"/>
                <w:szCs w:val="28"/>
              </w:rPr>
            </w:pPr>
            <w:r>
              <w:rPr>
                <w:rFonts w:hint="eastAsia" w:ascii="楷体_GB2312" w:hAnsi="楷体_GB2312" w:eastAsia="楷体_GB2312" w:cs="楷体_GB2312"/>
                <w:b/>
                <w:bCs/>
                <w:sz w:val="28"/>
                <w:szCs w:val="28"/>
              </w:rPr>
              <w:t>专栏11.2 文化产业重大平台载体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overflowPunct w:val="0"/>
              <w:spacing w:line="240" w:lineRule="auto"/>
              <w:ind w:firstLine="562"/>
              <w:rPr>
                <w:rFonts w:ascii="楷体_GB2312" w:hAnsi="楷体_GB2312" w:eastAsia="楷体_GB2312" w:cs="楷体_GB2312"/>
                <w:sz w:val="28"/>
                <w:szCs w:val="28"/>
              </w:rPr>
            </w:pPr>
            <w:r>
              <w:rPr>
                <w:rFonts w:hint="eastAsia" w:ascii="楷体_GB2312" w:hAnsi="楷体_GB2312" w:eastAsia="楷体_GB2312" w:cs="楷体_GB2312"/>
                <w:b/>
                <w:bCs/>
                <w:sz w:val="28"/>
                <w:szCs w:val="28"/>
              </w:rPr>
              <w:t>德云文化广场。</w:t>
            </w:r>
            <w:r>
              <w:rPr>
                <w:rFonts w:hint="eastAsia" w:ascii="楷体_GB2312" w:hAnsi="楷体_GB2312" w:eastAsia="楷体_GB2312" w:cs="楷体_GB2312"/>
                <w:sz w:val="28"/>
                <w:szCs w:val="28"/>
              </w:rPr>
              <w:t>建设以德云社剧场为核心，集相声演艺、曲艺表演、婚庆餐饮、曲艺教育、文创展示等多业态为一体的城市文化综合体，打造济南新的文化名片，重现济南“曲山艺海”风采。</w:t>
            </w:r>
          </w:p>
          <w:p>
            <w:pPr>
              <w:overflowPunct w:val="0"/>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sz w:val="28"/>
                <w:szCs w:val="28"/>
              </w:rPr>
              <w:t>融创文旅城。</w:t>
            </w:r>
            <w:r>
              <w:rPr>
                <w:rFonts w:hint="eastAsia" w:ascii="楷体_GB2312" w:hAnsi="楷体_GB2312" w:eastAsia="楷体_GB2312" w:cs="楷体_GB2312"/>
                <w:sz w:val="28"/>
                <w:szCs w:val="28"/>
              </w:rPr>
              <w:t>建设山东首个集冰篮球馆、融创茂、主题乐园、五六星酒店、主题酒店、酒吧街、停车楼、宿舍、国际医院等业态的超大型文旅综合体，打造成为华北地区规模最大、业态最全的一站式世界级旅游目的地。</w:t>
            </w:r>
          </w:p>
          <w:p>
            <w:pPr>
              <w:overflowPunct w:val="0"/>
              <w:spacing w:line="240" w:lineRule="auto"/>
              <w:ind w:firstLine="562"/>
              <w:rPr>
                <w:rFonts w:ascii="楷体_GB2312" w:hAnsi="楷体_GB2312" w:eastAsia="楷体_GB2312" w:cs="楷体_GB2312"/>
                <w:kern w:val="0"/>
                <w:sz w:val="28"/>
                <w:szCs w:val="28"/>
              </w:rPr>
            </w:pPr>
            <w:r>
              <w:rPr>
                <w:rFonts w:hint="eastAsia" w:ascii="楷体_GB2312" w:hAnsi="楷体_GB2312" w:eastAsia="楷体_GB2312" w:cs="楷体_GB2312"/>
                <w:b/>
                <w:bCs/>
                <w:sz w:val="28"/>
                <w:szCs w:val="28"/>
              </w:rPr>
              <w:t>中国（唐冶）国际新媒体产业园。</w:t>
            </w:r>
            <w:r>
              <w:rPr>
                <w:rFonts w:hint="eastAsia" w:ascii="楷体_GB2312" w:hAnsi="楷体_GB2312" w:eastAsia="楷体_GB2312" w:cs="楷体_GB2312"/>
                <w:sz w:val="28"/>
                <w:szCs w:val="28"/>
              </w:rPr>
              <w:t>以新媒体产业为核心，打造以园区企业为主体、市场为导向、产学研相结合的文化科技创新体系，努力形成新媒体产业聚集和“凤岐型”种子企业快速成长的孵化空间，构建链接京津、沪杭互联网板块的新媒体产业高地。</w:t>
            </w:r>
          </w:p>
        </w:tc>
      </w:tr>
    </w:tbl>
    <w:p>
      <w:pPr>
        <w:spacing w:line="240" w:lineRule="auto"/>
        <w:ind w:firstLine="0" w:firstLineChars="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40" w:lineRule="auto"/>
              <w:ind w:firstLine="0" w:firstLineChars="0"/>
              <w:jc w:val="center"/>
              <w:rPr>
                <w:rFonts w:ascii="楷体_GB2312" w:hAnsi="楷体_GB2312" w:eastAsia="楷体_GB2312" w:cs="楷体_GB2312"/>
                <w:bCs/>
                <w:sz w:val="28"/>
                <w:szCs w:val="28"/>
              </w:rPr>
            </w:pPr>
            <w:r>
              <w:rPr>
                <w:rFonts w:hint="eastAsia" w:ascii="楷体_GB2312" w:hAnsi="楷体_GB2312" w:eastAsia="楷体_GB2312" w:cs="楷体_GB2312"/>
                <w:b/>
                <w:bCs/>
                <w:sz w:val="28"/>
                <w:szCs w:val="28"/>
              </w:rPr>
              <w:t>专栏11.3 精品文化旅游线路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overflowPunct w:val="0"/>
              <w:spacing w:line="240" w:lineRule="auto"/>
              <w:ind w:firstLine="562"/>
              <w:contextualSpacing/>
              <w:jc w:val="both"/>
              <w:rPr>
                <w:rFonts w:ascii="楷体_GB2312" w:hAnsi="楷体_GB2312" w:eastAsia="楷体_GB2312" w:cs="楷体_GB2312"/>
                <w:sz w:val="28"/>
                <w:szCs w:val="28"/>
              </w:rPr>
            </w:pPr>
            <w:r>
              <w:rPr>
                <w:rFonts w:hint="eastAsia" w:ascii="楷体_GB2312" w:hAnsi="楷体_GB2312" w:eastAsia="楷体_GB2312" w:cs="楷体_GB2312"/>
                <w:b/>
                <w:sz w:val="28"/>
                <w:szCs w:val="28"/>
              </w:rPr>
              <w:t>红色文化教育线。</w:t>
            </w:r>
            <w:r>
              <w:rPr>
                <w:rFonts w:hint="eastAsia" w:ascii="楷体_GB2312" w:hAnsi="楷体_GB2312" w:eastAsia="楷体_GB2312" w:cs="楷体_GB2312"/>
                <w:sz w:val="28"/>
                <w:szCs w:val="28"/>
              </w:rPr>
              <w:t>充分挖掘历城红色文化资源，加强红色文化保护与传承，加大红色文化遗存修缮保护力度，依托历城革命烈士陵园加快建设大王山党性教育基地，推动修建红色文化教育博览馆，鼓励红色题材文艺作品创作，让红色基因代代相传。</w:t>
            </w:r>
          </w:p>
          <w:p>
            <w:pPr>
              <w:overflowPunct w:val="0"/>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sz w:val="28"/>
                <w:szCs w:val="28"/>
              </w:rPr>
              <w:t>国潮文化体验线。</w:t>
            </w:r>
            <w:r>
              <w:rPr>
                <w:rFonts w:hint="eastAsia" w:ascii="楷体_GB2312" w:hAnsi="楷体_GB2312" w:eastAsia="楷体_GB2312" w:cs="楷体_GB2312"/>
                <w:sz w:val="28"/>
                <w:szCs w:val="28"/>
              </w:rPr>
              <w:t>依托黄台车站、山东大学老校建筑群等传统特色建筑，汇集国潮文化，打造特色街区，营造文化氛围。</w:t>
            </w:r>
          </w:p>
          <w:p>
            <w:pPr>
              <w:overflowPunct w:val="0"/>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sz w:val="28"/>
                <w:szCs w:val="28"/>
              </w:rPr>
              <w:t>名人文化学习线。</w:t>
            </w:r>
            <w:r>
              <w:rPr>
                <w:rFonts w:hint="eastAsia" w:ascii="楷体_GB2312" w:hAnsi="楷体_GB2312" w:eastAsia="楷体_GB2312" w:cs="楷体_GB2312"/>
                <w:sz w:val="28"/>
                <w:szCs w:val="28"/>
              </w:rPr>
              <w:t>借助“鹊华秋色图”“舜耕历山”“管鲍之交”“两肋插刀”等名人故事，学习名人文化。</w:t>
            </w:r>
          </w:p>
          <w:p>
            <w:pPr>
              <w:overflowPunct w:val="0"/>
              <w:spacing w:line="240" w:lineRule="auto"/>
              <w:ind w:firstLine="562"/>
              <w:contextualSpacing/>
              <w:jc w:val="both"/>
              <w:rPr>
                <w:rFonts w:ascii="楷体_GB2312" w:hAnsi="楷体_GB2312" w:eastAsia="楷体_GB2312" w:cs="楷体_GB2312"/>
                <w:sz w:val="28"/>
                <w:szCs w:val="28"/>
              </w:rPr>
            </w:pPr>
            <w:r>
              <w:rPr>
                <w:rFonts w:hint="eastAsia" w:ascii="楷体_GB2312" w:hAnsi="楷体_GB2312" w:eastAsia="楷体_GB2312" w:cs="楷体_GB2312"/>
                <w:b/>
                <w:sz w:val="28"/>
                <w:szCs w:val="28"/>
              </w:rPr>
              <w:t>考古文化旅游线。</w:t>
            </w:r>
            <w:r>
              <w:rPr>
                <w:rFonts w:hint="eastAsia" w:ascii="楷体_GB2312" w:hAnsi="楷体_GB2312" w:eastAsia="楷体_GB2312" w:cs="楷体_GB2312"/>
                <w:sz w:val="28"/>
                <w:szCs w:val="28"/>
              </w:rPr>
              <w:t>加强考古工作和文物保护利用，实施野外文物修缮、馆藏文物修复和数字化工程，建设大辛庄考古遗址公园，促进历史文化遗产活化利用，开发考古文化旅游线。</w:t>
            </w:r>
          </w:p>
          <w:p>
            <w:pPr>
              <w:overflowPunct w:val="0"/>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sz w:val="28"/>
                <w:szCs w:val="28"/>
              </w:rPr>
              <w:t>乡村乐游线。</w:t>
            </w:r>
            <w:r>
              <w:rPr>
                <w:rFonts w:hint="eastAsia" w:ascii="楷体_GB2312" w:hAnsi="楷体_GB2312" w:eastAsia="楷体_GB2312" w:cs="楷体_GB2312"/>
                <w:sz w:val="28"/>
                <w:szCs w:val="28"/>
              </w:rPr>
              <w:t>高水平举办中国草莓文化旅游节，打造集生态观光、休闲体验于一体的乡村旅游线。</w:t>
            </w:r>
          </w:p>
          <w:p>
            <w:pPr>
              <w:overflowPunct w:val="0"/>
              <w:spacing w:line="240" w:lineRule="auto"/>
              <w:ind w:firstLine="562"/>
              <w:rPr>
                <w:rFonts w:ascii="楷体_GB2312" w:hAnsi="楷体_GB2312" w:eastAsia="楷体_GB2312" w:cs="楷体_GB2312"/>
                <w:kern w:val="0"/>
                <w:sz w:val="28"/>
                <w:szCs w:val="28"/>
              </w:rPr>
            </w:pPr>
            <w:r>
              <w:rPr>
                <w:rFonts w:hint="eastAsia" w:ascii="楷体_GB2312" w:hAnsi="楷体_GB2312" w:eastAsia="楷体_GB2312" w:cs="楷体_GB2312"/>
                <w:b/>
                <w:sz w:val="28"/>
                <w:szCs w:val="28"/>
              </w:rPr>
              <w:t>工业旅游线。</w:t>
            </w:r>
            <w:r>
              <w:rPr>
                <w:rFonts w:hint="eastAsia" w:ascii="楷体_GB2312" w:hAnsi="楷体_GB2312" w:eastAsia="楷体_GB2312" w:cs="楷体_GB2312"/>
                <w:sz w:val="28"/>
                <w:szCs w:val="28"/>
              </w:rPr>
              <w:t>依托宏济堂、普利思、涵思泉、黄台电厂、济钢老厂区等工业旅游资源，开发集科普、博览、购物、体验于一体的工业旅游路线。</w:t>
            </w:r>
          </w:p>
        </w:tc>
      </w:tr>
    </w:tbl>
    <w:p>
      <w:pPr>
        <w:pStyle w:val="3"/>
        <w:spacing w:line="560" w:lineRule="exact"/>
        <w:rPr>
          <w:rFonts w:hint="default"/>
        </w:rPr>
      </w:pPr>
      <w:bookmarkStart w:id="178" w:name="_Toc23994"/>
      <w:bookmarkStart w:id="179" w:name="_Toc14024"/>
      <w:bookmarkStart w:id="180" w:name="_Toc31590"/>
      <w:bookmarkStart w:id="181" w:name="_Toc20073"/>
      <w:bookmarkStart w:id="182" w:name="_Toc14456"/>
      <w:r>
        <w:t>第十二章建设惠及民生幸福共享大家园</w:t>
      </w:r>
      <w:bookmarkEnd w:id="178"/>
      <w:bookmarkEnd w:id="179"/>
      <w:bookmarkEnd w:id="180"/>
      <w:bookmarkEnd w:id="181"/>
      <w:bookmarkEnd w:id="182"/>
    </w:p>
    <w:p>
      <w:pPr>
        <w:spacing w:line="560" w:lineRule="exact"/>
        <w:jc w:val="both"/>
      </w:pPr>
      <w:r>
        <w:rPr>
          <w:rFonts w:hint="eastAsia"/>
        </w:rPr>
        <w:t>坚持把实现好、维护好、发展好人民群众的根本利益作为发展的出发点和落脚点，落实各项民生事业，筑牢民生底线，全力打造“品质历城”，不断增强人民群众的获得感、幸福感、安全感。</w:t>
      </w:r>
    </w:p>
    <w:p>
      <w:pPr>
        <w:pStyle w:val="4"/>
        <w:spacing w:line="560" w:lineRule="exact"/>
      </w:pPr>
      <w:bookmarkStart w:id="183" w:name="_Toc56021689"/>
      <w:bookmarkStart w:id="184" w:name="_Toc22071"/>
      <w:bookmarkStart w:id="185" w:name="_Toc5935"/>
      <w:bookmarkStart w:id="186" w:name="_Toc5443"/>
      <w:bookmarkStart w:id="187" w:name="_Toc1414"/>
      <w:bookmarkStart w:id="188" w:name="_Toc13233"/>
      <w:r>
        <w:rPr>
          <w:rFonts w:hint="eastAsia"/>
        </w:rPr>
        <w:t>第一节提升就业创业服务</w:t>
      </w:r>
      <w:bookmarkEnd w:id="183"/>
      <w:bookmarkStart w:id="189" w:name="_Toc55321838"/>
      <w:r>
        <w:rPr>
          <w:rFonts w:hint="eastAsia"/>
        </w:rPr>
        <w:t>能力</w:t>
      </w:r>
      <w:bookmarkEnd w:id="184"/>
      <w:bookmarkEnd w:id="185"/>
      <w:bookmarkEnd w:id="186"/>
      <w:bookmarkEnd w:id="187"/>
      <w:bookmarkEnd w:id="188"/>
    </w:p>
    <w:p>
      <w:pPr>
        <w:overflowPunct w:val="0"/>
        <w:spacing w:line="560" w:lineRule="exact"/>
        <w:jc w:val="both"/>
        <w:rPr>
          <w:rFonts w:ascii="仿宋_GB2312" w:hAnsi="仿宋_GB2312" w:cs="仿宋_GB2312"/>
          <w:szCs w:val="32"/>
        </w:rPr>
      </w:pPr>
      <w:r>
        <w:rPr>
          <w:rFonts w:hint="eastAsia" w:ascii="Times New Roman" w:hAnsi="Times New Roman"/>
          <w:szCs w:val="20"/>
        </w:rPr>
        <w:t>把就业作为民生之本，</w:t>
      </w:r>
      <w:r>
        <w:rPr>
          <w:rFonts w:ascii="Times New Roman" w:hAnsi="Times New Roman"/>
          <w:szCs w:val="20"/>
        </w:rPr>
        <w:t>千方百计稳定和扩大就业，</w:t>
      </w:r>
      <w:r>
        <w:rPr>
          <w:rFonts w:hint="eastAsia" w:ascii="仿宋_GB2312" w:hAnsi="仿宋_GB2312" w:cs="仿宋_GB2312"/>
          <w:szCs w:val="32"/>
        </w:rPr>
        <w:t>积极鼓励引导创业就业，提高公共就业服务水平，提升就业质量，促进充分就业。</w:t>
      </w:r>
    </w:p>
    <w:p>
      <w:pPr>
        <w:overflowPunct w:val="0"/>
        <w:spacing w:line="560" w:lineRule="exact"/>
        <w:ind w:firstLine="643"/>
        <w:jc w:val="both"/>
        <w:rPr>
          <w:rFonts w:ascii="仿宋_GB2312" w:hAnsi="Times New Roman"/>
        </w:rPr>
      </w:pPr>
      <w:r>
        <w:rPr>
          <w:rFonts w:hint="eastAsia" w:ascii="仿宋_GB2312" w:hAnsi="Times New Roman"/>
          <w:b/>
          <w:bCs/>
        </w:rPr>
        <w:t>实施就业优先战略。</w:t>
      </w:r>
      <w:r>
        <w:rPr>
          <w:rFonts w:hint="eastAsia" w:ascii="仿宋_GB2312" w:hAnsi="仿宋_GB2312" w:cs="仿宋_GB2312"/>
        </w:rPr>
        <w:t>把稳就业摆在更加突出位置，</w:t>
      </w:r>
      <w:r>
        <w:rPr>
          <w:rFonts w:hint="eastAsia" w:ascii="仿宋_GB2312" w:hAnsi="Times New Roman"/>
        </w:rPr>
        <w:t>坚持就业优先和积极就业政策。加快培育人力资源市场，引导人力资源机构健康发展，</w:t>
      </w:r>
      <w:r>
        <w:rPr>
          <w:rFonts w:hint="eastAsia" w:ascii="仿宋_GB2312" w:hAnsi="仿宋_GB2312" w:cs="仿宋_GB2312"/>
        </w:rPr>
        <w:t>促进人才畅通有序流动</w:t>
      </w:r>
      <w:r>
        <w:rPr>
          <w:rFonts w:hint="eastAsia" w:ascii="仿宋_GB2312" w:hAnsi="Times New Roman"/>
        </w:rPr>
        <w:t>。</w:t>
      </w:r>
      <w:r>
        <w:rPr>
          <w:rFonts w:hint="eastAsia" w:ascii="仿宋_GB2312" w:hAnsi="仿宋_GB2312" w:cs="仿宋_GB2312"/>
        </w:rPr>
        <w:t>强化</w:t>
      </w:r>
      <w:r>
        <w:rPr>
          <w:rFonts w:hint="eastAsia" w:ascii="仿宋_GB2312" w:hAnsi="Times New Roman"/>
        </w:rPr>
        <w:t>供给侧发力，激发岗位需求和就业创造力，培育新的就业增长点。</w:t>
      </w:r>
      <w:r>
        <w:rPr>
          <w:rFonts w:ascii="仿宋_GB2312" w:hAnsi="Times New Roman"/>
        </w:rPr>
        <w:t>扩大公益性岗位安置</w:t>
      </w:r>
      <w:r>
        <w:rPr>
          <w:rFonts w:hint="eastAsia" w:ascii="仿宋_GB2312" w:hAnsi="Times New Roman"/>
        </w:rPr>
        <w:t>，联系重点企业推荐就业，创新多种形式实现近地就业。加强就业形势监测</w:t>
      </w:r>
      <w:r>
        <w:rPr>
          <w:rFonts w:ascii="仿宋_GB2312" w:hAnsi="Times New Roman"/>
        </w:rPr>
        <w:t>，健全就业需求调查和失业预警机制</w:t>
      </w:r>
      <w:r>
        <w:rPr>
          <w:rFonts w:hint="eastAsia" w:ascii="仿宋_GB2312" w:hAnsi="Times New Roman"/>
        </w:rPr>
        <w:t>，完善公共就业服务。推动劳动纠纷调解向基层延伸，维护劳动者和用人单位合法权益，构建和谐稳定的劳动关系。</w:t>
      </w:r>
    </w:p>
    <w:p>
      <w:pPr>
        <w:overflowPunct w:val="0"/>
        <w:spacing w:line="560" w:lineRule="exact"/>
        <w:ind w:firstLine="643"/>
        <w:jc w:val="both"/>
        <w:rPr>
          <w:rFonts w:ascii="仿宋_GB2312" w:hAnsi="Times New Roman"/>
        </w:rPr>
      </w:pPr>
      <w:r>
        <w:rPr>
          <w:rFonts w:hint="eastAsia" w:ascii="仿宋_GB2312" w:hAnsi="Times New Roman"/>
          <w:b/>
          <w:bCs/>
        </w:rPr>
        <w:t>推动创业促进就业。</w:t>
      </w:r>
      <w:r>
        <w:rPr>
          <w:rFonts w:hint="eastAsia" w:ascii="仿宋_GB2312" w:hAnsi="Times New Roman"/>
          <w:bCs/>
        </w:rPr>
        <w:t>推动创业带动就业，</w:t>
      </w:r>
      <w:r>
        <w:rPr>
          <w:rFonts w:hint="eastAsia" w:ascii="仿宋_GB2312" w:hAnsi="Times New Roman"/>
        </w:rPr>
        <w:t>不断优化创新创业环境，引导更多社会主体投身创新创业，扩大</w:t>
      </w:r>
      <w:bookmarkEnd w:id="189"/>
      <w:r>
        <w:rPr>
          <w:rFonts w:hint="eastAsia" w:ascii="仿宋_GB2312" w:hAnsi="Times New Roman"/>
        </w:rPr>
        <w:t>就业增量。在税收、用地、融资、人才等方面出台更多优惠政策，深入推进大众创业万众创新。</w:t>
      </w:r>
      <w:r>
        <w:rPr>
          <w:rFonts w:hint="eastAsia" w:ascii="仿宋_GB2312" w:hAnsi="仿宋_GB2312" w:cs="仿宋_GB2312"/>
        </w:rPr>
        <w:t>落实创业见习补贴、担保贷款贴息等激励政策，用好创业担保贷款。</w:t>
      </w:r>
      <w:r>
        <w:rPr>
          <w:rFonts w:hint="eastAsia" w:ascii="仿宋_GB2312" w:hAnsi="Times New Roman"/>
        </w:rPr>
        <w:t>积极开展创业教育和培训，多渠道开展创业宣传活动。优化创业服务链，推动省级“四型就业社区”创建工作，</w:t>
      </w:r>
      <w:r>
        <w:rPr>
          <w:rFonts w:ascii="仿宋_GB2312" w:hAnsi="Times New Roman"/>
        </w:rPr>
        <w:t>加强社区就业创业服务</w:t>
      </w:r>
      <w:r>
        <w:rPr>
          <w:rFonts w:hint="eastAsia" w:ascii="仿宋_GB2312" w:hAnsi="Times New Roman"/>
        </w:rPr>
        <w:t>。</w:t>
      </w:r>
    </w:p>
    <w:p>
      <w:pPr>
        <w:overflowPunct w:val="0"/>
        <w:spacing w:line="560" w:lineRule="exact"/>
        <w:ind w:firstLine="643"/>
        <w:jc w:val="both"/>
      </w:pPr>
      <w:r>
        <w:rPr>
          <w:rFonts w:hint="eastAsia" w:ascii="仿宋_GB2312" w:hAnsi="Times New Roman"/>
          <w:b/>
          <w:bCs/>
        </w:rPr>
        <w:t>保障重点群体就业。</w:t>
      </w:r>
      <w:r>
        <w:rPr>
          <w:rFonts w:hint="eastAsia" w:ascii="仿宋_GB2312" w:hAnsi="Times New Roman"/>
        </w:rPr>
        <w:t>加强分类施策，搭建“线上+线下”</w:t>
      </w:r>
      <w:r>
        <w:rPr>
          <w:rFonts w:hint="eastAsia" w:ascii="仿宋_GB2312" w:hAnsi="Times New Roman"/>
          <w:szCs w:val="32"/>
        </w:rPr>
        <w:t>精准供需对接平台，常态化组织“</w:t>
      </w:r>
      <w:r>
        <w:rPr>
          <w:rFonts w:hint="eastAsia" w:ascii="仿宋_GB2312" w:hAnsi="Times New Roman"/>
        </w:rPr>
        <w:t>春风行动”“就业援助月”等招聘活动。</w:t>
      </w:r>
      <w:r>
        <w:rPr>
          <w:rFonts w:hint="eastAsia" w:ascii="仿宋_GB2312" w:hAnsi="Times New Roman"/>
          <w:szCs w:val="32"/>
        </w:rPr>
        <w:t>将高校毕业生就业放在就业工作首位，</w:t>
      </w:r>
      <w:r>
        <w:rPr>
          <w:rFonts w:hint="eastAsia" w:ascii="仿宋_GB2312" w:hAnsi="仿宋_GB2312" w:cs="仿宋_GB2312"/>
        </w:rPr>
        <w:t>积极开发就业岗位，引导转变就业观念，做好就业帮扶。改善农村就业环境，大力发展农村产业，挖掘当地重大工程和项目建设用工潜力，统筹推进农村劳动力就近就地就业。做好军转干部、退役士兵</w:t>
      </w:r>
      <w:r>
        <w:rPr>
          <w:rFonts w:hint="eastAsia" w:ascii="仿宋_GB2312" w:hAnsi="宋体" w:cs="仿宋_GB2312"/>
        </w:rPr>
        <w:t>安置工作，</w:t>
      </w:r>
      <w:r>
        <w:rPr>
          <w:rFonts w:hint="eastAsia" w:ascii="仿宋_GB2312" w:hAnsi="仿宋_GB2312" w:cs="仿宋_GB2312"/>
        </w:rPr>
        <w:t>结合平台经济、社区服务业、养老服务业等行业发展，挖掘适合退役军人的就业岗位。</w:t>
      </w:r>
      <w:r>
        <w:rPr>
          <w:rFonts w:hint="eastAsia" w:ascii="仿宋_GB2312" w:hAnsi="Times New Roman"/>
        </w:rPr>
        <w:t>落实终身职业技能培训制度，</w:t>
      </w:r>
      <w:r>
        <w:rPr>
          <w:rFonts w:hint="eastAsia" w:ascii="仿宋_GB2312" w:hAnsi="Times New Roman"/>
          <w:bCs/>
        </w:rPr>
        <w:t>大力推动劳动者职业技能提升。</w:t>
      </w:r>
    </w:p>
    <w:p>
      <w:pPr>
        <w:pStyle w:val="4"/>
        <w:spacing w:line="560" w:lineRule="exact"/>
      </w:pPr>
      <w:bookmarkStart w:id="190" w:name="_Toc56021687"/>
      <w:bookmarkStart w:id="191" w:name="_Toc27228"/>
      <w:bookmarkStart w:id="192" w:name="_Toc19946"/>
      <w:bookmarkStart w:id="193" w:name="_Toc3516"/>
      <w:bookmarkStart w:id="194" w:name="_Toc856"/>
      <w:bookmarkStart w:id="195" w:name="_Toc8885"/>
      <w:r>
        <w:rPr>
          <w:rFonts w:hint="eastAsia"/>
        </w:rPr>
        <w:t>第二节</w:t>
      </w:r>
      <w:bookmarkEnd w:id="190"/>
      <w:r>
        <w:rPr>
          <w:rFonts w:hint="eastAsia"/>
        </w:rPr>
        <w:t>保障教育优质均衡发展</w:t>
      </w:r>
      <w:bookmarkEnd w:id="191"/>
      <w:bookmarkEnd w:id="192"/>
      <w:bookmarkEnd w:id="193"/>
      <w:bookmarkEnd w:id="194"/>
      <w:bookmarkEnd w:id="195"/>
    </w:p>
    <w:p>
      <w:pPr>
        <w:overflowPunct w:val="0"/>
        <w:spacing w:line="560" w:lineRule="exact"/>
        <w:jc w:val="both"/>
      </w:pPr>
      <w:r>
        <w:rPr>
          <w:rFonts w:hint="eastAsia" w:ascii="仿宋_GB2312" w:hAnsi="仿宋_GB2312" w:cs="仿宋_GB2312"/>
          <w:szCs w:val="32"/>
        </w:rPr>
        <w:t>“以办人民满意教育”为目标，按照全区教育一盘棋原则，加快教育改革，创新教育服务业态，</w:t>
      </w:r>
      <w:r>
        <w:rPr>
          <w:rFonts w:hint="eastAsia" w:ascii="Times New Roman" w:hAnsi="Times New Roman" w:cs="宋体"/>
        </w:rPr>
        <w:t>全面提高教学质量和整体育人水平，推动教育高品质发展，</w:t>
      </w:r>
      <w:r>
        <w:rPr>
          <w:rFonts w:hint="eastAsia" w:ascii="仿宋_GB2312" w:hAnsi="仿宋_GB2312" w:cs="仿宋_GB2312"/>
          <w:szCs w:val="32"/>
        </w:rPr>
        <w:t>打造现代化教育强区。</w:t>
      </w:r>
    </w:p>
    <w:p>
      <w:pPr>
        <w:overflowPunct w:val="0"/>
        <w:spacing w:line="560" w:lineRule="exact"/>
        <w:ind w:firstLine="643"/>
        <w:jc w:val="both"/>
        <w:rPr>
          <w:rFonts w:ascii="仿宋_GB2312" w:hAnsi="仿宋_GB2312" w:cs="仿宋_GB2312"/>
          <w:szCs w:val="20"/>
        </w:rPr>
      </w:pPr>
      <w:r>
        <w:rPr>
          <w:rFonts w:hint="eastAsia" w:ascii="仿宋_GB2312" w:hAnsi="仿宋_GB2312" w:cs="仿宋_GB2312"/>
          <w:b/>
          <w:bCs/>
          <w:szCs w:val="32"/>
        </w:rPr>
        <w:t>深化教育体制机制改革。</w:t>
      </w:r>
      <w:r>
        <w:rPr>
          <w:rFonts w:hint="eastAsia" w:ascii="仿宋_GB2312" w:hAnsi="仿宋_GB2312" w:cs="仿宋_GB2312"/>
          <w:szCs w:val="20"/>
        </w:rPr>
        <w:t>构建政府、社会、市场协同机制，</w:t>
      </w:r>
      <w:r>
        <w:rPr>
          <w:rFonts w:hint="eastAsia" w:ascii="Times New Roman" w:hAnsi="Times New Roman" w:cs="宋体"/>
        </w:rPr>
        <w:t>加强学校在人事管理、经费使用、考试招生等方面的办学自主权，切实为学校减负。</w:t>
      </w:r>
      <w:r>
        <w:rPr>
          <w:rFonts w:hint="eastAsia" w:ascii="仿宋_GB2312" w:hAnsi="仿宋_GB2312" w:cs="仿宋_GB2312"/>
          <w:szCs w:val="32"/>
        </w:rPr>
        <w:t>完善招生入学制度，统筹设计小学入学、小升初招生办法，</w:t>
      </w:r>
      <w:r>
        <w:rPr>
          <w:rFonts w:hint="eastAsia" w:ascii="仿宋_GB2312" w:hAnsi="仿宋_GB2312" w:cs="仿宋_GB2312"/>
          <w:szCs w:val="20"/>
        </w:rPr>
        <w:t>保障外来务工人员子女等特殊群体招生入学，严格均衡分班和学籍管理，规范招生秩序。</w:t>
      </w:r>
      <w:r>
        <w:rPr>
          <w:rFonts w:hint="eastAsia" w:ascii="仿宋_GB2312" w:hAnsi="仿宋_GB2312" w:cs="仿宋_GB2312"/>
          <w:szCs w:val="32"/>
        </w:rPr>
        <w:t>推进思政德育综合改革，</w:t>
      </w:r>
      <w:r>
        <w:rPr>
          <w:rFonts w:hint="eastAsia" w:ascii="Times New Roman" w:hAnsi="Times New Roman" w:cs="宋体"/>
        </w:rPr>
        <w:t>搭建成长平台，</w:t>
      </w:r>
      <w:r>
        <w:rPr>
          <w:rFonts w:hint="eastAsia" w:ascii="仿宋_GB2312" w:hAnsi="宋体" w:cs="宋体"/>
          <w:kern w:val="0"/>
          <w:szCs w:val="32"/>
        </w:rPr>
        <w:t>完善德育评价体系，</w:t>
      </w:r>
      <w:r>
        <w:rPr>
          <w:rFonts w:hint="eastAsia" w:ascii="Times New Roman" w:hAnsi="Times New Roman" w:cs="宋体"/>
        </w:rPr>
        <w:t>发展素质教育。</w:t>
      </w:r>
      <w:r>
        <w:rPr>
          <w:rFonts w:hint="eastAsia" w:ascii="仿宋_GB2312" w:hAnsi="仿宋_GB2312" w:cs="仿宋_GB2312"/>
          <w:szCs w:val="32"/>
        </w:rPr>
        <w:t>深化教</w:t>
      </w:r>
      <w:r>
        <w:rPr>
          <w:rFonts w:hint="eastAsia" w:ascii="仿宋_GB2312" w:hAnsi="仿宋_GB2312" w:cs="仿宋_GB2312"/>
          <w:szCs w:val="20"/>
        </w:rPr>
        <w:t>育人事制度改革，推进中小学教师“县管校聘”管理改革。</w:t>
      </w:r>
      <w:r>
        <w:rPr>
          <w:rFonts w:hint="eastAsia" w:ascii="仿宋_GB2312" w:hAnsi="仿宋_GB2312" w:cs="仿宋_GB2312"/>
          <w:szCs w:val="32"/>
        </w:rPr>
        <w:t>完善以政府投入为主、多渠道筹集教育经费的体制机制。</w:t>
      </w:r>
    </w:p>
    <w:p>
      <w:pPr>
        <w:overflowPunct w:val="0"/>
        <w:spacing w:line="560" w:lineRule="exact"/>
        <w:ind w:firstLine="643"/>
        <w:jc w:val="both"/>
      </w:pPr>
      <w:r>
        <w:rPr>
          <w:rFonts w:hint="eastAsia" w:ascii="仿宋_GB2312" w:hAnsi="仿宋_GB2312" w:cs="仿宋_GB2312"/>
          <w:b/>
          <w:bCs/>
          <w:szCs w:val="32"/>
          <w:shd w:val="clear" w:color="auto" w:fill="FFFFFF"/>
        </w:rPr>
        <w:t>全面推动教育优质发展。</w:t>
      </w:r>
      <w:r>
        <w:rPr>
          <w:rFonts w:hint="eastAsia" w:ascii="仿宋_GB2312" w:hAnsi="仿宋_GB2312" w:cs="仿宋_GB2312"/>
          <w:bCs/>
          <w:szCs w:val="32"/>
          <w:shd w:val="clear" w:color="auto" w:fill="FFFFFF"/>
        </w:rPr>
        <w:t>加快布局教育基础设施</w:t>
      </w:r>
      <w:r>
        <w:rPr>
          <w:rFonts w:hint="eastAsia" w:ascii="仿宋_GB2312" w:hAnsi="仿宋_GB2312" w:cs="仿宋_GB2312"/>
          <w:szCs w:val="32"/>
        </w:rPr>
        <w:t>，</w:t>
      </w:r>
      <w:r>
        <w:rPr>
          <w:rFonts w:hint="eastAsia" w:ascii="仿宋_GB2312" w:hAnsi="仿宋_GB2312" w:cs="仿宋_GB2312"/>
          <w:kern w:val="0"/>
          <w:szCs w:val="32"/>
          <w:shd w:val="clear" w:color="auto" w:fill="FFFFFF"/>
        </w:rPr>
        <w:t>推进</w:t>
      </w:r>
      <w:r>
        <w:rPr>
          <w:rFonts w:hint="eastAsia" w:ascii="仿宋_GB2312" w:hAnsi="仿宋_GB2312" w:cs="仿宋_GB2312"/>
          <w:szCs w:val="32"/>
        </w:rPr>
        <w:t>彩石高中和济南新东方外国语学校建设，</w:t>
      </w:r>
      <w:r>
        <w:rPr>
          <w:rFonts w:hint="eastAsia" w:ascii="仿宋_GB2312" w:hAnsi="宋体" w:cs="宋体"/>
          <w:kern w:val="0"/>
          <w:szCs w:val="36"/>
        </w:rPr>
        <w:t>新建、改扩建中小学校及幼儿园60所以上</w:t>
      </w:r>
      <w:r>
        <w:rPr>
          <w:rFonts w:hint="eastAsia" w:ascii="仿宋_GB2312" w:hAnsi="仿宋_GB2312" w:cs="仿宋_GB2312"/>
          <w:szCs w:val="32"/>
        </w:rPr>
        <w:t>。</w:t>
      </w:r>
      <w:r>
        <w:rPr>
          <w:rFonts w:hint="eastAsia" w:ascii="仿宋_GB2312" w:hAnsi="仿宋_GB2312" w:cs="仿宋_GB2312"/>
          <w:szCs w:val="32"/>
          <w:shd w:val="clear" w:color="auto" w:fill="FFFFFF"/>
        </w:rPr>
        <w:t>推行“教育集团+优质学区”办学模式，</w:t>
      </w:r>
      <w:r>
        <w:rPr>
          <w:rFonts w:hint="eastAsia" w:ascii="仿宋_GB2312" w:hAnsi="仿宋_GB2312" w:cs="仿宋_GB2312"/>
          <w:kern w:val="0"/>
          <w:szCs w:val="32"/>
        </w:rPr>
        <w:t>充分发挥历城二中教育集团辐射带动作用，</w:t>
      </w:r>
      <w:r>
        <w:rPr>
          <w:rFonts w:hint="eastAsia" w:ascii="仿宋_GB2312" w:hAnsi="仿宋_GB2312" w:cs="仿宋_GB2312"/>
          <w:szCs w:val="32"/>
        </w:rPr>
        <w:t>扩大优质教育资源覆盖面。</w:t>
      </w:r>
      <w:r>
        <w:rPr>
          <w:rFonts w:hint="eastAsia" w:ascii="仿宋_GB2312" w:hAnsi="仿宋_GB2312" w:cs="仿宋_GB2312"/>
          <w:szCs w:val="32"/>
          <w:shd w:val="clear" w:color="auto" w:fill="FFFFFF"/>
        </w:rPr>
        <w:t>实施“名师名校长”引进工程，</w:t>
      </w:r>
      <w:r>
        <w:rPr>
          <w:rFonts w:hint="eastAsia" w:ascii="仿宋_GB2312" w:hAnsi="仿宋_GB2312" w:cs="仿宋_GB2312"/>
          <w:szCs w:val="20"/>
        </w:rPr>
        <w:t>开展“强师兴教”，推进“教学新秀—教学能手—名师”梯级培养。</w:t>
      </w:r>
      <w:r>
        <w:rPr>
          <w:rFonts w:hint="eastAsia" w:ascii="Times New Roman" w:hAnsi="Times New Roman" w:cs="宋体"/>
        </w:rPr>
        <w:t>推动教研一体化创新，探索分学科、分年级全域集体备课模式，提高优质教学资源的应用率和贡献率。</w:t>
      </w:r>
      <w:r>
        <w:rPr>
          <w:rFonts w:hint="eastAsia" w:ascii="仿宋_GB2312" w:hAnsi="仿宋_GB2312" w:cs="仿宋_GB2312"/>
          <w:szCs w:val="32"/>
        </w:rPr>
        <w:t>依托山东大学等区内18所高校和科研院所，构建历城教育联动模式，打造国内一流教育资源聚集地。</w:t>
      </w:r>
    </w:p>
    <w:p>
      <w:pPr>
        <w:overflowPunct w:val="0"/>
        <w:spacing w:line="560" w:lineRule="exact"/>
        <w:ind w:firstLine="643"/>
        <w:jc w:val="both"/>
        <w:rPr>
          <w:rFonts w:ascii="仿宋_GB2312" w:hAnsi="仿宋_GB2312" w:cs="仿宋_GB2312"/>
          <w:szCs w:val="32"/>
          <w:shd w:val="clear" w:color="auto" w:fill="FFFFFF"/>
        </w:rPr>
      </w:pPr>
      <w:r>
        <w:rPr>
          <w:rFonts w:hint="eastAsia" w:ascii="仿宋_GB2312" w:hAnsi="仿宋_GB2312" w:cs="仿宋_GB2312"/>
          <w:b/>
          <w:szCs w:val="32"/>
          <w:shd w:val="clear" w:color="auto" w:fill="FFFFFF"/>
        </w:rPr>
        <w:t>创新发展多种教育形式。</w:t>
      </w:r>
      <w:r>
        <w:rPr>
          <w:rFonts w:hint="eastAsia" w:ascii="仿宋_GB2312" w:hAnsi="仿宋_GB2312" w:cs="仿宋_GB2312"/>
          <w:szCs w:val="32"/>
          <w:shd w:val="clear" w:color="auto" w:fill="FFFFFF"/>
        </w:rPr>
        <w:t>增强职业技术教育适应性，依托历城职专等学校，深化职普融通、产教融合、校企合作，探索特色学徒制，大力培养与全区主导产业相契合的专业技术人才。支持民办教育，探索多元主体合作办学，</w:t>
      </w:r>
      <w:r>
        <w:rPr>
          <w:rFonts w:hint="eastAsia" w:ascii="仿宋_GB2312" w:hAnsi="仿宋_GB2312" w:cs="仿宋_GB2312"/>
          <w:szCs w:val="20"/>
        </w:rPr>
        <w:t>创新教育供给内容。规范校外教育培训机构行为，引导教学内容满足学生多样性、个性化学习需求。探索在线教育新模式，变革教育服务供给方式。</w:t>
      </w:r>
      <w:r>
        <w:rPr>
          <w:rFonts w:hint="eastAsia" w:ascii="仿宋_GB2312" w:hAnsi="仿宋_GB2312" w:cs="仿宋_GB2312"/>
          <w:szCs w:val="32"/>
          <w:shd w:val="clear" w:color="auto" w:fill="FFFFFF"/>
        </w:rPr>
        <w:t>保障特殊教育，加大资金投入和政策支持，提高</w:t>
      </w:r>
      <w:r>
        <w:rPr>
          <w:rFonts w:hint="eastAsia" w:ascii="仿宋_GB2312" w:hAnsi="仿宋_GB2312" w:cs="仿宋_GB2312"/>
          <w:szCs w:val="20"/>
        </w:rPr>
        <w:t>盲、聋、轻度弱智学龄儿童等特殊人群入学率。</w:t>
      </w:r>
      <w:r>
        <w:rPr>
          <w:rFonts w:hint="eastAsia" w:ascii="仿宋_GB2312" w:hAnsi="仿宋_GB2312" w:cs="仿宋_GB2312"/>
          <w:szCs w:val="32"/>
          <w:shd w:val="clear" w:color="auto" w:fill="FFFFFF"/>
        </w:rPr>
        <w:t>完善终身学习体系，建设“人人皆学、处处能学、时时可学”的学习型社会。</w:t>
      </w:r>
    </w:p>
    <w:p>
      <w:pPr>
        <w:pStyle w:val="4"/>
        <w:spacing w:line="560" w:lineRule="exact"/>
      </w:pPr>
      <w:bookmarkStart w:id="196" w:name="_Toc56021688"/>
      <w:bookmarkStart w:id="197" w:name="_Toc5136"/>
      <w:bookmarkStart w:id="198" w:name="_Toc27636"/>
      <w:bookmarkStart w:id="199" w:name="_Toc14589"/>
      <w:bookmarkStart w:id="200" w:name="_Toc3470"/>
      <w:bookmarkStart w:id="201" w:name="_Toc29155"/>
      <w:r>
        <w:rPr>
          <w:rFonts w:hint="eastAsia"/>
        </w:rPr>
        <w:t>第三节</w:t>
      </w:r>
      <w:bookmarkEnd w:id="196"/>
      <w:r>
        <w:rPr>
          <w:rFonts w:hint="eastAsia"/>
        </w:rPr>
        <w:t>全面提升医疗健康水平</w:t>
      </w:r>
      <w:bookmarkEnd w:id="197"/>
      <w:bookmarkEnd w:id="198"/>
      <w:bookmarkEnd w:id="199"/>
      <w:bookmarkEnd w:id="200"/>
      <w:bookmarkEnd w:id="201"/>
    </w:p>
    <w:p>
      <w:pPr>
        <w:overflowPunct w:val="0"/>
        <w:spacing w:line="560" w:lineRule="exact"/>
        <w:jc w:val="both"/>
        <w:rPr>
          <w:rFonts w:ascii="仿宋_GB2312" w:hAnsi="仿宋_GB2312" w:cs="仿宋_GB2312"/>
          <w:szCs w:val="32"/>
        </w:rPr>
      </w:pPr>
      <w:r>
        <w:rPr>
          <w:rFonts w:hint="eastAsia" w:ascii="仿宋_GB2312" w:hAnsi="仿宋_GB2312" w:cs="仿宋_GB2312"/>
          <w:szCs w:val="32"/>
        </w:rPr>
        <w:t>围绕落实健康中国战略，</w:t>
      </w:r>
      <w:r>
        <w:rPr>
          <w:rFonts w:hint="eastAsia" w:ascii="仿宋_GB2312" w:hAnsi="仿宋_GB2312" w:cs="仿宋_GB2312"/>
          <w:szCs w:val="20"/>
        </w:rPr>
        <w:t>把保障居民健康放在重要位置，织牢城区公共卫生防护网，</w:t>
      </w:r>
      <w:r>
        <w:rPr>
          <w:rFonts w:hint="eastAsia" w:ascii="仿宋_GB2312" w:hAnsi="仿宋_GB2312" w:cs="仿宋_GB2312"/>
          <w:szCs w:val="32"/>
        </w:rPr>
        <w:t>打造覆盖全生命周期、满足多层次需求的卫生健康服务体系。</w:t>
      </w:r>
    </w:p>
    <w:p>
      <w:pPr>
        <w:overflowPunct w:val="0"/>
        <w:spacing w:line="560" w:lineRule="exact"/>
        <w:ind w:firstLine="643"/>
        <w:jc w:val="both"/>
        <w:rPr>
          <w:rFonts w:ascii="仿宋_GB2312" w:hAnsi="仿宋_GB2312" w:cs="仿宋_GB2312"/>
        </w:rPr>
      </w:pPr>
      <w:r>
        <w:rPr>
          <w:rFonts w:hint="eastAsia" w:ascii="仿宋_GB2312" w:hAnsi="仿宋_GB2312" w:cs="仿宋_GB2312"/>
          <w:b/>
          <w:bCs/>
          <w:szCs w:val="32"/>
        </w:rPr>
        <w:t>加快公共卫生设施建设。</w:t>
      </w:r>
      <w:r>
        <w:rPr>
          <w:rFonts w:hint="eastAsia" w:ascii="仿宋_GB2312" w:hAnsi="仿宋_GB2312" w:cs="仿宋_GB2312"/>
          <w:szCs w:val="32"/>
        </w:rPr>
        <w:t>加快优质医疗资源扩容和区域均衡布局，引导优质医疗资源向基层延伸下沉。加快建设区级综合性医院，完善以区级医院为龙头、街道社区卫生服务中心为枢纽、村卫生室（社区卫生服务站）为基础的三级医疗卫生服务网络体系，</w:t>
      </w:r>
      <w:r>
        <w:rPr>
          <w:rFonts w:hint="eastAsia" w:ascii="仿宋_GB2312" w:hAnsi="仿宋_GB2312" w:cs="仿宋_GB2312"/>
        </w:rPr>
        <w:t>保障“一村一室”建设，实现每个街道有1所标准化公立社区卫生服务中心</w:t>
      </w:r>
      <w:r>
        <w:rPr>
          <w:rFonts w:hint="eastAsia" w:ascii="仿宋_GB2312" w:hAnsi="仿宋_GB2312" w:cs="仿宋_GB2312"/>
          <w:szCs w:val="32"/>
        </w:rPr>
        <w:t>。</w:t>
      </w:r>
      <w:r>
        <w:rPr>
          <w:rFonts w:hint="eastAsia" w:ascii="仿宋_GB2312" w:hAnsi="仿宋_GB2312" w:cs="仿宋_GB2312"/>
        </w:rPr>
        <w:t>支持采用多方共建模式，鼓励和引导社会资本参与建设各级各类医疗卫生机构。</w:t>
      </w:r>
    </w:p>
    <w:p>
      <w:pPr>
        <w:overflowPunct w:val="0"/>
        <w:spacing w:line="560" w:lineRule="exact"/>
        <w:ind w:firstLine="643"/>
        <w:jc w:val="both"/>
        <w:rPr>
          <w:rFonts w:ascii="仿宋_GB2312" w:hAnsi="仿宋_GB2312" w:cs="仿宋_GB2312"/>
          <w:szCs w:val="32"/>
        </w:rPr>
      </w:pPr>
      <w:r>
        <w:rPr>
          <w:rFonts w:hint="eastAsia" w:ascii="仿宋_GB2312" w:hAnsi="仿宋_GB2312" w:cs="仿宋_GB2312"/>
          <w:b/>
          <w:bCs/>
          <w:szCs w:val="32"/>
        </w:rPr>
        <w:t>优化医疗卫生健康服务。</w:t>
      </w:r>
      <w:r>
        <w:rPr>
          <w:rFonts w:hint="eastAsia" w:ascii="仿宋_GB2312" w:hAnsi="仿宋_GB2312" w:cs="仿宋_GB2312"/>
          <w:szCs w:val="32"/>
        </w:rPr>
        <w:t>深化医药卫生体制改革，健全现代医院管理制度，推进紧密型医联体建设，探索应用“基层首诊、双向转诊、急慢分治、上下联动”的分级诊疗模式，</w:t>
      </w:r>
      <w:r>
        <w:rPr>
          <w:rFonts w:hint="eastAsia" w:ascii="仿宋_GB2312" w:hAnsi="仿宋_GB2312" w:cs="仿宋_GB2312"/>
          <w:szCs w:val="20"/>
        </w:rPr>
        <w:t>全面推进家庭医生签约服务工作。</w:t>
      </w:r>
      <w:r>
        <w:rPr>
          <w:rFonts w:hint="eastAsia" w:ascii="仿宋_GB2312" w:hAnsi="仿宋_GB2312" w:cs="仿宋_GB2312"/>
          <w:szCs w:val="32"/>
        </w:rPr>
        <w:t>加快中医药传承创新，做强“宏济堂”老字号品牌，推动智慧中药房、中医药产业园区建设，促进中医药健康发展。</w:t>
      </w:r>
      <w:r>
        <w:rPr>
          <w:rFonts w:hint="eastAsia" w:ascii="仿宋_GB2312" w:hAnsi="仿宋_GB2312" w:cs="仿宋_GB2312"/>
          <w:szCs w:val="20"/>
        </w:rPr>
        <w:t>大力发展“互联网+医疗”服务，开发个人健康信息管理系统，依托市全民健康信息平台，实现病理信息共享。</w:t>
      </w:r>
      <w:r>
        <w:rPr>
          <w:rFonts w:hint="eastAsia" w:ascii="仿宋_GB2312" w:hAnsi="仿宋_GB2312" w:cs="仿宋_GB2312"/>
          <w:szCs w:val="32"/>
        </w:rPr>
        <w:t>加强医疗卫生人才队伍建设，构建分层分类的专业技术人才继续教育体系，提高医疗队伍整体素质。</w:t>
      </w:r>
    </w:p>
    <w:p>
      <w:pPr>
        <w:overflowPunct w:val="0"/>
        <w:spacing w:line="560" w:lineRule="exact"/>
        <w:ind w:firstLine="643"/>
        <w:jc w:val="both"/>
        <w:rPr>
          <w:rFonts w:ascii="Times New Roman" w:hAnsi="Times New Roman" w:cs="宋体"/>
          <w:shd w:val="clear" w:color="auto" w:fill="FFFFFF"/>
        </w:rPr>
      </w:pPr>
      <w:r>
        <w:rPr>
          <w:rFonts w:hint="eastAsia" w:ascii="Times New Roman" w:hAnsi="Times New Roman" w:cs="宋体"/>
          <w:b/>
        </w:rPr>
        <w:t>健全公共卫生应急管理。</w:t>
      </w:r>
      <w:r>
        <w:rPr>
          <w:rFonts w:hint="eastAsia" w:ascii="仿宋_GB2312" w:hAnsi="仿宋_GB2312" w:cs="仿宋_GB2312"/>
          <w:szCs w:val="32"/>
        </w:rPr>
        <w:t>加强日常重大传染病防控等重大风险研判预警，</w:t>
      </w:r>
      <w:r>
        <w:rPr>
          <w:rFonts w:ascii="仿宋_GB2312" w:hAnsi="仿宋_GB2312" w:cs="仿宋_GB2312"/>
          <w:szCs w:val="32"/>
        </w:rPr>
        <w:t>健全突发公共卫生事件信息报告制度</w:t>
      </w:r>
      <w:r>
        <w:rPr>
          <w:rFonts w:hint="eastAsia" w:ascii="仿宋_GB2312" w:hAnsi="仿宋_GB2312" w:cs="仿宋_GB2312"/>
          <w:szCs w:val="32"/>
        </w:rPr>
        <w:t>，</w:t>
      </w:r>
      <w:r>
        <w:rPr>
          <w:rFonts w:ascii="仿宋_GB2312" w:hAnsi="仿宋_GB2312" w:cs="仿宋_GB2312"/>
          <w:szCs w:val="32"/>
        </w:rPr>
        <w:t>提高风险发现、报告</w:t>
      </w:r>
      <w:r>
        <w:rPr>
          <w:rFonts w:hint="eastAsia" w:ascii="仿宋_GB2312" w:hAnsi="仿宋_GB2312" w:cs="仿宋_GB2312"/>
          <w:szCs w:val="32"/>
        </w:rPr>
        <w:t>和</w:t>
      </w:r>
      <w:r>
        <w:rPr>
          <w:rFonts w:ascii="仿宋_GB2312" w:hAnsi="仿宋_GB2312" w:cs="仿宋_GB2312"/>
          <w:szCs w:val="32"/>
        </w:rPr>
        <w:t>预警能力。</w:t>
      </w:r>
      <w:r>
        <w:rPr>
          <w:rFonts w:hint="eastAsia" w:ascii="仿宋_GB2312" w:hAnsi="仿宋_GB2312" w:cs="仿宋_GB2312"/>
          <w:szCs w:val="32"/>
        </w:rPr>
        <w:t>积极配合省、市构建集中统一、分级使用的应急物资管理信息化平台，</w:t>
      </w:r>
      <w:r>
        <w:rPr>
          <w:rFonts w:ascii="Times New Roman" w:hAnsi="Times New Roman" w:cs="宋体"/>
          <w:shd w:val="clear" w:color="auto" w:fill="FFFFFF"/>
        </w:rPr>
        <w:t>完善应急物资储备品种、规模和结构</w:t>
      </w:r>
      <w:r>
        <w:rPr>
          <w:rFonts w:hint="eastAsia" w:ascii="Times New Roman" w:hAnsi="Times New Roman" w:cs="宋体"/>
          <w:shd w:val="clear" w:color="auto" w:fill="FFFFFF"/>
        </w:rPr>
        <w:t>，</w:t>
      </w:r>
      <w:r>
        <w:rPr>
          <w:rFonts w:hint="eastAsia" w:ascii="仿宋_GB2312" w:hAnsi="仿宋_GB2312" w:cs="仿宋_GB2312"/>
          <w:szCs w:val="22"/>
        </w:rPr>
        <w:t>做好公共卫生物资保障。</w:t>
      </w:r>
      <w:r>
        <w:rPr>
          <w:rFonts w:hint="eastAsia" w:ascii="Times New Roman" w:hAnsi="Times New Roman" w:cs="宋体"/>
          <w:shd w:val="clear" w:color="auto" w:fill="FFFFFF"/>
        </w:rPr>
        <w:t>完善</w:t>
      </w:r>
      <w:r>
        <w:rPr>
          <w:rFonts w:ascii="Times New Roman" w:hAnsi="Times New Roman" w:cs="宋体"/>
          <w:shd w:val="clear" w:color="auto" w:fill="FFFFFF"/>
        </w:rPr>
        <w:t>部门</w:t>
      </w:r>
      <w:r>
        <w:rPr>
          <w:rFonts w:hint="eastAsia" w:ascii="Times New Roman" w:hAnsi="Times New Roman" w:cs="宋体"/>
          <w:shd w:val="clear" w:color="auto" w:fill="FFFFFF"/>
        </w:rPr>
        <w:t>配合及</w:t>
      </w:r>
      <w:r>
        <w:rPr>
          <w:rFonts w:ascii="Times New Roman" w:hAnsi="Times New Roman" w:cs="宋体"/>
          <w:shd w:val="clear" w:color="auto" w:fill="FFFFFF"/>
        </w:rPr>
        <w:t>区域联动机制，</w:t>
      </w:r>
      <w:r>
        <w:rPr>
          <w:rFonts w:hint="eastAsia" w:ascii="Times New Roman" w:hAnsi="Times New Roman" w:cs="宋体"/>
          <w:shd w:val="clear" w:color="auto" w:fill="FFFFFF"/>
        </w:rPr>
        <w:t>推动开展</w:t>
      </w:r>
      <w:r>
        <w:rPr>
          <w:rFonts w:ascii="Times New Roman" w:hAnsi="Times New Roman" w:cs="宋体"/>
          <w:shd w:val="clear" w:color="auto" w:fill="FFFFFF"/>
        </w:rPr>
        <w:t>防治结合、联防联控、群防群治工作。</w:t>
      </w:r>
      <w:r>
        <w:rPr>
          <w:rFonts w:hint="eastAsia" w:ascii="Times New Roman" w:hAnsi="Times New Roman" w:cs="宋体"/>
          <w:shd w:val="clear" w:color="auto" w:fill="FFFFFF"/>
        </w:rPr>
        <w:t>强化科技支撑，</w:t>
      </w:r>
      <w:r>
        <w:rPr>
          <w:rFonts w:ascii="Times New Roman" w:hAnsi="Times New Roman" w:cs="宋体"/>
          <w:shd w:val="clear" w:color="auto" w:fill="FFFFFF"/>
        </w:rPr>
        <w:t>加强预测预警研究、诊断试剂研制、疫苗和药物研发</w:t>
      </w:r>
      <w:r>
        <w:rPr>
          <w:rFonts w:hint="eastAsia" w:ascii="Times New Roman" w:hAnsi="Times New Roman" w:cs="宋体"/>
          <w:shd w:val="clear" w:color="auto" w:fill="FFFFFF"/>
        </w:rPr>
        <w:t>等</w:t>
      </w:r>
      <w:r>
        <w:rPr>
          <w:rFonts w:ascii="Times New Roman" w:hAnsi="Times New Roman" w:cs="宋体"/>
          <w:shd w:val="clear" w:color="auto" w:fill="FFFFFF"/>
        </w:rPr>
        <w:t>科研攻关工作。</w:t>
      </w:r>
      <w:r>
        <w:rPr>
          <w:rFonts w:ascii="Times New Roman" w:hAnsi="Times New Roman" w:cs="宋体"/>
        </w:rPr>
        <w:t>建立现代化疾控体系人才培养使用机制</w:t>
      </w:r>
      <w:r>
        <w:rPr>
          <w:rFonts w:hint="eastAsia" w:ascii="Times New Roman" w:hAnsi="Times New Roman" w:cs="宋体"/>
        </w:rPr>
        <w:t>，加强公共卫生专业队伍建设，提高应急人员知识水平和应急决策能力。</w:t>
      </w:r>
      <w:r>
        <w:rPr>
          <w:rFonts w:ascii="Times New Roman" w:hAnsi="Times New Roman" w:cs="宋体"/>
          <w:shd w:val="clear" w:color="auto" w:fill="FFFFFF"/>
        </w:rPr>
        <w:t>普及公共卫生安全和疫情防控</w:t>
      </w:r>
      <w:r>
        <w:rPr>
          <w:rFonts w:hint="eastAsia" w:ascii="Times New Roman" w:hAnsi="Times New Roman" w:cs="宋体"/>
          <w:shd w:val="clear" w:color="auto" w:fill="FFFFFF"/>
        </w:rPr>
        <w:t>知识</w:t>
      </w:r>
      <w:r>
        <w:rPr>
          <w:rFonts w:ascii="Times New Roman" w:hAnsi="Times New Roman" w:cs="宋体"/>
          <w:shd w:val="clear" w:color="auto" w:fill="FFFFFF"/>
        </w:rPr>
        <w:t>，提高</w:t>
      </w:r>
      <w:r>
        <w:rPr>
          <w:rFonts w:hint="eastAsia" w:ascii="Times New Roman" w:hAnsi="Times New Roman" w:cs="宋体"/>
          <w:shd w:val="clear" w:color="auto" w:fill="FFFFFF"/>
        </w:rPr>
        <w:t>居民</w:t>
      </w:r>
      <w:r>
        <w:rPr>
          <w:rFonts w:ascii="Times New Roman" w:hAnsi="Times New Roman" w:cs="宋体"/>
          <w:shd w:val="clear" w:color="auto" w:fill="FFFFFF"/>
        </w:rPr>
        <w:t>公共卫生风险防控意识。</w:t>
      </w:r>
    </w:p>
    <w:p>
      <w:pPr>
        <w:spacing w:line="560" w:lineRule="exact"/>
        <w:ind w:firstLine="643"/>
        <w:jc w:val="both"/>
      </w:pPr>
      <w:bookmarkStart w:id="202" w:name="_Toc56021690"/>
      <w:r>
        <w:rPr>
          <w:rFonts w:hint="eastAsia"/>
          <w:b/>
          <w:bCs/>
        </w:rPr>
        <w:t>大力推进体育强区建设。</w:t>
      </w:r>
      <w:r>
        <w:rPr>
          <w:rFonts w:hint="eastAsia"/>
        </w:rPr>
        <w:t>重视青少年身体健康，适当增加在校学生体育活动时长，提高学生身体素质。加快各类体育场地和健身设施改善升级，增加中小型体育设施场所建设。推动学校体育场馆对市民开放，促进社区、公园等场所运动基础设施布局。广泛开展全民健身运动，办好历城特色体育赛事，延续济南环华山湖国际半程马拉松传统，丰富群众文化体育生活，不断提高全区居民健康水平。</w:t>
      </w:r>
    </w:p>
    <w:p>
      <w:pPr>
        <w:pStyle w:val="4"/>
        <w:spacing w:line="560" w:lineRule="exact"/>
      </w:pPr>
      <w:bookmarkStart w:id="203" w:name="_Toc32459"/>
      <w:bookmarkStart w:id="204" w:name="_Toc15313"/>
      <w:bookmarkStart w:id="205" w:name="_Toc27484"/>
      <w:bookmarkStart w:id="206" w:name="_Toc23770"/>
      <w:bookmarkStart w:id="207" w:name="_Toc19098"/>
      <w:r>
        <w:rPr>
          <w:rFonts w:hint="eastAsia"/>
        </w:rPr>
        <w:t>第四节</w:t>
      </w:r>
      <w:bookmarkEnd w:id="202"/>
      <w:r>
        <w:rPr>
          <w:rFonts w:hint="eastAsia"/>
        </w:rPr>
        <w:t>健全完善社会保障体系</w:t>
      </w:r>
      <w:bookmarkEnd w:id="203"/>
      <w:bookmarkEnd w:id="204"/>
      <w:bookmarkEnd w:id="205"/>
      <w:bookmarkEnd w:id="206"/>
      <w:bookmarkEnd w:id="207"/>
    </w:p>
    <w:p>
      <w:pPr>
        <w:spacing w:line="560" w:lineRule="exact"/>
        <w:jc w:val="both"/>
        <w:rPr>
          <w:rFonts w:ascii="仿宋_GB2312" w:hAnsi="Times New Roman"/>
          <w:szCs w:val="32"/>
        </w:rPr>
      </w:pPr>
      <w:r>
        <w:rPr>
          <w:rFonts w:hint="eastAsia"/>
        </w:rPr>
        <w:t>建立覆盖全民、统筹城乡、公平统一、可持续的多层次社会保障体系，发挥社会保障兜底作用，保障全区居民基本生存与生活需要。</w:t>
      </w:r>
    </w:p>
    <w:p>
      <w:pPr>
        <w:overflowPunct w:val="0"/>
        <w:spacing w:line="560" w:lineRule="exact"/>
        <w:ind w:firstLine="643"/>
        <w:jc w:val="both"/>
        <w:rPr>
          <w:rFonts w:ascii="Times New Roman" w:hAnsi="宋体" w:cs="宋体"/>
          <w:kern w:val="0"/>
          <w:szCs w:val="36"/>
        </w:rPr>
      </w:pPr>
      <w:r>
        <w:rPr>
          <w:rFonts w:hint="eastAsia" w:ascii="仿宋_GB2312" w:hAnsi="Times New Roman"/>
          <w:b/>
          <w:bCs/>
          <w:szCs w:val="32"/>
        </w:rPr>
        <w:t>强化社会保险保障能力。</w:t>
      </w:r>
      <w:r>
        <w:rPr>
          <w:rFonts w:hint="eastAsia" w:ascii="Times New Roman" w:hAnsi="宋体" w:cs="宋体"/>
          <w:kern w:val="0"/>
          <w:szCs w:val="36"/>
        </w:rPr>
        <w:t>实施全民参保计划，</w:t>
      </w:r>
      <w:r>
        <w:rPr>
          <w:rFonts w:hint="eastAsia" w:ascii="仿宋_GB2312" w:hAnsi="Times New Roman" w:cs="宋体"/>
          <w:szCs w:val="32"/>
        </w:rPr>
        <w:t>以城镇灵活就业人员、退役军人、新业态从业人员和断保续保人员等人群为重点，提高社会保险覆盖面。落实城乡居民养老待遇调整机制，深化机关事业单位养老保险制度改革，</w:t>
      </w:r>
      <w:r>
        <w:rPr>
          <w:rFonts w:hint="eastAsia" w:ascii="Times New Roman" w:hAnsi="Times New Roman"/>
          <w:szCs w:val="20"/>
        </w:rPr>
        <w:t>继续实施被征地农民养老保险制度。</w:t>
      </w:r>
      <w:r>
        <w:rPr>
          <w:rFonts w:hint="eastAsia" w:ascii="仿宋_GB2312" w:hAnsi="Times New Roman" w:cs="宋体"/>
          <w:szCs w:val="32"/>
        </w:rPr>
        <w:t>推进医保服务城乡全覆盖，</w:t>
      </w:r>
      <w:r>
        <w:rPr>
          <w:rFonts w:hint="eastAsia" w:ascii="仿宋_GB2312" w:hAnsi="仿宋" w:cs="楷体_GB2312"/>
          <w:kern w:val="0"/>
          <w:szCs w:val="32"/>
        </w:rPr>
        <w:t>加强医保基金监督管理和</w:t>
      </w:r>
      <w:r>
        <w:rPr>
          <w:rFonts w:hint="eastAsia" w:ascii="仿宋_GB2312" w:hAnsi="仿宋" w:cs="宋体"/>
          <w:kern w:val="0"/>
          <w:szCs w:val="32"/>
        </w:rPr>
        <w:t>价格检查</w:t>
      </w:r>
      <w:r>
        <w:rPr>
          <w:rFonts w:hint="eastAsia" w:ascii="仿宋_GB2312" w:hAnsi="仿宋" w:cs="楷体_GB2312"/>
          <w:kern w:val="0"/>
          <w:szCs w:val="32"/>
        </w:rPr>
        <w:t>，</w:t>
      </w:r>
      <w:r>
        <w:rPr>
          <w:rFonts w:hint="eastAsia" w:ascii="仿宋_GB2312" w:hAnsi="仿宋" w:cs="宋体"/>
          <w:kern w:val="0"/>
          <w:szCs w:val="32"/>
        </w:rPr>
        <w:t>建立医保信用评价体系和“黑名单”制度。</w:t>
      </w:r>
      <w:r>
        <w:rPr>
          <w:rFonts w:hint="eastAsia" w:ascii="Times New Roman" w:hAnsi="Times New Roman"/>
          <w:szCs w:val="20"/>
        </w:rPr>
        <w:t>健全重大疾病医疗保险制度，</w:t>
      </w:r>
      <w:r>
        <w:rPr>
          <w:rFonts w:hint="eastAsia" w:ascii="Times New Roman" w:hAnsi="宋体" w:cs="宋体"/>
          <w:kern w:val="0"/>
          <w:szCs w:val="36"/>
        </w:rPr>
        <w:t>创新医保支付方式，</w:t>
      </w:r>
      <w:r>
        <w:rPr>
          <w:rFonts w:hint="eastAsia" w:ascii="仿宋_GB2312" w:hAnsi="Times New Roman" w:cs="宋体"/>
          <w:szCs w:val="32"/>
        </w:rPr>
        <w:t>落实异地就医结算政策</w:t>
      </w:r>
      <w:r>
        <w:rPr>
          <w:rFonts w:hint="eastAsia" w:ascii="Times New Roman" w:hAnsi="宋体" w:cs="宋体"/>
          <w:kern w:val="0"/>
          <w:szCs w:val="36"/>
        </w:rPr>
        <w:t>。</w:t>
      </w:r>
      <w:r>
        <w:rPr>
          <w:rFonts w:hint="eastAsia" w:ascii="仿宋_GB2312"/>
          <w:szCs w:val="32"/>
        </w:rPr>
        <w:t>完善退役军人服务保障体系，维护军人军属合法权益。</w:t>
      </w:r>
    </w:p>
    <w:p>
      <w:pPr>
        <w:overflowPunct w:val="0"/>
        <w:spacing w:line="560" w:lineRule="exact"/>
        <w:ind w:firstLine="643"/>
        <w:jc w:val="both"/>
        <w:rPr>
          <w:rFonts w:ascii="仿宋_GB2312" w:hAnsi="Times New Roman"/>
          <w:szCs w:val="32"/>
        </w:rPr>
      </w:pPr>
      <w:r>
        <w:rPr>
          <w:rFonts w:hint="eastAsia" w:ascii="仿宋_GB2312" w:hAnsi="Times New Roman"/>
          <w:b/>
          <w:szCs w:val="32"/>
        </w:rPr>
        <w:t>健全社会养老服务体系。</w:t>
      </w:r>
      <w:r>
        <w:rPr>
          <w:rFonts w:hint="eastAsia" w:ascii="仿宋_GB2312" w:hAnsi="Times New Roman"/>
          <w:bCs/>
          <w:szCs w:val="32"/>
        </w:rPr>
        <w:t>构建</w:t>
      </w:r>
      <w:r>
        <w:rPr>
          <w:rFonts w:hint="eastAsia" w:ascii="仿宋_GB2312" w:hAnsi="宋体" w:cs="仿宋_GB2312"/>
          <w:bCs/>
        </w:rPr>
        <w:t>以居家养老为基础、社区养老为依托、社会化养老为补充，医养结合、城</w:t>
      </w:r>
      <w:r>
        <w:rPr>
          <w:rFonts w:hint="eastAsia" w:ascii="仿宋_GB2312" w:hAnsi="Times New Roman"/>
        </w:rPr>
        <w:t>乡一体</w:t>
      </w:r>
      <w:r>
        <w:rPr>
          <w:rFonts w:hint="eastAsia" w:ascii="仿宋_GB2312" w:hAnsi="宋体" w:cs="仿宋_GB2312"/>
          <w:bCs/>
        </w:rPr>
        <w:t>的多层次健康养老</w:t>
      </w:r>
      <w:r>
        <w:rPr>
          <w:rFonts w:hint="eastAsia" w:ascii="仿宋_GB2312" w:hAnsi="Times New Roman"/>
          <w:szCs w:val="32"/>
        </w:rPr>
        <w:t>服务体系。补齐养老服务设施短板，实施敬老院改造提升行动，推动区级养老服务中心建成并投入使用，增加普</w:t>
      </w:r>
      <w:r>
        <w:rPr>
          <w:rFonts w:hint="eastAsia" w:ascii="仿宋_GB2312" w:hAnsi="宋体" w:cs="宋体"/>
          <w:kern w:val="0"/>
          <w:szCs w:val="32"/>
        </w:rPr>
        <w:t>惠养老服务床位，加快城乡社区老年助餐场所建设。</w:t>
      </w:r>
      <w:r>
        <w:rPr>
          <w:rFonts w:ascii="仿宋_GB2312" w:hAnsi="Times New Roman"/>
        </w:rPr>
        <w:t>引导</w:t>
      </w:r>
      <w:r>
        <w:rPr>
          <w:rFonts w:hint="eastAsia" w:ascii="仿宋_GB2312" w:hAnsi="Times New Roman"/>
        </w:rPr>
        <w:t>更多</w:t>
      </w:r>
      <w:r>
        <w:rPr>
          <w:rFonts w:ascii="仿宋_GB2312" w:hAnsi="Times New Roman"/>
        </w:rPr>
        <w:t>社会资本</w:t>
      </w:r>
      <w:r>
        <w:rPr>
          <w:rFonts w:hint="eastAsia" w:ascii="仿宋_GB2312" w:hAnsi="Times New Roman"/>
        </w:rPr>
        <w:t>投入</w:t>
      </w:r>
      <w:r>
        <w:rPr>
          <w:rFonts w:ascii="仿宋_GB2312" w:hAnsi="Times New Roman"/>
        </w:rPr>
        <w:t>养老服务业</w:t>
      </w:r>
      <w:r>
        <w:rPr>
          <w:rFonts w:hint="eastAsia" w:ascii="仿宋_GB2312" w:hAnsi="Times New Roman"/>
        </w:rPr>
        <w:t>，加大养老产业集团和服务连锁机构的培育力度，推动养老产业化发展。</w:t>
      </w:r>
      <w:r>
        <w:rPr>
          <w:rFonts w:hint="eastAsia" w:ascii="仿宋_GB2312" w:hAnsi="Times New Roman"/>
          <w:szCs w:val="32"/>
        </w:rPr>
        <w:t>引导养老机构设立社区医院、门诊或医务室，鼓励</w:t>
      </w:r>
      <w:r>
        <w:rPr>
          <w:rFonts w:hint="eastAsia" w:ascii="仿宋_GB2312" w:hAnsi="仿宋_GB2312" w:cs="仿宋_GB2312"/>
          <w:szCs w:val="32"/>
        </w:rPr>
        <w:t>医疗机构内部建设养老设施，</w:t>
      </w:r>
      <w:r>
        <w:rPr>
          <w:rFonts w:hint="eastAsia" w:ascii="仿宋_GB2312" w:hAnsi="Times New Roman"/>
          <w:szCs w:val="32"/>
        </w:rPr>
        <w:t>发展嵌入式养老。</w:t>
      </w:r>
      <w:r>
        <w:rPr>
          <w:rFonts w:hint="eastAsia" w:ascii="仿宋_GB2312" w:hAnsi="仿宋_GB2312" w:cs="仿宋_GB2312"/>
          <w:szCs w:val="32"/>
        </w:rPr>
        <w:t>深入推进智慧养老模式，搭建一体式健康养老平台，创建全省智慧健康养老应用试点示范。</w:t>
      </w:r>
      <w:r>
        <w:rPr>
          <w:rFonts w:hint="eastAsia" w:ascii="仿宋_GB2312" w:hAnsi="宋体" w:cs="宋体"/>
          <w:kern w:val="0"/>
          <w:szCs w:val="32"/>
          <w:lang w:val="zh-CN"/>
        </w:rPr>
        <w:t>加快老化基础设施适改造，构建老年友好社区，建设老年友好</w:t>
      </w:r>
      <w:r>
        <w:rPr>
          <w:rFonts w:hint="eastAsia" w:ascii="仿宋_GB2312" w:hAnsi="宋体" w:cs="宋体"/>
          <w:kern w:val="0"/>
          <w:szCs w:val="32"/>
        </w:rPr>
        <w:t>型</w:t>
      </w:r>
      <w:r>
        <w:rPr>
          <w:rFonts w:hint="eastAsia" w:ascii="仿宋_GB2312" w:hAnsi="宋体" w:cs="宋体"/>
          <w:kern w:val="0"/>
          <w:szCs w:val="32"/>
          <w:lang w:val="zh-CN"/>
        </w:rPr>
        <w:t>城区</w:t>
      </w:r>
      <w:r>
        <w:rPr>
          <w:rFonts w:hint="eastAsia" w:ascii="仿宋_GB2312" w:hAnsi="宋体" w:cs="宋体"/>
          <w:kern w:val="0"/>
          <w:szCs w:val="32"/>
        </w:rPr>
        <w:t>。</w:t>
      </w:r>
    </w:p>
    <w:p>
      <w:pPr>
        <w:overflowPunct w:val="0"/>
        <w:spacing w:line="560" w:lineRule="exact"/>
        <w:ind w:firstLine="643"/>
        <w:jc w:val="both"/>
        <w:rPr>
          <w:rFonts w:ascii="Times New Roman" w:hAnsi="Times New Roman"/>
          <w:szCs w:val="32"/>
        </w:rPr>
      </w:pPr>
      <w:r>
        <w:rPr>
          <w:rFonts w:hint="eastAsia" w:ascii="Times New Roman" w:hAnsi="Times New Roman"/>
          <w:b/>
          <w:bCs/>
          <w:szCs w:val="20"/>
        </w:rPr>
        <w:t>切实加强社会救助力度</w:t>
      </w:r>
      <w:r>
        <w:rPr>
          <w:rFonts w:hint="eastAsia" w:ascii="仿宋_GB2312" w:hAnsi="Times New Roman"/>
          <w:b/>
          <w:bCs/>
          <w:szCs w:val="32"/>
        </w:rPr>
        <w:t>。</w:t>
      </w:r>
      <w:r>
        <w:rPr>
          <w:rFonts w:hint="eastAsia" w:ascii="仿宋_GB2312" w:hAnsi="Times New Roman"/>
          <w:bCs/>
          <w:szCs w:val="32"/>
        </w:rPr>
        <w:t>健全社会救助制度，构筑</w:t>
      </w:r>
      <w:r>
        <w:rPr>
          <w:rFonts w:hint="eastAsia" w:ascii="仿宋_GB2312" w:hAnsi="宋体" w:cs="宋体"/>
          <w:kern w:val="0"/>
          <w:szCs w:val="32"/>
          <w:lang w:val="zh-CN"/>
        </w:rPr>
        <w:t>分层分类的社会救助体系，</w:t>
      </w:r>
      <w:r>
        <w:rPr>
          <w:rFonts w:hint="eastAsia" w:ascii="仿宋_GB2312" w:hAnsi="Times New Roman" w:cs="宋体"/>
          <w:szCs w:val="32"/>
        </w:rPr>
        <w:t>兜牢基本民生保障底线。</w:t>
      </w:r>
      <w:r>
        <w:rPr>
          <w:rFonts w:hint="eastAsia" w:ascii="仿宋_GB2312" w:hAnsi="宋体" w:cs="宋体"/>
          <w:kern w:val="0"/>
          <w:szCs w:val="32"/>
          <w:lang w:val="zh-CN"/>
        </w:rPr>
        <w:t>健全最低生活保障制度和特困人员供养制度，</w:t>
      </w:r>
      <w:r>
        <w:rPr>
          <w:rFonts w:hint="eastAsia" w:ascii="Times New Roman" w:hAnsi="Times New Roman"/>
          <w:szCs w:val="32"/>
        </w:rPr>
        <w:t>适度提高城乡低保、农村特困人员补助标准。</w:t>
      </w:r>
      <w:r>
        <w:rPr>
          <w:rFonts w:ascii="Times New Roman" w:hAnsi="Times New Roman"/>
          <w:szCs w:val="32"/>
        </w:rPr>
        <w:t>加大</w:t>
      </w:r>
      <w:r>
        <w:rPr>
          <w:rFonts w:hint="eastAsia" w:ascii="Times New Roman" w:hAnsi="Times New Roman"/>
          <w:szCs w:val="32"/>
        </w:rPr>
        <w:t>对困难群众</w:t>
      </w:r>
      <w:r>
        <w:rPr>
          <w:rFonts w:ascii="Times New Roman" w:hAnsi="Times New Roman"/>
          <w:szCs w:val="32"/>
        </w:rPr>
        <w:t>临时救助力度，</w:t>
      </w:r>
      <w:r>
        <w:rPr>
          <w:rFonts w:hint="eastAsia" w:ascii="仿宋_GB2312" w:hAnsi="宋体" w:cs="宋体"/>
          <w:kern w:val="0"/>
          <w:szCs w:val="32"/>
        </w:rPr>
        <w:t>做到应保尽保</w:t>
      </w:r>
      <w:r>
        <w:rPr>
          <w:rFonts w:hint="eastAsia" w:ascii="仿宋_GB2312" w:hAnsi="宋体" w:cs="宋体"/>
          <w:kern w:val="0"/>
          <w:szCs w:val="32"/>
          <w:lang w:val="zh-CN"/>
        </w:rPr>
        <w:t>。</w:t>
      </w:r>
      <w:r>
        <w:rPr>
          <w:rFonts w:hint="eastAsia" w:ascii="仿宋_GB2312"/>
          <w:szCs w:val="32"/>
        </w:rPr>
        <w:t>健全残疾人关爱服务体系和设施，完善帮扶残疾人、孤儿等特殊群体社会福利制度，</w:t>
      </w:r>
      <w:r>
        <w:rPr>
          <w:rFonts w:hint="eastAsia" w:ascii="仿宋_GB2312" w:hAnsi="宋体" w:cs="宋体"/>
          <w:kern w:val="0"/>
          <w:szCs w:val="32"/>
        </w:rPr>
        <w:t>加强无障碍环境建设</w:t>
      </w:r>
      <w:r>
        <w:rPr>
          <w:rFonts w:hint="eastAsia" w:ascii="仿宋_GB2312" w:hAnsi="Times New Roman"/>
          <w:szCs w:val="32"/>
        </w:rPr>
        <w:t>。完善社会福利制度，大力</w:t>
      </w:r>
      <w:r>
        <w:rPr>
          <w:rFonts w:hint="eastAsia" w:ascii="仿宋_GB2312" w:hAnsi="等线"/>
          <w:szCs w:val="32"/>
        </w:rPr>
        <w:t>发展公益慈善事业</w:t>
      </w:r>
      <w:r>
        <w:rPr>
          <w:rFonts w:hint="eastAsia" w:ascii="仿宋_GB2312" w:hAnsi="Times New Roman"/>
          <w:szCs w:val="32"/>
        </w:rPr>
        <w:t>。推广</w:t>
      </w:r>
      <w:r>
        <w:rPr>
          <w:rFonts w:hint="eastAsia" w:ascii="Times New Roman" w:hAnsi="Times New Roman"/>
          <w:szCs w:val="32"/>
        </w:rPr>
        <w:t>“</w:t>
      </w:r>
      <w:r>
        <w:rPr>
          <w:rFonts w:ascii="Times New Roman" w:hAnsi="Times New Roman"/>
          <w:szCs w:val="32"/>
        </w:rPr>
        <w:t>物质</w:t>
      </w:r>
      <w:r>
        <w:rPr>
          <w:rFonts w:hint="eastAsia" w:ascii="仿宋_GB2312" w:hAnsi="Times New Roman"/>
          <w:szCs w:val="32"/>
        </w:rPr>
        <w:t>+</w:t>
      </w:r>
      <w:r>
        <w:rPr>
          <w:rFonts w:ascii="Times New Roman" w:hAnsi="Times New Roman"/>
          <w:szCs w:val="32"/>
        </w:rPr>
        <w:t>服务</w:t>
      </w:r>
      <w:r>
        <w:rPr>
          <w:rFonts w:hint="eastAsia" w:ascii="Times New Roman" w:hAnsi="Times New Roman"/>
          <w:szCs w:val="32"/>
        </w:rPr>
        <w:t>”</w:t>
      </w:r>
      <w:r>
        <w:rPr>
          <w:rFonts w:ascii="Times New Roman" w:hAnsi="Times New Roman"/>
          <w:szCs w:val="32"/>
        </w:rPr>
        <w:t>救助方式</w:t>
      </w:r>
      <w:r>
        <w:rPr>
          <w:rFonts w:hint="eastAsia" w:ascii="Times New Roman" w:hAnsi="Times New Roman"/>
          <w:szCs w:val="32"/>
        </w:rPr>
        <w:t>，为困难群众提供健康</w:t>
      </w:r>
      <w:r>
        <w:rPr>
          <w:rFonts w:ascii="Times New Roman" w:hAnsi="Times New Roman"/>
          <w:szCs w:val="32"/>
        </w:rPr>
        <w:t>、心理、教育、信息等</w:t>
      </w:r>
      <w:r>
        <w:rPr>
          <w:rFonts w:hint="eastAsia" w:ascii="Times New Roman" w:hAnsi="Times New Roman"/>
          <w:szCs w:val="32"/>
        </w:rPr>
        <w:t>多</w:t>
      </w:r>
      <w:r>
        <w:rPr>
          <w:rFonts w:ascii="Times New Roman" w:hAnsi="Times New Roman"/>
          <w:szCs w:val="32"/>
        </w:rPr>
        <w:t>方面</w:t>
      </w:r>
      <w:r>
        <w:rPr>
          <w:rFonts w:hint="eastAsia" w:ascii="Times New Roman" w:hAnsi="Times New Roman"/>
          <w:szCs w:val="32"/>
        </w:rPr>
        <w:t>服务。</w:t>
      </w:r>
    </w:p>
    <w:p>
      <w:pPr>
        <w:overflowPunct w:val="0"/>
        <w:spacing w:line="560" w:lineRule="exact"/>
        <w:ind w:firstLine="643"/>
        <w:jc w:val="both"/>
        <w:rPr>
          <w:rFonts w:ascii="仿宋_GB2312" w:hAnsi="宋体" w:cs="宋体"/>
          <w:kern w:val="0"/>
          <w:szCs w:val="32"/>
        </w:rPr>
      </w:pPr>
      <w:r>
        <w:rPr>
          <w:rFonts w:hint="eastAsia" w:ascii="Times New Roman" w:hAnsi="Times New Roman" w:cs="宋体"/>
          <w:b/>
          <w:bCs/>
        </w:rPr>
        <w:t>推进妇女儿童权益保护。</w:t>
      </w:r>
      <w:r>
        <w:rPr>
          <w:rFonts w:hint="eastAsia" w:ascii="仿宋_GB2312" w:hAnsi="宋体" w:cs="宋体"/>
          <w:kern w:val="0"/>
          <w:szCs w:val="32"/>
        </w:rPr>
        <w:t>促进就业公平，</w:t>
      </w:r>
      <w:r>
        <w:rPr>
          <w:rFonts w:hint="eastAsia" w:ascii="Times New Roman" w:hAnsi="Times New Roman" w:cs="宋体"/>
          <w:szCs w:val="32"/>
        </w:rPr>
        <w:t>维护妇女平等就业权益。</w:t>
      </w:r>
      <w:r>
        <w:rPr>
          <w:rFonts w:hint="eastAsia" w:ascii="仿宋_GB2312" w:hAnsi="宋体" w:cs="宋体"/>
          <w:kern w:val="0"/>
          <w:szCs w:val="32"/>
        </w:rPr>
        <w:t>完善生育保障制度体系，保障孕产妇群体特殊权益。扩大农村和城镇低保适龄妇女“两癌”免费检查和救助覆盖面。</w:t>
      </w:r>
      <w:r>
        <w:rPr>
          <w:rFonts w:hint="eastAsia" w:ascii="仿宋_GB2312" w:hAnsi="Times New Roman" w:cs="宋体"/>
          <w:szCs w:val="32"/>
        </w:rPr>
        <w:t>健全政策标</w:t>
      </w:r>
      <w:r>
        <w:rPr>
          <w:rFonts w:hint="eastAsia" w:ascii="仿宋_GB2312" w:hAnsi="宋体" w:cs="宋体"/>
          <w:kern w:val="0"/>
          <w:szCs w:val="32"/>
        </w:rPr>
        <w:t>准和服务供给体系，促进3岁以下婴幼儿照护事业发展。加强农村留守儿童关爱保护工作，确保农村留守儿童安全、健康、受教育等权益得到有效保障。加强未成年人救助保护中心建设，依法严厉打击侵害未成年人合法权益的行为。</w:t>
      </w:r>
    </w:p>
    <w:p>
      <w:pPr>
        <w:overflowPunct w:val="0"/>
        <w:spacing w:line="560" w:lineRule="exact"/>
        <w:ind w:firstLine="643"/>
        <w:jc w:val="both"/>
        <w:rPr>
          <w:rFonts w:ascii="仿宋_GB2312" w:hAnsi="仿宋" w:cs="仿宋"/>
          <w:kern w:val="0"/>
          <w:szCs w:val="32"/>
        </w:rPr>
      </w:pPr>
      <w:r>
        <w:rPr>
          <w:rFonts w:hint="eastAsia" w:ascii="仿宋_GB2312" w:hAnsi="Times New Roman" w:cs="宋体"/>
          <w:b/>
          <w:bCs/>
        </w:rPr>
        <w:t>健全多层次住房保障体系。</w:t>
      </w:r>
      <w:r>
        <w:rPr>
          <w:rFonts w:hint="eastAsia" w:ascii="仿宋_GB2312" w:hAnsi="Times New Roman" w:cs="宋体"/>
        </w:rPr>
        <w:t>坚持“房子是用来住的、不是用来炒的”定位，多策并举促进房地产市场平稳健康发展。高度重视保障性租赁住房建设，规范发展长租房市场，积极推动租售同权。落实租赁住房税费减免政策，整顿租赁市场秩序，规范市场行为。</w:t>
      </w:r>
      <w:r>
        <w:rPr>
          <w:rFonts w:hint="eastAsia" w:ascii="Times New Roman" w:hAnsi="宋体" w:cs="宋体"/>
          <w:kern w:val="0"/>
          <w:szCs w:val="36"/>
        </w:rPr>
        <w:t>建立完善租售并举的人才住房制度体系，多方式满足人才多样化住房需求。</w:t>
      </w:r>
      <w:r>
        <w:rPr>
          <w:rFonts w:hint="eastAsia" w:ascii="仿宋_GB2312" w:hAnsi="Times New Roman" w:cs="宋体"/>
        </w:rPr>
        <w:t>探索利用集体建设用地和企事业单位自有闲置土地建设租赁住房。</w:t>
      </w:r>
    </w:p>
    <w:p>
      <w:pPr>
        <w:overflowPunct w:val="0"/>
        <w:spacing w:line="560" w:lineRule="exact"/>
        <w:ind w:firstLine="643"/>
        <w:contextualSpacing/>
        <w:jc w:val="both"/>
        <w:rPr>
          <w:rFonts w:ascii="仿宋_GB2312" w:hAnsi="等线"/>
          <w:szCs w:val="32"/>
        </w:rPr>
      </w:pPr>
      <w:r>
        <w:rPr>
          <w:rFonts w:hint="eastAsia" w:ascii="仿宋_GB2312" w:hAnsi="楷体_GB2312" w:cs="楷体_GB2312"/>
          <w:b/>
          <w:bCs/>
          <w:szCs w:val="32"/>
        </w:rPr>
        <w:t>不断提高居民收入水平。</w:t>
      </w:r>
      <w:r>
        <w:rPr>
          <w:rFonts w:hint="eastAsia" w:ascii="Times New Roman" w:hAnsi="宋体" w:cs="宋体"/>
          <w:kern w:val="0"/>
          <w:szCs w:val="36"/>
        </w:rPr>
        <w:t>贯彻落实</w:t>
      </w:r>
      <w:r>
        <w:rPr>
          <w:rFonts w:hint="eastAsia" w:ascii="仿宋_GB2312" w:hAnsi="等线"/>
          <w:szCs w:val="32"/>
        </w:rPr>
        <w:t>最低工资标准调整、工资集体协商和企业薪酬调查制度。健全工资合理增长机制，提高低收入群体收入，扩大中等收入群体规模。发展公益慈善事业，拓宽居民收入增长渠道。</w:t>
      </w:r>
      <w:r>
        <w:rPr>
          <w:rFonts w:hint="eastAsia" w:ascii="Times New Roman" w:hAnsi="宋体" w:cs="宋体"/>
          <w:kern w:val="0"/>
          <w:szCs w:val="36"/>
        </w:rPr>
        <w:t>健全事业单位和国有企业薪酬制度和岗位绩效工资制度，落实高层次人才收入分配激励机制。</w:t>
      </w:r>
      <w:r>
        <w:rPr>
          <w:rFonts w:hint="eastAsia" w:ascii="仿宋_GB2312" w:hAnsi="等线"/>
          <w:szCs w:val="32"/>
        </w:rPr>
        <w:t>完善农民工工资支付机制，保障农民工权益。</w:t>
      </w:r>
      <w:r>
        <w:rPr>
          <w:rFonts w:hint="eastAsia" w:ascii="Times New Roman" w:hAnsi="宋体" w:cs="宋体"/>
          <w:kern w:val="0"/>
          <w:szCs w:val="36"/>
        </w:rPr>
        <w:t>完善股份制企业分红制度，推广员工持股制度。</w:t>
      </w:r>
      <w:r>
        <w:rPr>
          <w:rFonts w:hint="eastAsia" w:ascii="仿宋_GB2312" w:hAnsi="等线"/>
          <w:szCs w:val="32"/>
        </w:rPr>
        <w:t>探索通过土地、资本等要素使用权、收益权增加中低收入群体要素收入。发挥第三次分配作用，加大税收、社保、转移支付等再分配调节力度和精准性。</w:t>
      </w:r>
    </w:p>
    <w:p>
      <w:pPr>
        <w:pStyle w:val="2"/>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overflowPunct w:val="0"/>
              <w:spacing w:line="240" w:lineRule="auto"/>
              <w:ind w:firstLine="0" w:firstLineChars="0"/>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专栏12.1 重点民生项目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47" w:type="dxa"/>
          </w:tcPr>
          <w:p>
            <w:pPr>
              <w:overflowPunct w:val="0"/>
              <w:spacing w:line="240" w:lineRule="auto"/>
              <w:ind w:firstLine="562"/>
              <w:jc w:val="both"/>
              <w:rPr>
                <w:rFonts w:ascii="楷体_GB2312" w:hAnsi="楷体_GB2312" w:eastAsia="楷体_GB2312" w:cs="楷体_GB2312"/>
                <w:sz w:val="28"/>
                <w:szCs w:val="28"/>
              </w:rPr>
            </w:pPr>
            <w:r>
              <w:rPr>
                <w:rFonts w:hint="eastAsia" w:ascii="楷体_GB2312" w:hAnsi="楷体_GB2312" w:eastAsia="楷体_GB2312" w:cs="楷体_GB2312"/>
                <w:b/>
                <w:bCs/>
                <w:sz w:val="28"/>
                <w:szCs w:val="28"/>
              </w:rPr>
              <w:t>自贸区国际医院。</w:t>
            </w:r>
            <w:r>
              <w:rPr>
                <w:rFonts w:hint="eastAsia" w:ascii="楷体_GB2312" w:hAnsi="楷体_GB2312" w:eastAsia="楷体_GB2312" w:cs="楷体_GB2312"/>
                <w:sz w:val="28"/>
                <w:szCs w:val="28"/>
              </w:rPr>
              <w:t>以国际医院为核心，以大健康理念为指导思想，重点规划建设医院、康养、产学研基地等五大板块。</w:t>
            </w:r>
          </w:p>
          <w:p>
            <w:pPr>
              <w:overflowPunct w:val="0"/>
              <w:spacing w:line="240" w:lineRule="auto"/>
              <w:ind w:firstLine="562"/>
              <w:jc w:val="both"/>
              <w:rPr>
                <w:rFonts w:eastAsia="楷体_GB2312"/>
              </w:rPr>
            </w:pPr>
            <w:r>
              <w:rPr>
                <w:rFonts w:hint="eastAsia" w:ascii="楷体_GB2312" w:hAnsi="楷体_GB2312" w:eastAsia="楷体_GB2312" w:cs="楷体_GB2312"/>
                <w:b/>
                <w:bCs/>
                <w:sz w:val="28"/>
                <w:szCs w:val="28"/>
              </w:rPr>
              <w:t>唐冶（三甲）医院。</w:t>
            </w:r>
            <w:r>
              <w:rPr>
                <w:rFonts w:hint="eastAsia" w:ascii="楷体_GB2312" w:hAnsi="楷体_GB2312" w:eastAsia="楷体_GB2312" w:cs="楷体_GB2312"/>
                <w:sz w:val="28"/>
                <w:szCs w:val="28"/>
              </w:rPr>
              <w:t>拟建成床位数1200个的三甲医院，集病房、感染科、行政办公、科研教学、后勤办公、库房等功能于一体，并设置9000平方米疾控中心。</w:t>
            </w:r>
          </w:p>
        </w:tc>
      </w:tr>
    </w:tbl>
    <w:p>
      <w:pPr>
        <w:pStyle w:val="3"/>
        <w:spacing w:line="560" w:lineRule="exact"/>
        <w:rPr>
          <w:rFonts w:hint="default"/>
        </w:rPr>
      </w:pPr>
      <w:bookmarkStart w:id="208" w:name="_Toc16415"/>
      <w:bookmarkStart w:id="209" w:name="_Toc32002"/>
      <w:bookmarkStart w:id="210" w:name="_Toc10553"/>
      <w:bookmarkStart w:id="211" w:name="_Toc15212"/>
      <w:bookmarkStart w:id="212" w:name="_Toc20893"/>
      <w:r>
        <w:t>第十三章争创社会治理智慧高效典范区</w:t>
      </w:r>
      <w:bookmarkEnd w:id="208"/>
      <w:bookmarkEnd w:id="209"/>
      <w:bookmarkEnd w:id="210"/>
      <w:bookmarkEnd w:id="211"/>
      <w:bookmarkEnd w:id="212"/>
    </w:p>
    <w:p>
      <w:pPr>
        <w:overflowPunct w:val="0"/>
        <w:spacing w:line="560" w:lineRule="exact"/>
        <w:jc w:val="both"/>
        <w:rPr>
          <w:rFonts w:ascii="Times New Roman" w:hAnsi="Times New Roman" w:cs="宋体"/>
        </w:rPr>
      </w:pPr>
      <w:r>
        <w:rPr>
          <w:rFonts w:hint="eastAsia" w:ascii="仿宋_GB2312" w:hAnsi="等线"/>
          <w:szCs w:val="32"/>
        </w:rPr>
        <w:t>以社会治理现代化建设为重点，</w:t>
      </w:r>
      <w:r>
        <w:rPr>
          <w:rFonts w:hint="eastAsia" w:ascii="Times New Roman" w:hAnsi="Times New Roman" w:cs="宋体"/>
        </w:rPr>
        <w:t>加强社会治理水平、创新社会治理方式，加快</w:t>
      </w:r>
      <w:r>
        <w:rPr>
          <w:rFonts w:hint="eastAsia" w:ascii="仿宋_GB2312" w:hAnsi="仿宋_GB2312" w:cs="仿宋_GB2312"/>
          <w:szCs w:val="32"/>
        </w:rPr>
        <w:t>构建民主协商、社会协同、公众参与、法治保障、科技支撑的社会治理体系。</w:t>
      </w:r>
    </w:p>
    <w:p>
      <w:pPr>
        <w:pStyle w:val="4"/>
        <w:spacing w:line="560" w:lineRule="exact"/>
      </w:pPr>
      <w:bookmarkStart w:id="213" w:name="_Toc27950"/>
      <w:bookmarkStart w:id="214" w:name="_Toc2132"/>
      <w:r>
        <w:rPr>
          <w:rFonts w:hint="eastAsia"/>
        </w:rPr>
        <w:t>第一节完善社会治理体系建设</w:t>
      </w:r>
      <w:bookmarkEnd w:id="213"/>
      <w:bookmarkEnd w:id="214"/>
    </w:p>
    <w:p>
      <w:pPr>
        <w:overflowPunct w:val="0"/>
        <w:spacing w:line="560" w:lineRule="exact"/>
        <w:jc w:val="both"/>
        <w:rPr>
          <w:rFonts w:ascii="Times New Roman" w:hAnsi="Times New Roman"/>
          <w:szCs w:val="20"/>
        </w:rPr>
      </w:pPr>
      <w:r>
        <w:rPr>
          <w:rFonts w:ascii="Times New Roman" w:hAnsi="Times New Roman"/>
          <w:szCs w:val="20"/>
        </w:rPr>
        <w:t>构建网格化管理、精细化服务、信息化支撑、开放共享的基层</w:t>
      </w:r>
      <w:r>
        <w:rPr>
          <w:rFonts w:hint="eastAsia" w:ascii="Times New Roman" w:hAnsi="Times New Roman"/>
          <w:szCs w:val="20"/>
        </w:rPr>
        <w:t>治理体系，打造</w:t>
      </w:r>
      <w:r>
        <w:rPr>
          <w:rFonts w:ascii="Times New Roman" w:hAnsi="Times New Roman"/>
          <w:szCs w:val="20"/>
        </w:rPr>
        <w:t>政府治理同</w:t>
      </w:r>
      <w:r>
        <w:rPr>
          <w:rFonts w:hint="eastAsia" w:ascii="Times New Roman" w:hAnsi="Times New Roman"/>
          <w:szCs w:val="20"/>
        </w:rPr>
        <w:t>社区</w:t>
      </w:r>
      <w:r>
        <w:rPr>
          <w:rFonts w:ascii="Times New Roman" w:hAnsi="Times New Roman"/>
          <w:szCs w:val="20"/>
        </w:rPr>
        <w:t>、</w:t>
      </w:r>
      <w:r>
        <w:rPr>
          <w:rFonts w:hint="eastAsia" w:ascii="Times New Roman" w:hAnsi="Times New Roman"/>
          <w:szCs w:val="20"/>
        </w:rPr>
        <w:t>社会组织、</w:t>
      </w:r>
      <w:r>
        <w:rPr>
          <w:rFonts w:ascii="Times New Roman" w:hAnsi="Times New Roman"/>
          <w:szCs w:val="20"/>
        </w:rPr>
        <w:t>居民自治良性互动的社会治理共同体</w:t>
      </w:r>
      <w:r>
        <w:rPr>
          <w:rFonts w:hint="eastAsia" w:ascii="Times New Roman" w:hAnsi="Times New Roman"/>
          <w:szCs w:val="20"/>
        </w:rPr>
        <w:t>。</w:t>
      </w:r>
    </w:p>
    <w:p>
      <w:pPr>
        <w:overflowPunct w:val="0"/>
        <w:spacing w:line="560" w:lineRule="exact"/>
        <w:ind w:firstLine="643"/>
        <w:jc w:val="both"/>
        <w:rPr>
          <w:rFonts w:ascii="仿宋_GB2312" w:hAnsi="等线"/>
          <w:szCs w:val="32"/>
        </w:rPr>
      </w:pPr>
      <w:r>
        <w:rPr>
          <w:rFonts w:hint="eastAsia" w:ascii="仿宋_GB2312" w:hAnsi="Times New Roman"/>
          <w:b/>
          <w:bCs/>
          <w:szCs w:val="32"/>
        </w:rPr>
        <w:t>全面夯实基层治理。</w:t>
      </w:r>
      <w:r>
        <w:rPr>
          <w:rFonts w:hint="eastAsia" w:ascii="仿宋_GB2312" w:hAnsi="Times New Roman"/>
          <w:szCs w:val="32"/>
        </w:rPr>
        <w:t>强化社区多元化治理，完善基层党建、居民自治、社区服务、物业管理、社区教育、社会治安“六位一体”的社区管理模式</w:t>
      </w:r>
      <w:r>
        <w:rPr>
          <w:rFonts w:hint="eastAsia" w:ascii="仿宋_GB2312" w:hAnsi="仿宋_GB2312"/>
          <w:szCs w:val="40"/>
        </w:rPr>
        <w:t>。</w:t>
      </w:r>
      <w:r>
        <w:rPr>
          <w:rFonts w:hint="eastAsia" w:ascii="仿宋_GB2312" w:hAnsi="Times New Roman"/>
          <w:szCs w:val="32"/>
        </w:rPr>
        <w:t>健全“全区一张网”网格化管理体系，开展社区网格化和标准化服务，</w:t>
      </w:r>
      <w:r>
        <w:rPr>
          <w:rFonts w:hint="eastAsia" w:ascii="Times New Roman" w:hAnsi="Times New Roman"/>
          <w:szCs w:val="20"/>
        </w:rPr>
        <w:t>提高精细化管理水平。弘扬发展</w:t>
      </w:r>
      <w:r>
        <w:rPr>
          <w:rFonts w:hint="eastAsia" w:ascii="Times New Roman" w:hAnsi="宋体" w:cs="宋体"/>
          <w:kern w:val="0"/>
          <w:szCs w:val="36"/>
        </w:rPr>
        <w:t>新时代“枫桥经验”，</w:t>
      </w:r>
      <w:r>
        <w:rPr>
          <w:rFonts w:hint="eastAsia" w:ascii="仿宋_GB2312" w:hAnsi="等线"/>
          <w:szCs w:val="32"/>
        </w:rPr>
        <w:t>坚持网格、热线、舆情、信访“四线并举”，完善舆情监测预警防控、矛盾纠纷多元化解等“九项机制”</w:t>
      </w:r>
      <w:r>
        <w:rPr>
          <w:rFonts w:hint="eastAsia" w:ascii="Times New Roman" w:hAnsi="宋体" w:cs="宋体"/>
          <w:kern w:val="0"/>
          <w:szCs w:val="36"/>
        </w:rPr>
        <w:t>，推动社会矛盾纠纷多元化解。</w:t>
      </w:r>
      <w:r>
        <w:rPr>
          <w:rFonts w:hint="eastAsia" w:ascii="仿宋_GB2312" w:hAnsi="Times New Roman"/>
          <w:szCs w:val="32"/>
        </w:rPr>
        <w:t>探索建立“社区公益基金”，定向使用于特定困难群体帮扶、社区志愿服务等公益事业。</w:t>
      </w:r>
      <w:r>
        <w:rPr>
          <w:rFonts w:hint="eastAsia" w:ascii="仿宋_GB2312" w:hAnsi="等线"/>
          <w:szCs w:val="32"/>
        </w:rPr>
        <w:t>强化专职网格员队伍建设，提升各级领导干部治理能力水平。</w:t>
      </w:r>
    </w:p>
    <w:p>
      <w:pPr>
        <w:spacing w:line="560" w:lineRule="exact"/>
        <w:ind w:firstLine="643"/>
        <w:jc w:val="both"/>
      </w:pPr>
      <w:r>
        <w:rPr>
          <w:rFonts w:hint="eastAsia"/>
          <w:b/>
          <w:bCs/>
        </w:rPr>
        <w:t>引导多方组织参与。</w:t>
      </w:r>
      <w:r>
        <w:rPr>
          <w:rFonts w:hint="eastAsia"/>
        </w:rPr>
        <w:t>发挥群团组织和社会组织在社会治理中的作用，畅通和规范市场主体、新社会阶层、社会工作者和志愿者等参与社会治理的途径，构建全民参与社会治理新格局。支持行业协会商会类、科技类、公益慈善类、社区服务类社会组织发展，更好发挥自律、他律、互律作用。加强志愿者队伍建设，引导各类组织广泛开展志愿服务关爱行动。优化激励奖惩机制，制定社会组织评定细则，对参与社会管理、志愿服务活动、社区综合治理的社会组织进行评比表彰。完善保障体系，提升组织保障、人才保障、制度保障、经费保障水平，构建系统高效的社会治理综合保障体系。</w:t>
      </w:r>
    </w:p>
    <w:p>
      <w:pPr>
        <w:overflowPunct w:val="0"/>
        <w:spacing w:line="560" w:lineRule="exact"/>
        <w:ind w:firstLine="643"/>
        <w:contextualSpacing/>
        <w:jc w:val="both"/>
        <w:rPr>
          <w:rFonts w:ascii="仿宋_GB2312" w:hAnsi="Times New Roman" w:cs="宋体"/>
        </w:rPr>
      </w:pPr>
      <w:r>
        <w:rPr>
          <w:rFonts w:hint="eastAsia" w:ascii="Times New Roman" w:hAnsi="Times New Roman"/>
          <w:b/>
          <w:bCs/>
          <w:szCs w:val="20"/>
        </w:rPr>
        <w:t>强化数字治理能力。</w:t>
      </w:r>
      <w:r>
        <w:rPr>
          <w:rFonts w:hint="eastAsia" w:ascii="仿宋_GB2312" w:hAnsi="Times New Roman" w:cs="宋体"/>
        </w:rPr>
        <w:t>打造“智慧城市”，</w:t>
      </w:r>
      <w:r>
        <w:rPr>
          <w:rFonts w:hint="eastAsia" w:ascii="仿宋_GB2312" w:hAnsi="Times New Roman"/>
          <w:szCs w:val="32"/>
        </w:rPr>
        <w:t>加</w:t>
      </w:r>
      <w:r>
        <w:rPr>
          <w:rFonts w:hint="eastAsia" w:ascii="Times New Roman" w:hAnsi="Times New Roman"/>
          <w:szCs w:val="20"/>
        </w:rPr>
        <w:t>快城市管理基础信息采集和基础数据库建设，</w:t>
      </w:r>
      <w:r>
        <w:rPr>
          <w:rFonts w:hint="eastAsia" w:ascii="仿宋_GB2312"/>
        </w:rPr>
        <w:t>统筹规划政务数据资源和社会数据资源，为实现高效社会治理提供强大的数据支撑</w:t>
      </w:r>
      <w:r>
        <w:rPr>
          <w:rFonts w:hint="eastAsia" w:ascii="仿宋_GB2312" w:hAnsi="Times New Roman" w:cs="宋体"/>
        </w:rPr>
        <w:t>。</w:t>
      </w:r>
      <w:r>
        <w:rPr>
          <w:rFonts w:hint="eastAsia" w:ascii="仿宋_GB2312" w:hAnsi="仿宋_GB2312" w:cs="仿宋_GB2312"/>
        </w:rPr>
        <w:t>充分利用</w:t>
      </w:r>
      <w:r>
        <w:rPr>
          <w:rFonts w:hint="eastAsia" w:ascii="仿宋_GB2312"/>
        </w:rPr>
        <w:t>大数据、区块链、人工智能等技术手段，</w:t>
      </w:r>
      <w:r>
        <w:rPr>
          <w:rFonts w:hint="eastAsia" w:ascii="Times New Roman" w:hAnsi="Times New Roman"/>
          <w:szCs w:val="20"/>
        </w:rPr>
        <w:t>打破部门数据和业务壁垒，</w:t>
      </w:r>
      <w:r>
        <w:rPr>
          <w:rFonts w:hint="eastAsia" w:ascii="仿宋_GB2312" w:hAnsi="Times New Roman"/>
          <w:szCs w:val="20"/>
        </w:rPr>
        <w:t>推进技术融合、业务融合、数据融合，</w:t>
      </w:r>
      <w:r>
        <w:rPr>
          <w:rFonts w:hint="eastAsia" w:ascii="仿宋_GB2312" w:hAnsi="Times New Roman" w:cs="宋体"/>
        </w:rPr>
        <w:t>实现公共视频监控资源平台与社会治理信息指挥平台对接融合。</w:t>
      </w:r>
      <w:r>
        <w:rPr>
          <w:rFonts w:hint="eastAsia" w:ascii="仿宋_GB2312"/>
        </w:rPr>
        <w:t>提高数据平台整体应用水平，围绕分析研判、领导决策、问题处置等领域，提高数据融合创新能力。</w:t>
      </w:r>
      <w:r>
        <w:rPr>
          <w:rFonts w:hint="eastAsia" w:ascii="仿宋_GB2312" w:hAnsi="仿宋_GB2312" w:cs="仿宋_GB2312"/>
          <w:szCs w:val="32"/>
          <w:shd w:val="clear" w:color="auto" w:fill="FFFFFF"/>
        </w:rPr>
        <w:t>积极</w:t>
      </w:r>
      <w:r>
        <w:rPr>
          <w:rFonts w:ascii="仿宋_GB2312" w:hAnsi="仿宋_GB2312" w:cs="仿宋_GB2312"/>
          <w:szCs w:val="32"/>
          <w:shd w:val="clear" w:color="auto" w:fill="FFFFFF"/>
        </w:rPr>
        <w:t>引入社会资本参与</w:t>
      </w:r>
      <w:r>
        <w:rPr>
          <w:rFonts w:hint="eastAsia" w:ascii="Times New Roman" w:hAnsi="Times New Roman"/>
          <w:szCs w:val="20"/>
        </w:rPr>
        <w:t>构建新型智慧城市管理体系。</w:t>
      </w:r>
    </w:p>
    <w:p>
      <w:pPr>
        <w:pStyle w:val="4"/>
        <w:spacing w:line="560" w:lineRule="exact"/>
      </w:pPr>
      <w:bookmarkStart w:id="215" w:name="_Toc11238"/>
      <w:bookmarkStart w:id="216" w:name="_Toc8496"/>
      <w:bookmarkStart w:id="217" w:name="_Toc21793"/>
      <w:bookmarkStart w:id="218" w:name="_Toc3058"/>
      <w:bookmarkStart w:id="219" w:name="_Toc4310"/>
      <w:bookmarkStart w:id="220" w:name="_Toc56021693"/>
      <w:r>
        <w:rPr>
          <w:rFonts w:hint="eastAsia"/>
        </w:rPr>
        <w:t>第二节全面提升法治建设水平</w:t>
      </w:r>
      <w:bookmarkEnd w:id="215"/>
      <w:bookmarkEnd w:id="216"/>
    </w:p>
    <w:p>
      <w:pPr>
        <w:overflowPunct w:val="0"/>
        <w:spacing w:line="560" w:lineRule="exact"/>
        <w:contextualSpacing/>
        <w:jc w:val="both"/>
        <w:rPr>
          <w:rFonts w:ascii="仿宋_GB2312"/>
        </w:rPr>
      </w:pPr>
      <w:bookmarkStart w:id="221" w:name="_Toc27539"/>
      <w:r>
        <w:rPr>
          <w:rFonts w:hint="eastAsia" w:ascii="仿宋_GB2312"/>
        </w:rPr>
        <w:t>深入学习贯彻习近平法治思想，加快推进法治城区、法治政府、法治社会一体化建设，营造良好的法治环境，推动全民守法普法，打造全国一流法治城区。</w:t>
      </w:r>
    </w:p>
    <w:p>
      <w:pPr>
        <w:overflowPunct w:val="0"/>
        <w:spacing w:line="560" w:lineRule="exact"/>
        <w:ind w:firstLine="643"/>
        <w:contextualSpacing/>
        <w:jc w:val="both"/>
        <w:rPr>
          <w:rFonts w:ascii="仿宋_GB2312"/>
        </w:rPr>
      </w:pPr>
      <w:r>
        <w:rPr>
          <w:rFonts w:hint="eastAsia" w:ascii="仿宋_GB2312"/>
          <w:b/>
          <w:bCs/>
        </w:rPr>
        <w:t>全面推进法治建设。</w:t>
      </w:r>
      <w:r>
        <w:rPr>
          <w:rFonts w:hint="eastAsia" w:ascii="仿宋_GB2312"/>
        </w:rPr>
        <w:t>落实法治建设责任机制，压实党政主要负责人第一责任人职责。将政府活动全面纳入法治轨道，严格规范重大行政决策制定和执行机制，构建职责明确、依法行政的政府治理体系。</w:t>
      </w:r>
      <w:r>
        <w:rPr>
          <w:rFonts w:hint="eastAsia" w:ascii="仿宋_GB2312"/>
          <w:lang w:val="zh-CN"/>
        </w:rPr>
        <w:t>深入落实行政执法公示制度、执法全过程记录制度和重大执法决定法制审核制度，严格规范公正文明执法。</w:t>
      </w:r>
      <w:r>
        <w:rPr>
          <w:rFonts w:hint="eastAsia" w:ascii="仿宋_GB2312"/>
        </w:rPr>
        <w:t>全面深化司法责任制综合配套改革，全面推进一站式多元解纷和诉讼服务体系建设。推进公共法律服务体系建设，打造“品牌调解室”，进一步提升公共法律服务质量。</w:t>
      </w:r>
    </w:p>
    <w:p>
      <w:pPr>
        <w:overflowPunct w:val="0"/>
        <w:spacing w:line="560" w:lineRule="exact"/>
        <w:ind w:firstLine="643"/>
        <w:contextualSpacing/>
        <w:jc w:val="both"/>
        <w:rPr>
          <w:rFonts w:ascii="仿宋_GB2312" w:hAnsi="Times New Roman" w:cs="仿宋_GB2312"/>
          <w:bCs/>
          <w:szCs w:val="32"/>
        </w:rPr>
      </w:pPr>
      <w:r>
        <w:rPr>
          <w:rFonts w:hint="eastAsia" w:ascii="仿宋_GB2312"/>
          <w:b/>
          <w:bCs/>
        </w:rPr>
        <w:t>增强全民法治观念。</w:t>
      </w:r>
      <w:r>
        <w:rPr>
          <w:rFonts w:hint="eastAsia" w:ascii="仿宋_GB2312"/>
        </w:rPr>
        <w:t>坚持把全民普法和守法作为长期基础性工作，深入开展“八五”普法，增强干部群众法治意识和法治素养，让以宪法为核心的各项法律法规和中国特色社会主义法律体系深入人心，确保经济社会发展在法治轨道上运行。加强法治阵地建设，创新普法宣传形式，提高法治宣传教育的针对性和实效性。</w:t>
      </w:r>
    </w:p>
    <w:p>
      <w:pPr>
        <w:pStyle w:val="4"/>
        <w:spacing w:line="560" w:lineRule="exact"/>
      </w:pPr>
      <w:bookmarkStart w:id="222" w:name="_Toc4851"/>
      <w:r>
        <w:rPr>
          <w:rFonts w:hint="eastAsia"/>
        </w:rPr>
        <w:t>第三节加快社会信用体系建设</w:t>
      </w:r>
      <w:bookmarkEnd w:id="221"/>
      <w:bookmarkEnd w:id="222"/>
    </w:p>
    <w:p>
      <w:pPr>
        <w:overflowPunct w:val="0"/>
        <w:spacing w:line="560" w:lineRule="exact"/>
        <w:jc w:val="both"/>
        <w:rPr>
          <w:rFonts w:ascii="Times New Roman" w:hAnsi="Times New Roman" w:cs="宋体"/>
          <w:shd w:val="clear" w:color="auto" w:fill="FFFFFF"/>
        </w:rPr>
      </w:pPr>
      <w:r>
        <w:rPr>
          <w:rFonts w:hint="eastAsia" w:ascii="Times New Roman" w:hAnsi="Times New Roman" w:cs="宋体"/>
          <w:shd w:val="clear" w:color="auto" w:fill="FFFFFF"/>
        </w:rPr>
        <w:t>加快推进社会信用体系建设，构建以信用为核心的新型监管机制，加快形成全社会知信、守信、用信的大格局。</w:t>
      </w:r>
    </w:p>
    <w:p>
      <w:pPr>
        <w:overflowPunct w:val="0"/>
        <w:spacing w:line="560" w:lineRule="exact"/>
        <w:ind w:firstLine="643"/>
        <w:jc w:val="both"/>
        <w:rPr>
          <w:rFonts w:ascii="仿宋_GB2312" w:hAnsi="Times New Roman"/>
          <w:szCs w:val="32"/>
        </w:rPr>
      </w:pPr>
      <w:r>
        <w:rPr>
          <w:rFonts w:hint="eastAsia" w:ascii="Times New Roman" w:hAnsi="Times New Roman" w:cs="宋体"/>
          <w:b/>
          <w:bCs/>
        </w:rPr>
        <w:t>强化信用基础支撑。</w:t>
      </w:r>
      <w:r>
        <w:rPr>
          <w:rFonts w:hint="eastAsia" w:ascii="仿宋_GB2312" w:hAnsi="Times New Roman" w:cs="宋体"/>
          <w:szCs w:val="32"/>
        </w:rPr>
        <w:t>进一步建立健全社会信用体系建设制度，完善各行业领域信用管理制度。加大社会信用信息归集，依托市信用平台做好“双公示”等</w:t>
      </w:r>
      <w:r>
        <w:rPr>
          <w:rFonts w:hint="eastAsia" w:ascii="仿宋_GB2312" w:hAnsi="Times New Roman"/>
          <w:szCs w:val="32"/>
        </w:rPr>
        <w:t>信息共享，</w:t>
      </w:r>
      <w:r>
        <w:rPr>
          <w:rFonts w:hint="eastAsia" w:ascii="仿宋_GB2312" w:hAnsi="宋体" w:cs="宋体"/>
          <w:kern w:val="0"/>
          <w:szCs w:val="32"/>
        </w:rPr>
        <w:t>确保信用信息安全。</w:t>
      </w:r>
      <w:r>
        <w:rPr>
          <w:rFonts w:hint="eastAsia" w:ascii="仿宋_GB2312" w:hAnsi="Times New Roman" w:cs="宋体"/>
          <w:szCs w:val="32"/>
        </w:rPr>
        <w:t>建立完善区级公共信用信息清单，强化信用核查，</w:t>
      </w:r>
      <w:r>
        <w:rPr>
          <w:rFonts w:hint="eastAsia" w:ascii="仿宋_GB2312" w:hAnsi="Times New Roman"/>
          <w:szCs w:val="32"/>
        </w:rPr>
        <w:t>全面推行告知承诺制，</w:t>
      </w:r>
      <w:r>
        <w:rPr>
          <w:rFonts w:hint="eastAsia" w:ascii="仿宋_GB2312" w:hAnsi="宋体" w:cs="宋体"/>
          <w:kern w:val="0"/>
          <w:szCs w:val="32"/>
        </w:rPr>
        <w:t>落实国家“红黑名单”制度</w:t>
      </w:r>
      <w:r>
        <w:rPr>
          <w:rFonts w:hint="eastAsia" w:ascii="仿宋_GB2312" w:hAnsi="Times New Roman"/>
          <w:szCs w:val="32"/>
        </w:rPr>
        <w:t>，依法依规实施守信联合激励和失信联合惩戒措施。加大诚信宣传教育，弘扬诚信文化，</w:t>
      </w:r>
      <w:r>
        <w:rPr>
          <w:rFonts w:hint="eastAsia" w:ascii="仿宋_GB2312" w:hAnsi="Times New Roman" w:cs="宋体"/>
          <w:szCs w:val="32"/>
        </w:rPr>
        <w:t>助力济南市</w:t>
      </w:r>
      <w:r>
        <w:rPr>
          <w:rFonts w:hint="eastAsia" w:ascii="仿宋_GB2312" w:hAnsi="等线"/>
          <w:szCs w:val="32"/>
        </w:rPr>
        <w:t>做好社会信用体系建设示范城市创建工作</w:t>
      </w:r>
      <w:r>
        <w:rPr>
          <w:rFonts w:hint="eastAsia" w:ascii="仿宋_GB2312" w:hAnsi="Times New Roman" w:cs="宋体"/>
          <w:szCs w:val="32"/>
        </w:rPr>
        <w:t>，争创省级社会信用体系建设试点示范单位。</w:t>
      </w:r>
    </w:p>
    <w:p>
      <w:pPr>
        <w:overflowPunct w:val="0"/>
        <w:spacing w:line="560" w:lineRule="exact"/>
        <w:ind w:firstLine="643"/>
        <w:contextualSpacing/>
        <w:jc w:val="both"/>
        <w:rPr>
          <w:rFonts w:ascii="仿宋_GB2312" w:hAnsi="Times New Roman" w:cs="宋体"/>
          <w:szCs w:val="32"/>
        </w:rPr>
      </w:pPr>
      <w:r>
        <w:rPr>
          <w:rFonts w:hint="eastAsia" w:ascii="Times New Roman" w:hAnsi="Times New Roman" w:cs="宋体"/>
          <w:b/>
          <w:bCs/>
        </w:rPr>
        <w:t>加强信用信息应用。</w:t>
      </w:r>
      <w:r>
        <w:rPr>
          <w:rFonts w:hint="eastAsia" w:ascii="仿宋_GB2312" w:hAnsi="Times New Roman" w:cs="宋体"/>
          <w:szCs w:val="32"/>
        </w:rPr>
        <w:t>拓展“信用+”信用惠民便企应用场景，大力</w:t>
      </w:r>
      <w:r>
        <w:rPr>
          <w:rFonts w:hint="eastAsia" w:ascii="仿宋_GB2312" w:hAnsi="Times New Roman"/>
          <w:szCs w:val="32"/>
        </w:rPr>
        <w:t>推广</w:t>
      </w:r>
      <w:r>
        <w:rPr>
          <w:rFonts w:hint="eastAsia" w:ascii="仿宋_GB2312" w:hAnsi="Times New Roman" w:cs="宋体"/>
          <w:szCs w:val="32"/>
        </w:rPr>
        <w:t>“信易医、信易游、信易阅、信易行”</w:t>
      </w:r>
      <w:r>
        <w:rPr>
          <w:rFonts w:hint="eastAsia" w:ascii="仿宋_GB2312" w:hAnsi="Times New Roman"/>
          <w:szCs w:val="32"/>
        </w:rPr>
        <w:t>信用</w:t>
      </w:r>
      <w:r>
        <w:rPr>
          <w:rFonts w:hint="eastAsia" w:ascii="Times New Roman" w:hAnsi="Times New Roman" w:cs="宋体"/>
        </w:rPr>
        <w:t>产品和服务。</w:t>
      </w:r>
      <w:r>
        <w:rPr>
          <w:rFonts w:hint="eastAsia" w:ascii="仿宋_GB2312" w:hAnsi="Times New Roman" w:cs="宋体"/>
          <w:szCs w:val="32"/>
        </w:rPr>
        <w:t>加大全国“信易贷”平台推广力度，鼓励地方金融机构入驻平台，推动信用良好的中小企业在平台发布融资需求，解决中小企业融资难问题。</w:t>
      </w:r>
      <w:r>
        <w:rPr>
          <w:rFonts w:hint="eastAsia" w:ascii="Times New Roman" w:hAnsi="Times New Roman" w:cs="宋体"/>
        </w:rPr>
        <w:t>聚焦信用信息应用，以点带面，积极打造一批诚信商户、诚信示范社区、示范村，</w:t>
      </w:r>
      <w:r>
        <w:rPr>
          <w:rFonts w:hint="eastAsia" w:ascii="仿宋_GB2312" w:hAnsi="Times New Roman" w:cs="宋体"/>
          <w:szCs w:val="32"/>
        </w:rPr>
        <w:t>不断提升群众信用获得感。</w:t>
      </w:r>
    </w:p>
    <w:p>
      <w:pPr>
        <w:overflowPunct w:val="0"/>
        <w:spacing w:line="560" w:lineRule="exact"/>
        <w:ind w:firstLine="643"/>
        <w:contextualSpacing/>
        <w:jc w:val="both"/>
        <w:rPr>
          <w:rFonts w:ascii="仿宋_GB2312" w:hAnsi="宋体" w:cs="宋体"/>
          <w:kern w:val="0"/>
          <w:szCs w:val="32"/>
        </w:rPr>
      </w:pPr>
      <w:r>
        <w:rPr>
          <w:rFonts w:hint="eastAsia" w:ascii="Times New Roman" w:hAnsi="Times New Roman" w:cs="宋体"/>
          <w:b/>
          <w:bCs/>
        </w:rPr>
        <w:t>大力培育信用市场。</w:t>
      </w:r>
      <w:r>
        <w:rPr>
          <w:rFonts w:hint="eastAsia" w:ascii="Times New Roman" w:hAnsi="Times New Roman" w:cs="宋体"/>
        </w:rPr>
        <w:t>打破信息孤岛，依法开展信用信息整合共享利用，推动形成统一的信用数据市场，发挥信用信息价值。</w:t>
      </w:r>
      <w:r>
        <w:rPr>
          <w:rFonts w:hint="eastAsia" w:ascii="仿宋_GB2312" w:hAnsi="Times New Roman"/>
          <w:szCs w:val="32"/>
        </w:rPr>
        <w:t>发展壮大一批本土信用服务创新创业机构，丰富信用产品，引导信用服务消费。</w:t>
      </w:r>
      <w:r>
        <w:rPr>
          <w:rFonts w:ascii="等线" w:hAnsi="等线"/>
        </w:rPr>
        <w:t>加强信用服务专业人才引进和培养，</w:t>
      </w:r>
      <w:r>
        <w:rPr>
          <w:rFonts w:hint="eastAsia" w:ascii="等线" w:hAnsi="等线"/>
        </w:rPr>
        <w:t>构建信用人才发展体系</w:t>
      </w:r>
      <w:r>
        <w:rPr>
          <w:rFonts w:hint="eastAsia" w:ascii="仿宋_GB2312" w:hAnsi="宋体" w:cs="宋体"/>
          <w:kern w:val="0"/>
          <w:szCs w:val="32"/>
        </w:rPr>
        <w:t>。</w:t>
      </w:r>
    </w:p>
    <w:p>
      <w:pPr>
        <w:spacing w:line="560" w:lineRule="exact"/>
        <w:ind w:firstLine="643"/>
        <w:jc w:val="both"/>
        <w:rPr>
          <w:rFonts w:ascii="Times New Roman" w:hAnsi="Times New Roman" w:cs="宋体"/>
        </w:rPr>
      </w:pPr>
      <w:r>
        <w:rPr>
          <w:rFonts w:hint="eastAsia" w:ascii="Times New Roman" w:hAnsi="Times New Roman" w:cs="宋体"/>
          <w:b/>
          <w:bCs/>
        </w:rPr>
        <w:t>开展重点领域治理。</w:t>
      </w:r>
      <w:r>
        <w:rPr>
          <w:rFonts w:hint="eastAsia" w:ascii="Times New Roman" w:hAnsi="Times New Roman" w:cs="宋体"/>
        </w:rPr>
        <w:t>加大政务失信和其他社会组织失信问题专项治理，坚决杜绝“新官不理旧账”问题。深入开展国家考试作弊、交通运输、骗取社保等重点领域失信问题整治。及时归集公布失信联合惩戒案例，全面打造不敢失信、不能失信、不愿失信的社会环境，切实增强治理效果。</w:t>
      </w:r>
      <w:bookmarkEnd w:id="217"/>
      <w:bookmarkEnd w:id="218"/>
      <w:bookmarkEnd w:id="219"/>
      <w:bookmarkEnd w:id="220"/>
      <w:bookmarkStart w:id="223" w:name="_Toc22338"/>
      <w:bookmarkStart w:id="224" w:name="_Toc6231"/>
    </w:p>
    <w:p>
      <w:pPr>
        <w:pStyle w:val="3"/>
        <w:spacing w:line="560" w:lineRule="exact"/>
        <w:rPr>
          <w:rFonts w:hint="default"/>
        </w:rPr>
      </w:pPr>
      <w:bookmarkStart w:id="225" w:name="_Toc15668"/>
      <w:bookmarkStart w:id="226" w:name="_Toc22170"/>
      <w:r>
        <w:t>第十四章构建和谐安全稳定社会大格局</w:t>
      </w:r>
      <w:bookmarkEnd w:id="223"/>
      <w:bookmarkEnd w:id="224"/>
      <w:bookmarkEnd w:id="225"/>
      <w:bookmarkEnd w:id="226"/>
    </w:p>
    <w:p>
      <w:pPr>
        <w:overflowPunct w:val="0"/>
        <w:spacing w:line="560" w:lineRule="exact"/>
        <w:contextualSpacing/>
        <w:jc w:val="both"/>
        <w:rPr>
          <w:rFonts w:ascii="仿宋_GB2312" w:hAnsi="黑体" w:cs="宋体"/>
          <w:szCs w:val="32"/>
        </w:rPr>
      </w:pPr>
      <w:r>
        <w:rPr>
          <w:rFonts w:hint="eastAsia" w:ascii="仿宋_GB2312" w:hAnsi="黑体" w:cs="宋体"/>
          <w:szCs w:val="32"/>
        </w:rPr>
        <w:t>坚决贯彻落实总体国家安全观，把安全发展贯穿于经济社会发展各领域和全过程，努力建设更高水平的“平安历城”。</w:t>
      </w:r>
    </w:p>
    <w:p>
      <w:pPr>
        <w:pStyle w:val="4"/>
        <w:spacing w:line="560" w:lineRule="exact"/>
      </w:pPr>
      <w:bookmarkStart w:id="227" w:name="_Toc56021694"/>
      <w:bookmarkStart w:id="228" w:name="_Toc13749"/>
      <w:bookmarkStart w:id="229" w:name="_Toc14826"/>
      <w:bookmarkStart w:id="230" w:name="_Toc2188"/>
      <w:bookmarkStart w:id="231" w:name="_Toc9962"/>
      <w:bookmarkStart w:id="232" w:name="_Toc29079"/>
      <w:r>
        <w:rPr>
          <w:rFonts w:hint="eastAsia"/>
        </w:rPr>
        <w:t>第一节</w:t>
      </w:r>
      <w:bookmarkEnd w:id="227"/>
      <w:bookmarkEnd w:id="228"/>
      <w:r>
        <w:rPr>
          <w:rFonts w:hint="eastAsia"/>
        </w:rPr>
        <w:t>保障经济社会安全</w:t>
      </w:r>
      <w:bookmarkEnd w:id="229"/>
      <w:bookmarkEnd w:id="230"/>
      <w:bookmarkEnd w:id="231"/>
      <w:bookmarkEnd w:id="232"/>
    </w:p>
    <w:p>
      <w:pPr>
        <w:overflowPunct w:val="0"/>
        <w:spacing w:line="560" w:lineRule="exact"/>
        <w:jc w:val="both"/>
        <w:rPr>
          <w:rFonts w:ascii="Times New Roman" w:hAnsi="Times New Roman"/>
          <w:szCs w:val="20"/>
        </w:rPr>
      </w:pPr>
      <w:r>
        <w:rPr>
          <w:rFonts w:hint="eastAsia" w:ascii="仿宋_GB2312" w:hAnsi="Times New Roman"/>
          <w:szCs w:val="32"/>
        </w:rPr>
        <w:t>树立安全发展理念，</w:t>
      </w:r>
      <w:r>
        <w:rPr>
          <w:rFonts w:ascii="Times New Roman" w:hAnsi="Times New Roman"/>
          <w:szCs w:val="20"/>
        </w:rPr>
        <w:t>防范和化解各种风险</w:t>
      </w:r>
      <w:r>
        <w:rPr>
          <w:rFonts w:hint="eastAsia" w:ascii="Times New Roman" w:hAnsi="Times New Roman"/>
          <w:szCs w:val="20"/>
        </w:rPr>
        <w:t>因素</w:t>
      </w:r>
      <w:r>
        <w:rPr>
          <w:rFonts w:ascii="Times New Roman" w:hAnsi="Times New Roman"/>
          <w:szCs w:val="20"/>
        </w:rPr>
        <w:t>，</w:t>
      </w:r>
      <w:r>
        <w:rPr>
          <w:rFonts w:hint="eastAsia" w:ascii="Times New Roman" w:hAnsi="Times New Roman"/>
          <w:szCs w:val="20"/>
        </w:rPr>
        <w:t>推进政治、经济、社会安全建设，促进军民融合深度发展，</w:t>
      </w:r>
      <w:r>
        <w:rPr>
          <w:rFonts w:hint="eastAsia" w:ascii="仿宋_GB2312" w:hAnsi="Times New Roman"/>
          <w:szCs w:val="32"/>
        </w:rPr>
        <w:t>着力构建全域安全体系，</w:t>
      </w:r>
      <w:r>
        <w:rPr>
          <w:rFonts w:ascii="Times New Roman" w:hAnsi="Times New Roman"/>
          <w:szCs w:val="20"/>
        </w:rPr>
        <w:t>筑牢安全屏障</w:t>
      </w:r>
      <w:r>
        <w:rPr>
          <w:rFonts w:hint="eastAsia" w:ascii="Times New Roman" w:hAnsi="Times New Roman"/>
          <w:szCs w:val="20"/>
        </w:rPr>
        <w:t>。</w:t>
      </w:r>
    </w:p>
    <w:p>
      <w:pPr>
        <w:overflowPunct w:val="0"/>
        <w:spacing w:line="560" w:lineRule="exact"/>
        <w:ind w:firstLine="643"/>
        <w:jc w:val="both"/>
        <w:rPr>
          <w:rFonts w:ascii="Times New Roman" w:hAnsi="Times New Roman"/>
          <w:szCs w:val="20"/>
        </w:rPr>
      </w:pPr>
      <w:r>
        <w:rPr>
          <w:rFonts w:hint="eastAsia" w:ascii="仿宋_GB2312" w:hAnsi="楷体_GB2312" w:cs="楷体_GB2312"/>
          <w:b/>
          <w:bCs/>
          <w:szCs w:val="32"/>
        </w:rPr>
        <w:t>坚决捍卫政治安全稳定。</w:t>
      </w:r>
      <w:r>
        <w:rPr>
          <w:rFonts w:hint="eastAsia" w:ascii="Times New Roman" w:hAnsi="Times New Roman"/>
          <w:szCs w:val="20"/>
        </w:rPr>
        <w:t>建立健全维护政治安全工作协调机制、重大敏感节点“应急指挥协调”机制，持续开展国家安全教育“七进”活动，营造全社会维护国家安全的良好氛围。持续做好风险防控工作，加强风险评估和预警预防，深入抓好政治安全风险隐患排查化解，坚决防止经济社会和其他领域风险向政治安全领域传导。加强人民防线建设，严密防范和严厉打击敌对势力渗透、破坏、颠覆、分裂等活动，深入开展反邪教、反恐怖斗争，坚决打击非法宗教活动。切实做好意识形态工作，严格落实意识形态工作责任制，增强舆情引导的针对性和有效性，牢牢把握意识形态主动权。</w:t>
      </w:r>
    </w:p>
    <w:p>
      <w:pPr>
        <w:overflowPunct w:val="0"/>
        <w:spacing w:line="580" w:lineRule="exact"/>
        <w:ind w:firstLine="643"/>
        <w:jc w:val="both"/>
        <w:rPr>
          <w:rFonts w:ascii="仿宋_GB2312" w:hAnsi="仿宋_GB2312" w:cs="仿宋_GB2312"/>
          <w:szCs w:val="32"/>
        </w:rPr>
      </w:pPr>
      <w:r>
        <w:rPr>
          <w:rFonts w:hint="eastAsia" w:ascii="仿宋_GB2312" w:hAnsi="楷体_GB2312" w:cs="楷体_GB2312"/>
          <w:b/>
          <w:bCs/>
          <w:szCs w:val="32"/>
        </w:rPr>
        <w:t>全力确保经济安全运行。</w:t>
      </w:r>
      <w:r>
        <w:rPr>
          <w:rFonts w:ascii="Times New Roman" w:hAnsi="Times New Roman"/>
          <w:szCs w:val="20"/>
        </w:rPr>
        <w:t>加强经济安全风险预警、防控机制和能力建设</w:t>
      </w:r>
      <w:r>
        <w:rPr>
          <w:rFonts w:hint="eastAsia" w:ascii="Times New Roman" w:hAnsi="Times New Roman"/>
          <w:szCs w:val="20"/>
        </w:rPr>
        <w:t>。</w:t>
      </w:r>
      <w:r>
        <w:rPr>
          <w:rFonts w:hint="eastAsia" w:ascii="仿宋_GB2312" w:hAnsi="仿宋_GB2312" w:cs="仿宋_GB2312"/>
          <w:szCs w:val="32"/>
        </w:rPr>
        <w:t>全面开展风险摸排工作，</w:t>
      </w:r>
      <w:r>
        <w:rPr>
          <w:rFonts w:ascii="仿宋_GB2312" w:hAnsi="仿宋_GB2312" w:cs="仿宋_GB2312"/>
          <w:szCs w:val="32"/>
        </w:rPr>
        <w:t>梳理各</w:t>
      </w:r>
      <w:r>
        <w:rPr>
          <w:rFonts w:hint="eastAsia" w:ascii="仿宋_GB2312" w:hAnsi="仿宋_GB2312" w:cs="仿宋_GB2312"/>
          <w:szCs w:val="32"/>
        </w:rPr>
        <w:t>行业</w:t>
      </w:r>
      <w:r>
        <w:rPr>
          <w:rFonts w:ascii="仿宋_GB2312" w:hAnsi="仿宋_GB2312" w:cs="仿宋_GB2312"/>
          <w:szCs w:val="32"/>
        </w:rPr>
        <w:t>风险点，</w:t>
      </w:r>
      <w:r>
        <w:rPr>
          <w:rFonts w:ascii="Arial" w:hAnsi="Arial" w:cs="Arial"/>
          <w:shd w:val="clear" w:color="auto" w:fill="FFFFFF"/>
        </w:rPr>
        <w:t>准确掌握风险底数</w:t>
      </w:r>
      <w:r>
        <w:rPr>
          <w:rFonts w:hint="eastAsia" w:ascii="Arial" w:hAnsi="Arial" w:cs="Arial"/>
          <w:shd w:val="clear" w:color="auto" w:fill="FFFFFF"/>
        </w:rPr>
        <w:t>，</w:t>
      </w:r>
      <w:r>
        <w:rPr>
          <w:rFonts w:hint="eastAsia" w:ascii="仿宋_GB2312" w:hAnsi="仿宋_GB2312" w:cs="仿宋_GB2312"/>
          <w:szCs w:val="32"/>
        </w:rPr>
        <w:t>构建</w:t>
      </w:r>
      <w:r>
        <w:rPr>
          <w:rFonts w:ascii="仿宋_GB2312" w:hAnsi="仿宋_GB2312" w:cs="仿宋_GB2312"/>
          <w:szCs w:val="32"/>
        </w:rPr>
        <w:t>系统风险识别体系。</w:t>
      </w:r>
      <w:r>
        <w:rPr>
          <w:rFonts w:hint="eastAsia" w:ascii="Times New Roman" w:hAnsi="宋体" w:cs="宋体"/>
          <w:kern w:val="0"/>
          <w:szCs w:val="36"/>
        </w:rPr>
        <w:t>强化产业链供应链安全保障，常态化开展断链断供风险排查。</w:t>
      </w:r>
      <w:r>
        <w:rPr>
          <w:rFonts w:hint="eastAsia" w:ascii="仿宋_GB2312" w:hAnsi="仿宋_GB2312" w:cs="仿宋_GB2312"/>
          <w:szCs w:val="32"/>
        </w:rPr>
        <w:t>健全日常监管机制，确</w:t>
      </w:r>
      <w:r>
        <w:rPr>
          <w:rFonts w:hint="eastAsia" w:ascii="Times New Roman" w:hAnsi="宋体" w:cs="宋体"/>
          <w:kern w:val="0"/>
          <w:szCs w:val="36"/>
        </w:rPr>
        <w:t>保重要产业、基础设施、战略资源、重大科技等关键领域安全可控。强化政银企联动，完善金融风险应急处理和处置预案。坚守粮食安全底线，加强粮食储备和应急保障能力建设，构</w:t>
      </w:r>
      <w:r>
        <w:rPr>
          <w:rFonts w:hint="eastAsia" w:ascii="仿宋_GB2312" w:hAnsi="仿宋_GB2312" w:cs="仿宋_GB2312"/>
          <w:szCs w:val="32"/>
        </w:rPr>
        <w:t>建稳定有序的粮食安全和农产品保供体系。维护水利、电力、供水、油气、交通、通信、网络等重要基础设施安全。</w:t>
      </w:r>
    </w:p>
    <w:p>
      <w:pPr>
        <w:overflowPunct w:val="0"/>
        <w:spacing w:line="580" w:lineRule="exact"/>
        <w:ind w:firstLine="643"/>
        <w:contextualSpacing/>
        <w:jc w:val="both"/>
        <w:rPr>
          <w:rFonts w:ascii="仿宋_GB2312" w:hAnsi="宋体" w:cs="宋体"/>
          <w:kern w:val="0"/>
          <w:szCs w:val="32"/>
        </w:rPr>
      </w:pPr>
      <w:r>
        <w:rPr>
          <w:rFonts w:hint="eastAsia" w:ascii="仿宋_GB2312" w:hAnsi="楷体_GB2312" w:cs="楷体_GB2312"/>
          <w:b/>
          <w:bCs/>
          <w:szCs w:val="32"/>
        </w:rPr>
        <w:t>全力维护社会安全稳定。</w:t>
      </w:r>
      <w:r>
        <w:rPr>
          <w:rFonts w:hint="eastAsia" w:ascii="仿宋_GB2312" w:hAnsi="仿宋_GB2312" w:cs="仿宋_GB2312"/>
          <w:szCs w:val="32"/>
        </w:rPr>
        <w:t>畅通规范群众诉求表达、利益协调、权益保障通道，完善社会矛盾预防调处化解综合机制。</w:t>
      </w:r>
      <w:r>
        <w:rPr>
          <w:rFonts w:hint="eastAsia" w:ascii="仿宋_GB2312" w:hAnsi="宋体" w:cs="宋体"/>
          <w:kern w:val="0"/>
          <w:szCs w:val="32"/>
        </w:rPr>
        <w:t>完善现代化社会治安防控体系，严厉打击违法犯罪行为，推进扫黑除恶工作制度化、常态化，加强大型活动安全保卫，积极争创“平安历城”社会治安防控体系示范区。落实重点项目、重大决策社会稳定风险评估机制，有效防范和妥善处置群体性事件。推动警力下沉、重心下移、保障下倾，增强基层治安力量。</w:t>
      </w:r>
    </w:p>
    <w:p>
      <w:pPr>
        <w:overflowPunct w:val="0"/>
        <w:spacing w:line="580" w:lineRule="exact"/>
        <w:ind w:firstLine="643"/>
        <w:contextualSpacing/>
        <w:jc w:val="both"/>
      </w:pPr>
      <w:r>
        <w:rPr>
          <w:rFonts w:hint="eastAsia" w:ascii="仿宋_GB2312" w:hAnsi="宋体" w:cs="宋体"/>
          <w:b/>
          <w:bCs/>
          <w:kern w:val="0"/>
          <w:szCs w:val="32"/>
        </w:rPr>
        <w:t>推进军民融合深度发展。</w:t>
      </w:r>
      <w:r>
        <w:rPr>
          <w:rFonts w:hint="eastAsia" w:ascii="仿宋_GB2312" w:hAnsi="宋体" w:cs="宋体"/>
          <w:kern w:val="0"/>
          <w:szCs w:val="32"/>
        </w:rPr>
        <w:t>抓好军民融合产业高质量发展，围绕应急装备、新能源、新材料等领域，推进产品、技术集成化发展。抓好军地基础设施共建共享，完善交通基础设施，加强服务保障能力建设。抓好军民融合法治保障，严格执法司法，运用法治思维和法治方式推动军民融合发展。加快制定国民经济动员预案，完善经济动员工作流程，明晰项目管理、保密管理等规章制度，积极应对突发事件。加强理论研究，创新发展理论和工作要求，加强国防建设与经济建设相结合的重大项目策划、研究和推进工作。</w:t>
      </w:r>
      <w:bookmarkStart w:id="233" w:name="_Toc30641"/>
      <w:bookmarkStart w:id="234" w:name="_Toc31516"/>
      <w:bookmarkStart w:id="235" w:name="_Toc15145"/>
      <w:bookmarkStart w:id="236" w:name="_Toc8073"/>
    </w:p>
    <w:p>
      <w:pPr>
        <w:pStyle w:val="4"/>
        <w:spacing w:line="580" w:lineRule="exact"/>
      </w:pPr>
      <w:r>
        <w:rPr>
          <w:rFonts w:hint="eastAsia"/>
        </w:rPr>
        <w:t>第二节保障人民生命安全</w:t>
      </w:r>
      <w:bookmarkEnd w:id="233"/>
      <w:bookmarkEnd w:id="234"/>
      <w:bookmarkEnd w:id="235"/>
      <w:bookmarkEnd w:id="236"/>
    </w:p>
    <w:p>
      <w:pPr>
        <w:overflowPunct w:val="0"/>
        <w:spacing w:line="560" w:lineRule="exact"/>
        <w:jc w:val="both"/>
        <w:rPr>
          <w:rFonts w:ascii="仿宋_GB2312" w:hAnsi="仿宋_GB2312" w:cs="仿宋_GB2312"/>
          <w:szCs w:val="22"/>
        </w:rPr>
      </w:pPr>
      <w:r>
        <w:rPr>
          <w:rFonts w:hint="eastAsia" w:ascii="仿宋_GB2312" w:hAnsi="仿宋_GB2312" w:cs="仿宋_GB2312"/>
          <w:szCs w:val="22"/>
        </w:rPr>
        <w:t>深入践行“人民至上、生命至上”理念，始终把确保人民生命安全放在第一位，落实责任机制，强化源头防控，做好监督监管，切实保障人民群众生命安全。</w:t>
      </w:r>
    </w:p>
    <w:p>
      <w:pPr>
        <w:overflowPunct w:val="0"/>
        <w:spacing w:line="560" w:lineRule="exact"/>
        <w:ind w:firstLine="643"/>
        <w:jc w:val="both"/>
      </w:pPr>
      <w:r>
        <w:rPr>
          <w:rFonts w:hint="eastAsia" w:ascii="Times New Roman" w:hAnsi="Times New Roman" w:cs="宋体"/>
          <w:b/>
        </w:rPr>
        <w:t>建设“食安历城”。</w:t>
      </w:r>
      <w:r>
        <w:rPr>
          <w:rFonts w:hint="eastAsia" w:ascii="仿宋_GB2312" w:hAnsi="仿宋_GB2312" w:cs="仿宋_GB2312"/>
          <w:szCs w:val="22"/>
        </w:rPr>
        <w:t>巩固提升国家食品安全示范城市和山东省食品安全区创建成果,打造“食安历城”品牌。强化标准引领，加强</w:t>
      </w:r>
      <w:r>
        <w:rPr>
          <w:rFonts w:hint="eastAsia" w:ascii="Times New Roman" w:hAnsi="宋体" w:cs="宋体"/>
          <w:kern w:val="0"/>
          <w:szCs w:val="36"/>
        </w:rPr>
        <w:t>食品药品安全源头治理和</w:t>
      </w:r>
      <w:r>
        <w:rPr>
          <w:rFonts w:hint="eastAsia" w:ascii="仿宋_GB2312" w:hAnsi="仿宋_GB2312" w:cs="仿宋_GB2312"/>
        </w:rPr>
        <w:t>生产、流通、消费全链条溯源</w:t>
      </w:r>
      <w:r>
        <w:rPr>
          <w:rFonts w:hint="eastAsia" w:ascii="Times New Roman" w:hAnsi="宋体" w:cs="宋体"/>
          <w:kern w:val="0"/>
          <w:szCs w:val="36"/>
        </w:rPr>
        <w:t>监管。建立覆盖全区的许可审批、抽检监测、日常监管、稽查执法、产品追溯等在线监管平台，开展食药安全智慧监管。积极开展果蔬日常检测工作，加强农产品质量安全追溯管理。</w:t>
      </w:r>
    </w:p>
    <w:p>
      <w:pPr>
        <w:overflowPunct w:val="0"/>
        <w:spacing w:line="560" w:lineRule="exact"/>
        <w:ind w:firstLine="643"/>
        <w:jc w:val="both"/>
      </w:pPr>
      <w:r>
        <w:rPr>
          <w:rFonts w:hint="eastAsia" w:ascii="Times New Roman" w:hAnsi="Times New Roman" w:cs="宋体"/>
          <w:b/>
        </w:rPr>
        <w:t>保障安全生产。</w:t>
      </w:r>
      <w:r>
        <w:rPr>
          <w:rFonts w:hint="eastAsia" w:ascii="仿宋_GB2312" w:hAnsi="仿宋_GB2312" w:cs="仿宋_GB2312"/>
          <w:szCs w:val="32"/>
        </w:rPr>
        <w:t>健全完善并严格落实安全生产责任制，</w:t>
      </w:r>
      <w:r>
        <w:rPr>
          <w:rFonts w:hint="eastAsia" w:ascii="仿宋_GB2312" w:hAnsi="仿宋_GB2312" w:cs="仿宋_GB2312"/>
          <w:szCs w:val="22"/>
        </w:rPr>
        <w:t>推动风险分级管控、隐患排查治理“双重预防体系”建设，深入开展安全生产隐患“大排查、快整治、严执法”集中行动。加强危化品、建筑施工、道路交通、电气燃气等重点生产行业领域日常监管和专项整治，</w:t>
      </w:r>
      <w:r>
        <w:rPr>
          <w:rFonts w:hint="eastAsia" w:ascii="仿宋_GB2312" w:hAnsi="仿宋_GB2312" w:cs="仿宋_GB2312"/>
          <w:szCs w:val="32"/>
        </w:rPr>
        <w:t>有效遏制重大安全事故发生。</w:t>
      </w:r>
      <w:r>
        <w:rPr>
          <w:rFonts w:hint="eastAsia" w:ascii="Times New Roman" w:hAnsi="宋体" w:cs="宋体"/>
          <w:kern w:val="0"/>
          <w:szCs w:val="36"/>
        </w:rPr>
        <w:t>强化对建筑施工、交通、特种设备等领域及学校、高层建筑等人员密集场所的安全监管。</w:t>
      </w:r>
    </w:p>
    <w:p>
      <w:pPr>
        <w:overflowPunct w:val="0"/>
        <w:spacing w:line="560" w:lineRule="exact"/>
        <w:ind w:firstLine="643"/>
        <w:jc w:val="both"/>
        <w:rPr>
          <w:rFonts w:ascii="仿宋_GB2312" w:hAnsi="Times New Roman" w:cs="仿宋_GB2312"/>
          <w:szCs w:val="32"/>
        </w:rPr>
      </w:pPr>
      <w:r>
        <w:rPr>
          <w:rFonts w:hint="eastAsia" w:ascii="Times New Roman" w:hAnsi="Times New Roman" w:cs="宋体"/>
          <w:b/>
        </w:rPr>
        <w:t>加强应急管理。</w:t>
      </w:r>
      <w:r>
        <w:rPr>
          <w:rFonts w:hint="eastAsia" w:ascii="仿宋_GB2312" w:hAnsi="仿宋_GB2312" w:cs="仿宋_GB2312"/>
          <w:szCs w:val="32"/>
        </w:rPr>
        <w:t>完善应急管理体系，</w:t>
      </w:r>
      <w:r>
        <w:rPr>
          <w:rFonts w:hint="eastAsia" w:ascii="Times New Roman" w:hAnsi="宋体" w:cs="宋体"/>
          <w:kern w:val="0"/>
          <w:szCs w:val="36"/>
        </w:rPr>
        <w:t>健全灾害监测</w:t>
      </w:r>
      <w:r>
        <w:rPr>
          <w:rFonts w:hint="eastAsia" w:ascii="仿宋_GB2312" w:hAnsi="Times New Roman" w:cs="仿宋_GB2312"/>
          <w:szCs w:val="32"/>
        </w:rPr>
        <w:t>、预测、预报、预警和快速反应机制，</w:t>
      </w:r>
      <w:r>
        <w:rPr>
          <w:rFonts w:hint="eastAsia" w:ascii="Times New Roman" w:hAnsi="宋体" w:cs="宋体"/>
          <w:kern w:val="0"/>
          <w:szCs w:val="36"/>
        </w:rPr>
        <w:t>建设集应急值守、监测预警、信息传递、应急指挥等功能于一体的应急指挥平台。</w:t>
      </w:r>
      <w:r>
        <w:rPr>
          <w:rFonts w:hint="eastAsia" w:ascii="仿宋_GB2312" w:hAnsi="仿宋_GB2312" w:cs="仿宋_GB2312"/>
          <w:szCs w:val="32"/>
        </w:rPr>
        <w:t>积极配合省、市构建集中统一、分级使用的应急物资管理信息化平台。</w:t>
      </w:r>
      <w:bookmarkStart w:id="237" w:name="_Hlk76045025"/>
      <w:r>
        <w:rPr>
          <w:rFonts w:hint="eastAsia" w:ascii="仿宋_GB2312" w:hAnsi="仿宋_GB2312" w:cs="仿宋_GB2312"/>
          <w:szCs w:val="32"/>
        </w:rPr>
        <w:t>做好</w:t>
      </w:r>
      <w:r>
        <w:rPr>
          <w:rFonts w:hint="eastAsia" w:ascii="Times New Roman" w:hAnsi="宋体" w:cs="宋体"/>
          <w:kern w:val="0"/>
          <w:szCs w:val="36"/>
        </w:rPr>
        <w:t>健全完善避灾避险设施，</w:t>
      </w:r>
      <w:r>
        <w:rPr>
          <w:rFonts w:hint="eastAsia" w:ascii="仿宋_GB2312" w:hAnsi="仿宋_GB2312" w:cs="仿宋_GB2312"/>
          <w:szCs w:val="32"/>
        </w:rPr>
        <w:t>培育和发展社会救援力量，做好消防工作，</w:t>
      </w:r>
      <w:r>
        <w:rPr>
          <w:rFonts w:hint="eastAsia" w:ascii="仿宋_GB2312" w:hAnsi="Times New Roman" w:cs="仿宋_GB2312"/>
          <w:szCs w:val="32"/>
        </w:rPr>
        <w:t>加强专业救灾抢险队伍建设。</w:t>
      </w:r>
      <w:bookmarkEnd w:id="237"/>
      <w:r>
        <w:rPr>
          <w:rFonts w:hint="eastAsia" w:ascii="仿宋_GB2312" w:hAnsi="Times New Roman" w:cs="仿宋_GB2312"/>
          <w:szCs w:val="32"/>
        </w:rPr>
        <w:t>支持和引导人民群众参与开展风险隐患排查、隐患治理和监督工作。利用全国防灾减灾日，加强日常防灾教育，提高居民防灾意识。</w:t>
      </w:r>
    </w:p>
    <w:p>
      <w:pPr>
        <w:pStyle w:val="3"/>
        <w:spacing w:line="560" w:lineRule="exact"/>
        <w:rPr>
          <w:rFonts w:hint="default"/>
        </w:rPr>
      </w:pPr>
      <w:bookmarkStart w:id="238" w:name="_Toc691"/>
      <w:bookmarkStart w:id="239" w:name="_Toc26898"/>
      <w:bookmarkStart w:id="240" w:name="_Toc21585"/>
      <w:bookmarkStart w:id="241" w:name="_Toc23471"/>
      <w:r>
        <w:t>第十五章建立科学有效规划实施新机制</w:t>
      </w:r>
      <w:bookmarkEnd w:id="238"/>
      <w:bookmarkEnd w:id="239"/>
      <w:bookmarkEnd w:id="240"/>
      <w:bookmarkEnd w:id="241"/>
    </w:p>
    <w:p>
      <w:pPr>
        <w:pStyle w:val="4"/>
        <w:spacing w:line="560" w:lineRule="exact"/>
      </w:pPr>
      <w:bookmarkStart w:id="242" w:name="_Toc30195"/>
      <w:bookmarkStart w:id="243" w:name="_Toc6084"/>
      <w:bookmarkStart w:id="244" w:name="_Toc2084"/>
      <w:bookmarkStart w:id="245" w:name="_Toc24032"/>
      <w:r>
        <w:rPr>
          <w:rFonts w:hint="eastAsia"/>
        </w:rPr>
        <w:t>第一节强化组织领导</w:t>
      </w:r>
      <w:bookmarkEnd w:id="242"/>
      <w:bookmarkEnd w:id="243"/>
      <w:bookmarkEnd w:id="244"/>
      <w:bookmarkEnd w:id="245"/>
    </w:p>
    <w:p>
      <w:pPr>
        <w:spacing w:line="560" w:lineRule="exact"/>
        <w:jc w:val="both"/>
        <w:rPr>
          <w:rFonts w:ascii="仿宋_GB2312" w:hAnsi="仿宋_GB2312" w:cs="仿宋_GB2312"/>
          <w:szCs w:val="32"/>
        </w:rPr>
      </w:pPr>
      <w:r>
        <w:rPr>
          <w:rFonts w:hint="eastAsia" w:ascii="仿宋_GB2312" w:hAnsi="仿宋_GB2312" w:cs="仿宋_GB2312"/>
          <w:szCs w:val="22"/>
        </w:rPr>
        <w:t>充分发挥党委统揽全局、协调各方的核心作用，加强组织领导经济社会发展工作制度化建设，完善党委研究、制定政策的工作机制，提高决策科学化水平。围绕经济社会发展重点领域，研究制定配套政策；密切联系宏观环境变化和发展实际，加强政策储备。加强落实省委、市委关于经济社会发展重大战略、重大改革、重大任务等部署要求，严格执行重大事项向党委报告制度。广泛动员社会各界力量，加强规划宣传，着力推进规划实施的信息公开和交流机制。坚定不移推动全面从严治党向纵深发展，持之以恒正风肃纪反腐。</w:t>
      </w:r>
    </w:p>
    <w:p>
      <w:pPr>
        <w:pStyle w:val="4"/>
        <w:spacing w:line="560" w:lineRule="exact"/>
      </w:pPr>
      <w:bookmarkStart w:id="246" w:name="_Toc16568"/>
      <w:bookmarkStart w:id="247" w:name="_Toc31368"/>
      <w:bookmarkStart w:id="248" w:name="_Toc26550"/>
      <w:bookmarkStart w:id="249" w:name="_Toc12266"/>
      <w:r>
        <w:rPr>
          <w:rFonts w:hint="eastAsia"/>
        </w:rPr>
        <w:t>第二节强化规划落实</w:t>
      </w:r>
      <w:bookmarkEnd w:id="246"/>
      <w:bookmarkEnd w:id="247"/>
      <w:bookmarkEnd w:id="248"/>
      <w:bookmarkEnd w:id="249"/>
    </w:p>
    <w:p>
      <w:pPr>
        <w:spacing w:line="560" w:lineRule="exact"/>
        <w:jc w:val="both"/>
        <w:rPr>
          <w:rFonts w:ascii="仿宋_GB2312" w:hAnsi="仿宋_GB2312" w:cs="仿宋_GB2312"/>
          <w:szCs w:val="22"/>
        </w:rPr>
      </w:pPr>
      <w:r>
        <w:rPr>
          <w:rFonts w:hint="eastAsia" w:ascii="仿宋_GB2312" w:hAnsi="仿宋_GB2312" w:cs="仿宋_GB2312"/>
          <w:szCs w:val="22"/>
        </w:rPr>
        <w:t>强化本规划作为制定专项规划、区域规划、部门规划以及相关政策的重要依据，以本规划为统领，使各项规划定位准确、边界清晰、功能互补、统一衔接，使规划体系在发展目标、空间布局、政策取向等方面保持协调一致。各部门、单位明确本规划目标细化落实的时间表和路线图，切实贯彻规划确定的总体要求和任务。明确实施路径，细化具体措施，科学制定政策和配置公共资源。规划实施进展情况做到及时公开，加强对落实情况的协调调度。</w:t>
      </w:r>
    </w:p>
    <w:p>
      <w:pPr>
        <w:pStyle w:val="4"/>
        <w:spacing w:line="560" w:lineRule="exact"/>
      </w:pPr>
      <w:bookmarkStart w:id="250" w:name="_Toc25688"/>
      <w:bookmarkStart w:id="251" w:name="_Toc4330"/>
      <w:bookmarkStart w:id="252" w:name="_Toc31132"/>
      <w:bookmarkStart w:id="253" w:name="_Toc24057"/>
      <w:r>
        <w:rPr>
          <w:rFonts w:hint="eastAsia"/>
        </w:rPr>
        <w:t>第三节强化</w:t>
      </w:r>
      <w:r>
        <w:t>项目支撑</w:t>
      </w:r>
      <w:bookmarkEnd w:id="250"/>
      <w:bookmarkEnd w:id="251"/>
      <w:bookmarkEnd w:id="252"/>
      <w:bookmarkEnd w:id="253"/>
    </w:p>
    <w:p>
      <w:pPr>
        <w:spacing w:line="560" w:lineRule="exact"/>
        <w:jc w:val="both"/>
        <w:rPr>
          <w:rFonts w:ascii="仿宋_GB2312" w:hAnsi="仿宋_GB2312" w:cs="仿宋_GB2312"/>
          <w:szCs w:val="22"/>
        </w:rPr>
      </w:pPr>
      <w:r>
        <w:rPr>
          <w:rFonts w:hint="eastAsia" w:ascii="仿宋_GB2312" w:hAnsi="仿宋_GB2312" w:cs="仿宋_GB2312"/>
          <w:szCs w:val="22"/>
        </w:rPr>
        <w:t>坚持以规划确定项目、以项目落实规划，发挥重大项目带动作用，在科技创新、社会民生、产业发展等重要领域，优化布局重点项目。健全项目储备库制度，增强项目的协调性和可持续性，有序组织一批关系全局和长远发展的重大项目。强化重大项目动态跟踪，建立项目推进责任制度。完善项目管理机制，强化项目实施前决策机制、实施阶段监督稽查机制和项目完成后评估机制。加强协调调度，充分利用相关管理信息系统对项目开展定期调度。支持有关部门、单位和企业加强沟通协作，提高审批效率，为重大项目实施创造有利条件。建立联席会议制度，着力解决项目建设和运营中存在的问题。</w:t>
      </w:r>
    </w:p>
    <w:p>
      <w:pPr>
        <w:pStyle w:val="4"/>
        <w:spacing w:line="560" w:lineRule="exact"/>
      </w:pPr>
      <w:bookmarkStart w:id="254" w:name="_Toc31621"/>
      <w:bookmarkStart w:id="255" w:name="_Toc9524"/>
      <w:bookmarkStart w:id="256" w:name="_Toc21445"/>
      <w:bookmarkStart w:id="257" w:name="_Toc16068"/>
      <w:r>
        <w:rPr>
          <w:rFonts w:hint="eastAsia"/>
        </w:rPr>
        <w:t>第四节强化实施</w:t>
      </w:r>
      <w:r>
        <w:t>评估</w:t>
      </w:r>
      <w:bookmarkEnd w:id="254"/>
      <w:bookmarkEnd w:id="255"/>
      <w:bookmarkEnd w:id="256"/>
      <w:bookmarkEnd w:id="257"/>
    </w:p>
    <w:p>
      <w:pPr>
        <w:spacing w:line="560" w:lineRule="exact"/>
        <w:jc w:val="both"/>
      </w:pPr>
      <w:r>
        <w:rPr>
          <w:rFonts w:hint="eastAsia"/>
        </w:rPr>
        <w:t>强化规划实施评估，根据有关法律法规，制定规划实施评估制度。制定评估检查工作计划和阶段性安排，提升</w:t>
      </w:r>
      <w:r>
        <w:t>评估</w:t>
      </w:r>
      <w:r>
        <w:rPr>
          <w:rFonts w:hint="eastAsia"/>
        </w:rPr>
        <w:t>工作的系统性、科学性和预见性。科学合理设置评估指标，体现</w:t>
      </w:r>
      <w:r>
        <w:t>差异化原则，创新评估检查</w:t>
      </w:r>
      <w:r>
        <w:rPr>
          <w:rFonts w:hint="eastAsia"/>
        </w:rPr>
        <w:t>的</w:t>
      </w:r>
      <w:r>
        <w:t>方式方法，</w:t>
      </w:r>
      <w:r>
        <w:rPr>
          <w:rFonts w:hint="eastAsia"/>
        </w:rPr>
        <w:t>增强评估准确性和广泛性</w:t>
      </w:r>
      <w:r>
        <w:t>。</w:t>
      </w:r>
      <w:r>
        <w:rPr>
          <w:rFonts w:hint="eastAsia"/>
        </w:rPr>
        <w:t>制定规划目标任务的分类考核制度，加强规划实施情况跟踪分析，将评估结果作为改进政府工作和绩效考核的重要依据。加强规划实施的过程跟踪和效果分析，对规划进行动态调整和修订，建立发展规划绩效考核持续改进机制，重点加强调控目标的监测预警。充分发挥行业商会、协会等社会力量的专业化监督作用，探索建立互联网等新媒体监督规划实施的有效机制。</w:t>
      </w:r>
    </w:p>
    <w:p>
      <w:pPr>
        <w:spacing w:line="560" w:lineRule="exact"/>
        <w:jc w:val="both"/>
        <w:rPr>
          <w:spacing w:val="-6"/>
        </w:rPr>
      </w:pPr>
      <w:r>
        <w:rPr>
          <w:rFonts w:hint="eastAsia"/>
        </w:rPr>
        <w:t>实现“十四五”时期发展目标，前景光明、责任重大。全区上下要始终坚持以习近平新时代中国特色社会主义思想为指导，深入贯彻落实黄河流域生态保护和高质量发展国家战略，坚定信心、锐意进取，积极作为、狠抓落实，加快建设省会东部现代化强区，</w:t>
      </w:r>
      <w:r>
        <w:rPr>
          <w:rFonts w:hint="eastAsia"/>
          <w:spacing w:val="-6"/>
        </w:rPr>
        <w:t>为全市建设“大强美富通”现代化国际大都市贡献历城力量！</w:t>
      </w:r>
    </w:p>
    <w:p>
      <w:pPr>
        <w:widowControl/>
        <w:adjustRightInd/>
        <w:snapToGrid/>
        <w:spacing w:line="240" w:lineRule="auto"/>
        <w:ind w:firstLine="0" w:firstLineChars="0"/>
        <w:rPr>
          <w:rFonts w:ascii="宋体" w:hAnsi="宋体" w:eastAsia="黑体"/>
          <w:bCs/>
          <w:kern w:val="44"/>
          <w:sz w:val="44"/>
          <w:szCs w:val="44"/>
        </w:rPr>
      </w:pPr>
      <w:bookmarkStart w:id="258" w:name="_Toc6932"/>
      <w:r>
        <w:rPr>
          <w:sz w:val="44"/>
          <w:szCs w:val="44"/>
        </w:rPr>
        <w:br w:type="page"/>
      </w:r>
    </w:p>
    <w:p>
      <w:pPr>
        <w:pStyle w:val="3"/>
        <w:spacing w:line="560" w:lineRule="exact"/>
        <w:rPr>
          <w:rFonts w:hint="default"/>
          <w:sz w:val="44"/>
          <w:szCs w:val="44"/>
        </w:rPr>
      </w:pPr>
      <w:r>
        <w:rPr>
          <w:sz w:val="44"/>
          <w:szCs w:val="44"/>
        </w:rPr>
        <w:t>名词解释</w:t>
      </w:r>
      <w:bookmarkEnd w:id="258"/>
    </w:p>
    <w:p>
      <w:pPr>
        <w:spacing w:line="560" w:lineRule="exact"/>
        <w:ind w:firstLine="643"/>
        <w:jc w:val="both"/>
        <w:rPr>
          <w:rFonts w:ascii="仿宋_GB2312" w:hAnsi="仿宋_GB2312" w:cs="仿宋_GB2312"/>
        </w:rPr>
      </w:pPr>
      <w:r>
        <w:rPr>
          <w:rFonts w:hint="eastAsia" w:ascii="仿宋_GB2312" w:hAnsi="仿宋_GB2312" w:cs="仿宋_GB2312"/>
          <w:b/>
        </w:rPr>
        <w:t>1.千企千亿：</w:t>
      </w:r>
      <w:r>
        <w:rPr>
          <w:rFonts w:hint="eastAsia" w:ascii="仿宋_GB2312" w:hAnsi="仿宋_GB2312" w:cs="仿宋_GB2312"/>
        </w:rPr>
        <w:t>用3-5年时间，引进、培育1000家主营业务收入过亿元的高成长性和高技术企业。</w:t>
      </w:r>
    </w:p>
    <w:p>
      <w:pPr>
        <w:spacing w:line="560" w:lineRule="exact"/>
        <w:ind w:firstLine="643"/>
        <w:jc w:val="both"/>
        <w:rPr>
          <w:rFonts w:ascii="仿宋_GB2312" w:hAnsi="仿宋_GB2312" w:cs="仿宋_GB2312"/>
        </w:rPr>
      </w:pPr>
      <w:r>
        <w:rPr>
          <w:rFonts w:hint="eastAsia" w:ascii="仿宋_GB2312" w:hAnsi="仿宋_GB2312" w:cs="仿宋_GB2312"/>
          <w:b/>
        </w:rPr>
        <w:t>2.企业倍增：</w:t>
      </w:r>
      <w:r>
        <w:rPr>
          <w:rFonts w:hint="eastAsia" w:ascii="仿宋_GB2312" w:hAnsi="仿宋_GB2312" w:cs="仿宋_GB2312"/>
        </w:rPr>
        <w:t>由本地企业提出收入倍增计划和市场开拓、产业链合作、人才引进等方面的要求，政府对照企业需求精准提供服务，实现产业规模倍增和结构升级。</w:t>
      </w:r>
    </w:p>
    <w:p>
      <w:pPr>
        <w:spacing w:line="560" w:lineRule="exact"/>
        <w:ind w:firstLine="643"/>
        <w:jc w:val="both"/>
        <w:rPr>
          <w:rFonts w:ascii="仿宋_GB2312" w:hAnsi="仿宋_GB2312" w:cs="仿宋_GB2312"/>
        </w:rPr>
      </w:pPr>
      <w:r>
        <w:rPr>
          <w:rFonts w:hint="eastAsia" w:ascii="仿宋_GB2312" w:hAnsi="仿宋_GB2312" w:cs="仿宋_GB2312"/>
          <w:b/>
        </w:rPr>
        <w:t>3.知本黄河：</w:t>
      </w:r>
      <w:r>
        <w:rPr>
          <w:rFonts w:hint="eastAsia" w:ascii="仿宋_GB2312" w:hAnsi="仿宋_GB2312" w:cs="仿宋_GB2312"/>
        </w:rPr>
        <w:t>以知识为本位，以研究黄河流域高质量发展为重点，立足黄河流域自然禀赋、历史传承、人文特点、产业基础、区位优势等要素，引领黄河流域创新驱动发展。</w:t>
      </w:r>
    </w:p>
    <w:p>
      <w:pPr>
        <w:spacing w:line="560" w:lineRule="exact"/>
        <w:ind w:firstLine="643"/>
        <w:jc w:val="both"/>
        <w:rPr>
          <w:rFonts w:ascii="仿宋_GB2312" w:hAnsi="仿宋_GB2312" w:cs="仿宋_GB2312"/>
        </w:rPr>
      </w:pPr>
      <w:r>
        <w:rPr>
          <w:rFonts w:hint="eastAsia" w:ascii="仿宋_GB2312" w:hAnsi="仿宋_GB2312" w:cs="仿宋_GB2312"/>
          <w:b/>
        </w:rPr>
        <w:t>4.动力黄河：</w:t>
      </w:r>
      <w:r>
        <w:rPr>
          <w:rFonts w:hint="eastAsia" w:ascii="仿宋_GB2312" w:hAnsi="仿宋_GB2312" w:cs="仿宋_GB2312"/>
        </w:rPr>
        <w:t>通过创新市场化运作模式，组建100亿黄河流域生态保护和高质量发展投资母基金，为推动黄河流域生态保护和高质量发展注入资金“动力”。</w:t>
      </w:r>
    </w:p>
    <w:p>
      <w:pPr>
        <w:spacing w:line="560" w:lineRule="exact"/>
        <w:ind w:firstLine="643"/>
        <w:jc w:val="both"/>
        <w:rPr>
          <w:rFonts w:ascii="仿宋_GB2312" w:hAnsi="仿宋_GB2312" w:cs="仿宋_GB2312"/>
        </w:rPr>
      </w:pPr>
      <w:r>
        <w:rPr>
          <w:rFonts w:hint="eastAsia" w:ascii="仿宋_GB2312" w:hAnsi="仿宋_GB2312" w:cs="仿宋_GB2312"/>
          <w:b/>
        </w:rPr>
        <w:t>5.循环经济：</w:t>
      </w:r>
      <w:r>
        <w:rPr>
          <w:rFonts w:hint="eastAsia" w:ascii="仿宋_GB2312" w:hAnsi="仿宋_GB2312" w:cs="仿宋_GB2312"/>
        </w:rPr>
        <w:t>以资源节约和循环利用为特征的经济发展模式。其特点是低开采、高利用、低排放。</w:t>
      </w:r>
    </w:p>
    <w:p>
      <w:pPr>
        <w:spacing w:line="560" w:lineRule="exact"/>
        <w:ind w:firstLine="643"/>
        <w:jc w:val="both"/>
        <w:rPr>
          <w:rFonts w:ascii="仿宋_GB2312" w:hAnsi="仿宋_GB2312" w:cs="仿宋_GB2312"/>
        </w:rPr>
      </w:pPr>
      <w:r>
        <w:rPr>
          <w:rFonts w:hint="eastAsia" w:ascii="仿宋_GB2312" w:hAnsi="仿宋_GB2312" w:cs="仿宋_GB2312"/>
          <w:b/>
        </w:rPr>
        <w:t>6.放管服：</w:t>
      </w:r>
      <w:r>
        <w:rPr>
          <w:rFonts w:hint="eastAsia" w:ascii="仿宋_GB2312" w:hAnsi="仿宋_GB2312" w:cs="仿宋_GB2312"/>
        </w:rPr>
        <w:t>即</w:t>
      </w:r>
      <w:r>
        <w:fldChar w:fldCharType="begin"/>
      </w:r>
      <w:r>
        <w:instrText xml:space="preserve"> HYPERLINK "https://baike.baidu.com/item/%E7%AE%80%E6%94%BF%E6%94%BE%E6%9D%83/2777365" \t "https://baike.baidu.com/item/_blank" </w:instrText>
      </w:r>
      <w:r>
        <w:fldChar w:fldCharType="separate"/>
      </w:r>
      <w:r>
        <w:rPr>
          <w:rFonts w:hint="eastAsia" w:ascii="仿宋_GB2312" w:hAnsi="仿宋_GB2312" w:cs="仿宋_GB2312"/>
        </w:rPr>
        <w:t>简政放权</w:t>
      </w:r>
      <w:r>
        <w:rPr>
          <w:rFonts w:hint="eastAsia" w:ascii="仿宋_GB2312" w:hAnsi="仿宋_GB2312" w:cs="仿宋_GB2312"/>
        </w:rPr>
        <w:fldChar w:fldCharType="end"/>
      </w:r>
      <w:r>
        <w:rPr>
          <w:rFonts w:hint="eastAsia" w:ascii="仿宋_GB2312" w:hAnsi="仿宋_GB2312" w:cs="仿宋_GB2312"/>
        </w:rPr>
        <w:t>、放管结合、优化服务的简称。“放”即简政放权，降低准入门槛。“管”即创新监管，促进公平竞争。“服”即高效服务，营造便利环境。</w:t>
      </w:r>
    </w:p>
    <w:p>
      <w:pPr>
        <w:spacing w:line="560" w:lineRule="exact"/>
        <w:ind w:firstLine="643"/>
        <w:jc w:val="both"/>
        <w:rPr>
          <w:rFonts w:ascii="仿宋_GB2312" w:hAnsi="仿宋_GB2312" w:cs="仿宋_GB2312"/>
        </w:rPr>
      </w:pPr>
      <w:r>
        <w:rPr>
          <w:rFonts w:hint="eastAsia" w:ascii="仿宋_GB2312" w:hAnsi="仿宋_GB2312" w:cs="仿宋_GB2312"/>
          <w:b/>
        </w:rPr>
        <w:t>7.新十字：</w:t>
      </w:r>
      <w:r>
        <w:rPr>
          <w:rFonts w:hint="eastAsia" w:ascii="仿宋_GB2312" w:hAnsi="仿宋_GB2312" w:cs="仿宋_GB2312"/>
        </w:rPr>
        <w:t>即济南市“东强、西兴、南美、北起、中优”城市发展新十字方针，蕴含了“大强美富通”丰富内涵和“五个济南”内在要求，标志着济南由城市空间拓展向高质量发展的升级和进阶。</w:t>
      </w:r>
    </w:p>
    <w:p>
      <w:pPr>
        <w:spacing w:line="560" w:lineRule="exact"/>
        <w:ind w:firstLine="643"/>
        <w:jc w:val="both"/>
        <w:rPr>
          <w:rFonts w:ascii="仿宋_GB2312" w:hAnsi="仿宋_GB2312" w:cs="仿宋_GB2312"/>
        </w:rPr>
      </w:pPr>
      <w:r>
        <w:rPr>
          <w:rFonts w:hint="eastAsia" w:ascii="仿宋_GB2312" w:hAnsi="仿宋_GB2312" w:cs="仿宋_GB2312"/>
          <w:b/>
        </w:rPr>
        <w:t>8.RCEP:</w:t>
      </w:r>
      <w:r>
        <w:rPr>
          <w:rFonts w:hint="eastAsia" w:ascii="仿宋_GB2312" w:hAnsi="仿宋_GB2312" w:cs="仿宋_GB2312"/>
        </w:rPr>
        <w:t>《区域全面经济伙伴关系协定》是2012年由东盟发起，历时八年，由包括中国、日本、韩国、澳大利亚、新西兰和东盟十国共15方成员制定的协定。</w:t>
      </w:r>
    </w:p>
    <w:p>
      <w:pPr>
        <w:spacing w:line="560" w:lineRule="exact"/>
        <w:ind w:firstLine="643"/>
        <w:jc w:val="both"/>
        <w:rPr>
          <w:rFonts w:ascii="仿宋_GB2312" w:hAnsi="仿宋_GB2312" w:cs="仿宋_GB2312"/>
        </w:rPr>
      </w:pPr>
      <w:r>
        <w:rPr>
          <w:rFonts w:hint="eastAsia" w:ascii="仿宋_GB2312" w:hAnsi="仿宋_GB2312" w:cs="仿宋_GB2312"/>
          <w:b/>
        </w:rPr>
        <w:t>9.母基金：</w:t>
      </w:r>
      <w:r>
        <w:rPr>
          <w:rFonts w:hint="eastAsia" w:ascii="仿宋_GB2312" w:hAnsi="仿宋_GB2312" w:cs="仿宋_GB2312"/>
        </w:rPr>
        <w:t>FoF（Fund of Funds）是一种专门投资于其他投资基金的基金。母基金并不直接投资股票或债券，其投资范围仅限于其他基金，通过持有其他证券投资基金而间接持有股票、债券等证券资产。</w:t>
      </w:r>
    </w:p>
    <w:p>
      <w:pPr>
        <w:spacing w:line="560" w:lineRule="exact"/>
        <w:ind w:firstLine="643"/>
        <w:jc w:val="both"/>
        <w:rPr>
          <w:rFonts w:ascii="仿宋_GB2312" w:hAnsi="仿宋_GB2312" w:cs="仿宋_GB2312"/>
        </w:rPr>
      </w:pPr>
      <w:r>
        <w:rPr>
          <w:rFonts w:hint="eastAsia" w:ascii="仿宋_GB2312" w:hAnsi="仿宋_GB2312" w:cs="仿宋_GB2312"/>
          <w:b/>
        </w:rPr>
        <w:t>10.三生融合：</w:t>
      </w:r>
      <w:r>
        <w:rPr>
          <w:rFonts w:hint="eastAsia" w:ascii="仿宋_GB2312" w:hAnsi="仿宋_GB2312" w:cs="仿宋_GB2312"/>
        </w:rPr>
        <w:t>即生产、生活、生态融合发展。</w:t>
      </w:r>
    </w:p>
    <w:p>
      <w:pPr>
        <w:spacing w:line="560" w:lineRule="exact"/>
        <w:ind w:firstLine="643"/>
        <w:jc w:val="both"/>
        <w:rPr>
          <w:rFonts w:ascii="仿宋_GB2312" w:hAnsi="仿宋_GB2312" w:cs="仿宋_GB2312"/>
        </w:rPr>
      </w:pPr>
      <w:r>
        <w:rPr>
          <w:rFonts w:hint="eastAsia" w:ascii="仿宋_GB2312" w:hAnsi="仿宋_GB2312" w:cs="仿宋_GB2312"/>
          <w:b/>
        </w:rPr>
        <w:t>11.瞪羚企业：</w:t>
      </w:r>
      <w:r>
        <w:rPr>
          <w:rFonts w:hint="eastAsia" w:ascii="仿宋_GB2312" w:hAnsi="仿宋_GB2312" w:cs="仿宋_GB2312"/>
        </w:rPr>
        <w:t>是指极具创新活力，发展速度越来越快，很像善于跳跃和奔跑的羚羊的高科技企业。是最近四年来年收入增长率都在20%的公开上市公司，收入基数不低于100万美元。</w:t>
      </w:r>
    </w:p>
    <w:p>
      <w:pPr>
        <w:spacing w:line="560" w:lineRule="exact"/>
        <w:ind w:firstLine="643"/>
        <w:jc w:val="both"/>
        <w:rPr>
          <w:rFonts w:ascii="仿宋_GB2312" w:hAnsi="仿宋_GB2312" w:cs="仿宋_GB2312"/>
        </w:rPr>
      </w:pPr>
      <w:r>
        <w:rPr>
          <w:rFonts w:hint="eastAsia" w:ascii="仿宋_GB2312" w:hAnsi="仿宋_GB2312" w:cs="仿宋_GB2312"/>
          <w:b/>
        </w:rPr>
        <w:t>12.行（xing）波管：</w:t>
      </w:r>
      <w:r>
        <w:rPr>
          <w:rFonts w:hint="eastAsia" w:ascii="仿宋_GB2312" w:hAnsi="仿宋_GB2312" w:cs="仿宋_GB2312"/>
        </w:rPr>
        <w:t>是靠连续调制电子注的速度来实现放大功能的微波电子管。广泛应用于雷达、电子对抗、通信等领域。</w:t>
      </w:r>
    </w:p>
    <w:p>
      <w:pPr>
        <w:spacing w:line="560" w:lineRule="exact"/>
        <w:ind w:firstLine="643"/>
        <w:jc w:val="both"/>
        <w:rPr>
          <w:rFonts w:ascii="仿宋_GB2312" w:hAnsi="仿宋_GB2312" w:cs="仿宋_GB2312"/>
        </w:rPr>
      </w:pPr>
      <w:r>
        <w:rPr>
          <w:rFonts w:hint="eastAsia" w:ascii="仿宋_GB2312" w:hAnsi="仿宋_GB2312" w:cs="仿宋_GB2312"/>
          <w:b/>
        </w:rPr>
        <w:t>13.产业链链长制：</w:t>
      </w:r>
      <w:r>
        <w:rPr>
          <w:rFonts w:hint="eastAsia" w:ascii="仿宋_GB2312" w:hAnsi="仿宋_GB2312" w:cs="仿宋_GB2312"/>
        </w:rPr>
        <w:t>由各省、市主要领导挂帅，每人负责一条产业链，利用地方最高负责人的综合协调优势，在更高层面上保障各个产业链的完整、稳定和发展。</w:t>
      </w:r>
    </w:p>
    <w:p>
      <w:pPr>
        <w:spacing w:line="560" w:lineRule="exact"/>
        <w:ind w:firstLine="643"/>
        <w:jc w:val="both"/>
        <w:rPr>
          <w:rFonts w:ascii="仿宋_GB2312" w:hAnsi="仿宋_GB2312" w:cs="仿宋_GB2312"/>
        </w:rPr>
      </w:pPr>
      <w:r>
        <w:rPr>
          <w:rFonts w:hint="eastAsia" w:ascii="仿宋_GB2312" w:hAnsi="仿宋_GB2312" w:cs="仿宋_GB2312"/>
          <w:b/>
        </w:rPr>
        <w:t>14.E级超算：</w:t>
      </w:r>
      <w:r>
        <w:rPr>
          <w:rFonts w:hint="eastAsia" w:ascii="仿宋_GB2312" w:hAnsi="仿宋_GB2312" w:cs="仿宋_GB2312"/>
        </w:rPr>
        <w:t>指每秒可进行百亿亿次数学运算的</w:t>
      </w:r>
      <w:r>
        <w:fldChar w:fldCharType="begin"/>
      </w:r>
      <w:r>
        <w:instrText xml:space="preserve"> HYPERLINK "https://baike.baidu.com/item/%E8%B6%85%E7%BA%A7" \t "https://baike.baidu.com/item/E%E7%BA%A7%E8%B6%85%E7%AE%97/_blank" </w:instrText>
      </w:r>
      <w:r>
        <w:fldChar w:fldCharType="separate"/>
      </w:r>
      <w:r>
        <w:rPr>
          <w:rFonts w:hint="eastAsia" w:ascii="仿宋_GB2312" w:hAnsi="仿宋_GB2312" w:cs="仿宋_GB2312"/>
        </w:rPr>
        <w:t>超级</w:t>
      </w:r>
      <w:r>
        <w:rPr>
          <w:rFonts w:hint="eastAsia" w:ascii="仿宋_GB2312" w:hAnsi="仿宋_GB2312" w:cs="仿宋_GB2312"/>
        </w:rPr>
        <w:fldChar w:fldCharType="end"/>
      </w:r>
      <w:r>
        <w:rPr>
          <w:rFonts w:hint="eastAsia" w:ascii="仿宋_GB2312" w:hAnsi="仿宋_GB2312" w:cs="仿宋_GB2312"/>
        </w:rPr>
        <w:t>计算机。</w:t>
      </w:r>
    </w:p>
    <w:p>
      <w:pPr>
        <w:spacing w:line="560" w:lineRule="exact"/>
        <w:ind w:firstLine="643"/>
        <w:jc w:val="both"/>
        <w:rPr>
          <w:rFonts w:ascii="仿宋_GB2312" w:hAnsi="仿宋_GB2312" w:cs="仿宋_GB2312"/>
        </w:rPr>
      </w:pPr>
      <w:r>
        <w:rPr>
          <w:rFonts w:hint="eastAsia" w:ascii="仿宋_GB2312" w:hAnsi="仿宋_GB2312" w:cs="仿宋_GB2312"/>
          <w:b/>
        </w:rPr>
        <w:t>15.工业无源光纤网络：</w:t>
      </w:r>
      <w:r>
        <w:rPr>
          <w:rFonts w:hint="eastAsia" w:ascii="仿宋_GB2312" w:hAnsi="仿宋_GB2312" w:cs="仿宋_GB2312"/>
        </w:rPr>
        <w:t>无光源网络是一种点对多点的光纤传输和接入技术，具有节省光缆资源、带宽资源共享、节省机房投资、建网速度快、综合建网成本低等优点。</w:t>
      </w:r>
    </w:p>
    <w:p>
      <w:pPr>
        <w:spacing w:line="560" w:lineRule="exact"/>
        <w:ind w:firstLine="643"/>
        <w:jc w:val="both"/>
        <w:rPr>
          <w:rFonts w:ascii="仿宋_GB2312" w:hAnsi="仿宋_GB2312" w:cs="仿宋_GB2312"/>
        </w:rPr>
      </w:pPr>
      <w:r>
        <w:rPr>
          <w:rFonts w:hint="eastAsia" w:ascii="仿宋_GB2312" w:hAnsi="仿宋_GB2312" w:cs="仿宋_GB2312"/>
          <w:b/>
        </w:rPr>
        <w:t>16.泉贸通：</w:t>
      </w:r>
      <w:r>
        <w:rPr>
          <w:rFonts w:hint="eastAsia" w:ascii="仿宋_GB2312" w:hAnsi="仿宋_GB2312" w:cs="仿宋_GB2312"/>
        </w:rPr>
        <w:t>是济南市首个致力于解决外贸企业融资的金融服务平台。运用云计算、区块链、AI等先进技术，实现对进出口企业的360度画像和风险评估，借助海外资信调查渠道，对企业的海外买方或卖方进行资信评估。</w:t>
      </w:r>
    </w:p>
    <w:p>
      <w:pPr>
        <w:spacing w:line="560" w:lineRule="exact"/>
        <w:ind w:firstLine="643"/>
        <w:jc w:val="both"/>
        <w:rPr>
          <w:rFonts w:ascii="仿宋_GB2312" w:hAnsi="仿宋_GB2312" w:cs="仿宋_GB2312"/>
        </w:rPr>
      </w:pPr>
      <w:r>
        <w:rPr>
          <w:rFonts w:hint="eastAsia" w:ascii="仿宋_GB2312" w:hAnsi="仿宋_GB2312" w:cs="仿宋_GB2312"/>
          <w:b/>
        </w:rPr>
        <w:t>17.链上自贸保税：</w:t>
      </w:r>
      <w:r>
        <w:rPr>
          <w:rFonts w:hint="eastAsia" w:ascii="仿宋_GB2312" w:hAnsi="仿宋_GB2312" w:cs="仿宋_GB2312"/>
        </w:rPr>
        <w:t>是利用浪潮QID码区块链技术，构建“货物出区免担保、一物一码可追溯、展示商品可退回、交易消费才缴税”的全流程保税监管新模式。</w:t>
      </w:r>
    </w:p>
    <w:p>
      <w:pPr>
        <w:spacing w:line="560" w:lineRule="exact"/>
        <w:ind w:firstLine="643"/>
        <w:jc w:val="both"/>
        <w:rPr>
          <w:rFonts w:ascii="仿宋_GB2312" w:hAnsi="仿宋_GB2312" w:cs="仿宋_GB2312"/>
        </w:rPr>
      </w:pPr>
      <w:r>
        <w:rPr>
          <w:rFonts w:hint="eastAsia" w:ascii="仿宋_GB2312" w:hAnsi="仿宋_GB2312" w:cs="仿宋_GB2312"/>
          <w:b/>
        </w:rPr>
        <w:t>18.保税维修：</w:t>
      </w:r>
      <w:r>
        <w:rPr>
          <w:rFonts w:hint="eastAsia" w:ascii="仿宋_GB2312" w:hAnsi="仿宋_GB2312" w:cs="仿宋_GB2312"/>
        </w:rPr>
        <w:t>综保区内企业可以开展航空航天、船舶、轨道交通、工程机械、数控机床、通讯设备、精密电子等55类产品的保税全球维修业务。</w:t>
      </w:r>
    </w:p>
    <w:p>
      <w:pPr>
        <w:spacing w:line="560" w:lineRule="exact"/>
        <w:ind w:firstLine="643"/>
        <w:jc w:val="both"/>
        <w:rPr>
          <w:rFonts w:ascii="仿宋_GB2312" w:hAnsi="仿宋_GB2312" w:cs="仿宋_GB2312"/>
        </w:rPr>
      </w:pPr>
      <w:r>
        <w:rPr>
          <w:rFonts w:hint="eastAsia" w:ascii="仿宋_GB2312" w:hAnsi="仿宋_GB2312" w:cs="仿宋_GB2312"/>
          <w:b/>
        </w:rPr>
        <w:t>19.土地熟化：</w:t>
      </w:r>
      <w:r>
        <w:rPr>
          <w:rFonts w:hint="eastAsia" w:ascii="仿宋_GB2312" w:hAnsi="仿宋_GB2312" w:cs="仿宋_GB2312"/>
        </w:rPr>
        <w:t>是指把新收上来的土地（生地）进行三通一平（路通、水通、电通和场地平整）工作的过程。</w:t>
      </w:r>
    </w:p>
    <w:p>
      <w:pPr>
        <w:spacing w:line="560" w:lineRule="exact"/>
        <w:ind w:firstLine="643"/>
        <w:jc w:val="both"/>
      </w:pPr>
      <w:r>
        <w:rPr>
          <w:rFonts w:hint="eastAsia" w:ascii="仿宋_GB2312" w:hAnsi="仿宋_GB2312" w:cs="仿宋_GB2312"/>
          <w:b/>
        </w:rPr>
        <w:t>20.四个不摘：</w:t>
      </w:r>
      <w:r>
        <w:rPr>
          <w:rFonts w:hint="eastAsia" w:ascii="仿宋_GB2312" w:hAnsi="仿宋_GB2312" w:cs="仿宋_GB2312"/>
        </w:rPr>
        <w:t>指摘帽不摘责任、摘帽不摘政策、摘帽不摘帮扶、摘帽不摘监管。</w:t>
      </w:r>
    </w:p>
    <w:sectPr>
      <w:footerReference r:id="rId13" w:type="default"/>
      <w:pgSz w:w="11906" w:h="16838"/>
      <w:pgMar w:top="1985" w:right="1531" w:bottom="1021" w:left="1531"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rPr>
        <w:rFonts w:ascii="仿宋_GB2312" w:hAnsi="仿宋_GB2312" w:cs="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rPr>
        <w:rFonts w:ascii="仿宋_GB2312" w:hAnsi="仿宋_GB2312" w:cs="仿宋_GB2312"/>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989135"/>
      <w:showingPlcHdr/>
    </w:sdtPr>
    <w:sdtContent>
      <w:p>
        <w:pPr>
          <w:pStyle w:val="9"/>
          <w:ind w:firstLine="360"/>
          <w:jc w:val="center"/>
        </w:pPr>
      </w:p>
    </w:sdtContent>
  </w:sdt>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posOffset>2494915</wp:posOffset>
              </wp:positionH>
              <wp:positionV relativeFrom="paragraph">
                <wp:posOffset>-13335</wp:posOffset>
              </wp:positionV>
              <wp:extent cx="733425" cy="266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342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56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69</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45pt;margin-top:-1.05pt;height:21pt;width:57.75pt;mso-position-horizontal-relative:margin;z-index:251659264;mso-width-relative:page;mso-height-relative:page;" filled="f" stroked="f" coordsize="21600,21600" o:gfxdata="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6DU1HXAAAACQEAAA8AAAAAAAAAAQAgAAAAIgAAAGRycy9kb3ducmV2LnhtbFBL&#10;AQIUABQAAAAIAIdO4kAudhQcMAIAAFUEAAAOAAAAAAAAAAEAIAAAACYBAABkcnMvZTJvRG9jLnht&#10;bFBLBQYAAAAABgAGAFkBAADIBQAAAAA=&#10;">
              <v:fill on="f" focussize="0,0"/>
              <v:stroke on="f" weight="0.5pt"/>
              <v:imagedata o:title=""/>
              <o:lock v:ext="edit" aspectratio="f"/>
              <v:textbox inset="0mm,0mm,0mm,0mm">
                <w:txbxContent>
                  <w:p>
                    <w:pPr>
                      <w:pStyle w:val="9"/>
                      <w:ind w:firstLine="56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69</w:t>
                    </w:r>
                    <w:r>
                      <w:rPr>
                        <w:rFonts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rFonts w:ascii="仿宋_GB2312" w:hAnsi="仿宋_GB2312" w:cs="仿宋_GB2312"/>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ind w:firstLine="360"/>
      <w:jc w:val="center"/>
      <w:rPr>
        <w:rFonts w:ascii="仿宋_GB2312" w:hAnsi="仿宋_GB2312" w:cs="仿宋_GB2312"/>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MDliYzI1MWU1ZjdmZjdiMjNjYWZiOWQ3ZTQwMDMifQ=="/>
  </w:docVars>
  <w:rsids>
    <w:rsidRoot w:val="00291521"/>
    <w:rsid w:val="00022CE1"/>
    <w:rsid w:val="00033990"/>
    <w:rsid w:val="00037C06"/>
    <w:rsid w:val="000700BA"/>
    <w:rsid w:val="00082860"/>
    <w:rsid w:val="00084B14"/>
    <w:rsid w:val="00093D4B"/>
    <w:rsid w:val="000B2D64"/>
    <w:rsid w:val="000B7040"/>
    <w:rsid w:val="000C2EE2"/>
    <w:rsid w:val="000C5D6B"/>
    <w:rsid w:val="000E31C1"/>
    <w:rsid w:val="00104486"/>
    <w:rsid w:val="0012511A"/>
    <w:rsid w:val="001315F1"/>
    <w:rsid w:val="00150FAE"/>
    <w:rsid w:val="00153477"/>
    <w:rsid w:val="00154EC9"/>
    <w:rsid w:val="00164939"/>
    <w:rsid w:val="001650A4"/>
    <w:rsid w:val="001C2C99"/>
    <w:rsid w:val="001D1E7E"/>
    <w:rsid w:val="001D47D2"/>
    <w:rsid w:val="001E5DC7"/>
    <w:rsid w:val="0023754D"/>
    <w:rsid w:val="00243CDC"/>
    <w:rsid w:val="00247A2B"/>
    <w:rsid w:val="00257C5A"/>
    <w:rsid w:val="00271553"/>
    <w:rsid w:val="00273061"/>
    <w:rsid w:val="0028106D"/>
    <w:rsid w:val="00291521"/>
    <w:rsid w:val="00297D40"/>
    <w:rsid w:val="002E2587"/>
    <w:rsid w:val="002F144F"/>
    <w:rsid w:val="002F5165"/>
    <w:rsid w:val="002F603D"/>
    <w:rsid w:val="00313288"/>
    <w:rsid w:val="00320AC8"/>
    <w:rsid w:val="003242C2"/>
    <w:rsid w:val="00340044"/>
    <w:rsid w:val="00343A87"/>
    <w:rsid w:val="00386DDC"/>
    <w:rsid w:val="003D48CC"/>
    <w:rsid w:val="003D67D4"/>
    <w:rsid w:val="003D7CBA"/>
    <w:rsid w:val="003E73F3"/>
    <w:rsid w:val="003F06CA"/>
    <w:rsid w:val="003F767F"/>
    <w:rsid w:val="00400FE2"/>
    <w:rsid w:val="00416152"/>
    <w:rsid w:val="0042147C"/>
    <w:rsid w:val="0042551F"/>
    <w:rsid w:val="0042722E"/>
    <w:rsid w:val="00441735"/>
    <w:rsid w:val="00455E47"/>
    <w:rsid w:val="0047386B"/>
    <w:rsid w:val="00476995"/>
    <w:rsid w:val="004847A8"/>
    <w:rsid w:val="00497850"/>
    <w:rsid w:val="004A34A7"/>
    <w:rsid w:val="004A3E56"/>
    <w:rsid w:val="004C5EF2"/>
    <w:rsid w:val="00515684"/>
    <w:rsid w:val="00521480"/>
    <w:rsid w:val="005214E3"/>
    <w:rsid w:val="005273BC"/>
    <w:rsid w:val="00530952"/>
    <w:rsid w:val="005364CC"/>
    <w:rsid w:val="00561435"/>
    <w:rsid w:val="00596C81"/>
    <w:rsid w:val="005A1982"/>
    <w:rsid w:val="005C6440"/>
    <w:rsid w:val="005D3808"/>
    <w:rsid w:val="005E5449"/>
    <w:rsid w:val="005F39D9"/>
    <w:rsid w:val="0060318C"/>
    <w:rsid w:val="006072E6"/>
    <w:rsid w:val="00623162"/>
    <w:rsid w:val="00626C70"/>
    <w:rsid w:val="0063042D"/>
    <w:rsid w:val="006356D9"/>
    <w:rsid w:val="006363B2"/>
    <w:rsid w:val="00674EEA"/>
    <w:rsid w:val="006A0EA7"/>
    <w:rsid w:val="006A12D6"/>
    <w:rsid w:val="006A3A6F"/>
    <w:rsid w:val="006A6093"/>
    <w:rsid w:val="006B4908"/>
    <w:rsid w:val="006F0C34"/>
    <w:rsid w:val="0070008B"/>
    <w:rsid w:val="0071768F"/>
    <w:rsid w:val="00723E3A"/>
    <w:rsid w:val="007271CD"/>
    <w:rsid w:val="007428AB"/>
    <w:rsid w:val="0075493D"/>
    <w:rsid w:val="00766662"/>
    <w:rsid w:val="0077258B"/>
    <w:rsid w:val="00772C32"/>
    <w:rsid w:val="0077618A"/>
    <w:rsid w:val="007914D7"/>
    <w:rsid w:val="00792400"/>
    <w:rsid w:val="007A7106"/>
    <w:rsid w:val="007B191A"/>
    <w:rsid w:val="007B7768"/>
    <w:rsid w:val="007E3AC4"/>
    <w:rsid w:val="00801DE3"/>
    <w:rsid w:val="008271C2"/>
    <w:rsid w:val="008478ED"/>
    <w:rsid w:val="00857D3C"/>
    <w:rsid w:val="0087474E"/>
    <w:rsid w:val="00875C2F"/>
    <w:rsid w:val="00881E6E"/>
    <w:rsid w:val="00882FE2"/>
    <w:rsid w:val="008C2D03"/>
    <w:rsid w:val="008D20E0"/>
    <w:rsid w:val="008F16F7"/>
    <w:rsid w:val="00906C47"/>
    <w:rsid w:val="00913D85"/>
    <w:rsid w:val="00937014"/>
    <w:rsid w:val="00937042"/>
    <w:rsid w:val="00963CC9"/>
    <w:rsid w:val="009835D4"/>
    <w:rsid w:val="009A34C9"/>
    <w:rsid w:val="00A13215"/>
    <w:rsid w:val="00A1535C"/>
    <w:rsid w:val="00A274F8"/>
    <w:rsid w:val="00A3368E"/>
    <w:rsid w:val="00A75930"/>
    <w:rsid w:val="00A9648E"/>
    <w:rsid w:val="00AB3D70"/>
    <w:rsid w:val="00AB4E80"/>
    <w:rsid w:val="00AC79C9"/>
    <w:rsid w:val="00AD35D6"/>
    <w:rsid w:val="00B27BA5"/>
    <w:rsid w:val="00B846A3"/>
    <w:rsid w:val="00B85B23"/>
    <w:rsid w:val="00B932B6"/>
    <w:rsid w:val="00B97A4F"/>
    <w:rsid w:val="00BA552C"/>
    <w:rsid w:val="00BD2150"/>
    <w:rsid w:val="00BE2803"/>
    <w:rsid w:val="00C13C0F"/>
    <w:rsid w:val="00C376AA"/>
    <w:rsid w:val="00C40F0F"/>
    <w:rsid w:val="00C568D1"/>
    <w:rsid w:val="00C6355A"/>
    <w:rsid w:val="00C65CE3"/>
    <w:rsid w:val="00C8571A"/>
    <w:rsid w:val="00C9114D"/>
    <w:rsid w:val="00CB591D"/>
    <w:rsid w:val="00CB7646"/>
    <w:rsid w:val="00CC2639"/>
    <w:rsid w:val="00CC3B36"/>
    <w:rsid w:val="00CF4640"/>
    <w:rsid w:val="00D11A36"/>
    <w:rsid w:val="00D52E88"/>
    <w:rsid w:val="00D57E29"/>
    <w:rsid w:val="00D71C28"/>
    <w:rsid w:val="00D75060"/>
    <w:rsid w:val="00D8238E"/>
    <w:rsid w:val="00DA79FA"/>
    <w:rsid w:val="00DD3637"/>
    <w:rsid w:val="00DF51CB"/>
    <w:rsid w:val="00DF64DF"/>
    <w:rsid w:val="00E10D7B"/>
    <w:rsid w:val="00E11A87"/>
    <w:rsid w:val="00E709F8"/>
    <w:rsid w:val="00E90CFE"/>
    <w:rsid w:val="00E9613B"/>
    <w:rsid w:val="00EA1140"/>
    <w:rsid w:val="00EA1CFB"/>
    <w:rsid w:val="00EA308E"/>
    <w:rsid w:val="00EC07F1"/>
    <w:rsid w:val="00EE2211"/>
    <w:rsid w:val="00F03311"/>
    <w:rsid w:val="00F10E0C"/>
    <w:rsid w:val="00F27B2E"/>
    <w:rsid w:val="00F34DE2"/>
    <w:rsid w:val="00F63321"/>
    <w:rsid w:val="00F63EE2"/>
    <w:rsid w:val="00F86C30"/>
    <w:rsid w:val="00FB7552"/>
    <w:rsid w:val="00FC58D9"/>
    <w:rsid w:val="00FD69C4"/>
    <w:rsid w:val="00FF2959"/>
    <w:rsid w:val="01061C72"/>
    <w:rsid w:val="011F71FD"/>
    <w:rsid w:val="0129178A"/>
    <w:rsid w:val="01415773"/>
    <w:rsid w:val="01423649"/>
    <w:rsid w:val="01551DB3"/>
    <w:rsid w:val="01680A6B"/>
    <w:rsid w:val="01705FF0"/>
    <w:rsid w:val="01737750"/>
    <w:rsid w:val="018D5784"/>
    <w:rsid w:val="019008F0"/>
    <w:rsid w:val="01A942F5"/>
    <w:rsid w:val="01AF2094"/>
    <w:rsid w:val="01BA1EE9"/>
    <w:rsid w:val="01BE538A"/>
    <w:rsid w:val="01C01A43"/>
    <w:rsid w:val="01C56D2D"/>
    <w:rsid w:val="01C95BC2"/>
    <w:rsid w:val="01D11150"/>
    <w:rsid w:val="01D65F9C"/>
    <w:rsid w:val="01ED3042"/>
    <w:rsid w:val="01FD4BE8"/>
    <w:rsid w:val="020057E6"/>
    <w:rsid w:val="02062D6B"/>
    <w:rsid w:val="02083088"/>
    <w:rsid w:val="020C6AF1"/>
    <w:rsid w:val="021D7EBA"/>
    <w:rsid w:val="02225755"/>
    <w:rsid w:val="022A279C"/>
    <w:rsid w:val="022C03C2"/>
    <w:rsid w:val="02340B18"/>
    <w:rsid w:val="023E7FAF"/>
    <w:rsid w:val="02402246"/>
    <w:rsid w:val="02581F7D"/>
    <w:rsid w:val="02664EEC"/>
    <w:rsid w:val="02742B88"/>
    <w:rsid w:val="027A6321"/>
    <w:rsid w:val="027E0DB4"/>
    <w:rsid w:val="02862D1F"/>
    <w:rsid w:val="028B71B2"/>
    <w:rsid w:val="02906F24"/>
    <w:rsid w:val="02A06753"/>
    <w:rsid w:val="02AA0D34"/>
    <w:rsid w:val="02AA5664"/>
    <w:rsid w:val="02B36F59"/>
    <w:rsid w:val="02B44CB2"/>
    <w:rsid w:val="02B61A85"/>
    <w:rsid w:val="02BE3CF0"/>
    <w:rsid w:val="02C2043F"/>
    <w:rsid w:val="02C70EF9"/>
    <w:rsid w:val="02D011EE"/>
    <w:rsid w:val="02D03DA6"/>
    <w:rsid w:val="02D23BD2"/>
    <w:rsid w:val="02DB3309"/>
    <w:rsid w:val="02E06B3B"/>
    <w:rsid w:val="02E14AB4"/>
    <w:rsid w:val="02E93E08"/>
    <w:rsid w:val="02EB6129"/>
    <w:rsid w:val="03104AFE"/>
    <w:rsid w:val="03172F3C"/>
    <w:rsid w:val="032508B5"/>
    <w:rsid w:val="035259DF"/>
    <w:rsid w:val="035A51B5"/>
    <w:rsid w:val="035B1340"/>
    <w:rsid w:val="035F7EC8"/>
    <w:rsid w:val="03652971"/>
    <w:rsid w:val="03661A37"/>
    <w:rsid w:val="036F3EE8"/>
    <w:rsid w:val="03762E7D"/>
    <w:rsid w:val="03776FF0"/>
    <w:rsid w:val="03787207"/>
    <w:rsid w:val="037A3309"/>
    <w:rsid w:val="037B2EAC"/>
    <w:rsid w:val="0384590A"/>
    <w:rsid w:val="0389435F"/>
    <w:rsid w:val="03924CFE"/>
    <w:rsid w:val="039D619E"/>
    <w:rsid w:val="03A410BE"/>
    <w:rsid w:val="03A80F85"/>
    <w:rsid w:val="03BC2E5D"/>
    <w:rsid w:val="03C15B1E"/>
    <w:rsid w:val="03CE7BDE"/>
    <w:rsid w:val="03D717B0"/>
    <w:rsid w:val="03D970F6"/>
    <w:rsid w:val="03E14968"/>
    <w:rsid w:val="03EC5EA1"/>
    <w:rsid w:val="03ED1FEA"/>
    <w:rsid w:val="03F262DC"/>
    <w:rsid w:val="03F97441"/>
    <w:rsid w:val="04027FC4"/>
    <w:rsid w:val="040752ED"/>
    <w:rsid w:val="04163B1C"/>
    <w:rsid w:val="041D7B66"/>
    <w:rsid w:val="042418F7"/>
    <w:rsid w:val="04287DA8"/>
    <w:rsid w:val="04293929"/>
    <w:rsid w:val="04322544"/>
    <w:rsid w:val="04341DC3"/>
    <w:rsid w:val="043603E9"/>
    <w:rsid w:val="04393991"/>
    <w:rsid w:val="043C6FF0"/>
    <w:rsid w:val="04406602"/>
    <w:rsid w:val="044D5253"/>
    <w:rsid w:val="04523402"/>
    <w:rsid w:val="04573538"/>
    <w:rsid w:val="045963C2"/>
    <w:rsid w:val="046367E0"/>
    <w:rsid w:val="046C4705"/>
    <w:rsid w:val="046E275A"/>
    <w:rsid w:val="04811189"/>
    <w:rsid w:val="048D06AE"/>
    <w:rsid w:val="048E2F10"/>
    <w:rsid w:val="04933179"/>
    <w:rsid w:val="04991F68"/>
    <w:rsid w:val="049A23FA"/>
    <w:rsid w:val="049A6E9F"/>
    <w:rsid w:val="049B7E7E"/>
    <w:rsid w:val="04A17594"/>
    <w:rsid w:val="04A96F19"/>
    <w:rsid w:val="04AC5ABB"/>
    <w:rsid w:val="04AF4E89"/>
    <w:rsid w:val="04C240FE"/>
    <w:rsid w:val="04CB0734"/>
    <w:rsid w:val="04D66615"/>
    <w:rsid w:val="04D67D1C"/>
    <w:rsid w:val="04F97536"/>
    <w:rsid w:val="04FA06EA"/>
    <w:rsid w:val="051142B1"/>
    <w:rsid w:val="05135942"/>
    <w:rsid w:val="051C4658"/>
    <w:rsid w:val="052A4341"/>
    <w:rsid w:val="05303807"/>
    <w:rsid w:val="053423F3"/>
    <w:rsid w:val="054B3C0A"/>
    <w:rsid w:val="054F6FE8"/>
    <w:rsid w:val="05535C85"/>
    <w:rsid w:val="055A42C0"/>
    <w:rsid w:val="05641131"/>
    <w:rsid w:val="056953CD"/>
    <w:rsid w:val="057219F8"/>
    <w:rsid w:val="05745CF0"/>
    <w:rsid w:val="05765BCB"/>
    <w:rsid w:val="057732C4"/>
    <w:rsid w:val="057D3853"/>
    <w:rsid w:val="058A1C3A"/>
    <w:rsid w:val="058B25BE"/>
    <w:rsid w:val="05B128A3"/>
    <w:rsid w:val="05B920AC"/>
    <w:rsid w:val="05C707BE"/>
    <w:rsid w:val="05CD39F5"/>
    <w:rsid w:val="05CF1083"/>
    <w:rsid w:val="05CF6FF0"/>
    <w:rsid w:val="05D16212"/>
    <w:rsid w:val="05DF6DB9"/>
    <w:rsid w:val="05EE4AE0"/>
    <w:rsid w:val="05F67BB4"/>
    <w:rsid w:val="05F74C25"/>
    <w:rsid w:val="05FA3900"/>
    <w:rsid w:val="06233E86"/>
    <w:rsid w:val="062B3B66"/>
    <w:rsid w:val="062E4F72"/>
    <w:rsid w:val="06331E9B"/>
    <w:rsid w:val="0633586A"/>
    <w:rsid w:val="06345BEE"/>
    <w:rsid w:val="063F282F"/>
    <w:rsid w:val="0646359F"/>
    <w:rsid w:val="06484A5B"/>
    <w:rsid w:val="064A445C"/>
    <w:rsid w:val="064C01C5"/>
    <w:rsid w:val="0662796E"/>
    <w:rsid w:val="066A4C2F"/>
    <w:rsid w:val="066D61DB"/>
    <w:rsid w:val="067139F4"/>
    <w:rsid w:val="06770B5F"/>
    <w:rsid w:val="068B686D"/>
    <w:rsid w:val="068E3768"/>
    <w:rsid w:val="069A2713"/>
    <w:rsid w:val="069D00DD"/>
    <w:rsid w:val="069D64CA"/>
    <w:rsid w:val="069E1A33"/>
    <w:rsid w:val="06A94268"/>
    <w:rsid w:val="06B04F5A"/>
    <w:rsid w:val="06CB5713"/>
    <w:rsid w:val="06CE1EF9"/>
    <w:rsid w:val="06CE53DC"/>
    <w:rsid w:val="06CF2A01"/>
    <w:rsid w:val="06DA6154"/>
    <w:rsid w:val="06DB3D8D"/>
    <w:rsid w:val="06E56EC2"/>
    <w:rsid w:val="06E7280D"/>
    <w:rsid w:val="06E75C52"/>
    <w:rsid w:val="06E94A60"/>
    <w:rsid w:val="06EA27C4"/>
    <w:rsid w:val="06EF0A89"/>
    <w:rsid w:val="07000F3C"/>
    <w:rsid w:val="0704282E"/>
    <w:rsid w:val="07116739"/>
    <w:rsid w:val="0711769D"/>
    <w:rsid w:val="0714057C"/>
    <w:rsid w:val="071E7F0D"/>
    <w:rsid w:val="072D0697"/>
    <w:rsid w:val="074C5456"/>
    <w:rsid w:val="07520E0F"/>
    <w:rsid w:val="07523EBF"/>
    <w:rsid w:val="07594570"/>
    <w:rsid w:val="07693A70"/>
    <w:rsid w:val="076E2B75"/>
    <w:rsid w:val="07710723"/>
    <w:rsid w:val="077805E1"/>
    <w:rsid w:val="077E3AB9"/>
    <w:rsid w:val="07814D7B"/>
    <w:rsid w:val="07937A38"/>
    <w:rsid w:val="07991680"/>
    <w:rsid w:val="07B04BE0"/>
    <w:rsid w:val="07BE0382"/>
    <w:rsid w:val="07C10F88"/>
    <w:rsid w:val="07C45144"/>
    <w:rsid w:val="07CA2079"/>
    <w:rsid w:val="07CA2444"/>
    <w:rsid w:val="07CE2989"/>
    <w:rsid w:val="07CE5291"/>
    <w:rsid w:val="07D345E5"/>
    <w:rsid w:val="07DC25B7"/>
    <w:rsid w:val="07E2612F"/>
    <w:rsid w:val="07E74AEF"/>
    <w:rsid w:val="07E77C55"/>
    <w:rsid w:val="07EF1DD9"/>
    <w:rsid w:val="07F23012"/>
    <w:rsid w:val="080B4229"/>
    <w:rsid w:val="08104814"/>
    <w:rsid w:val="08106C39"/>
    <w:rsid w:val="08184BC5"/>
    <w:rsid w:val="08263A52"/>
    <w:rsid w:val="082E39EA"/>
    <w:rsid w:val="082E617D"/>
    <w:rsid w:val="083668B9"/>
    <w:rsid w:val="084041AB"/>
    <w:rsid w:val="0846424A"/>
    <w:rsid w:val="08494FDE"/>
    <w:rsid w:val="084C347C"/>
    <w:rsid w:val="08593818"/>
    <w:rsid w:val="085B711E"/>
    <w:rsid w:val="086E32E3"/>
    <w:rsid w:val="086E6CDB"/>
    <w:rsid w:val="08755F57"/>
    <w:rsid w:val="087E61EC"/>
    <w:rsid w:val="08806419"/>
    <w:rsid w:val="0882572C"/>
    <w:rsid w:val="088E6B5D"/>
    <w:rsid w:val="088F4833"/>
    <w:rsid w:val="08956115"/>
    <w:rsid w:val="08A53B13"/>
    <w:rsid w:val="08B07FCF"/>
    <w:rsid w:val="08B11122"/>
    <w:rsid w:val="08C64593"/>
    <w:rsid w:val="08D13CB2"/>
    <w:rsid w:val="08D6467E"/>
    <w:rsid w:val="08F214FA"/>
    <w:rsid w:val="08F33C61"/>
    <w:rsid w:val="08F52B50"/>
    <w:rsid w:val="0908443D"/>
    <w:rsid w:val="090D1B40"/>
    <w:rsid w:val="091615AC"/>
    <w:rsid w:val="09162D95"/>
    <w:rsid w:val="091B0A5A"/>
    <w:rsid w:val="092D5FFB"/>
    <w:rsid w:val="092E0DD2"/>
    <w:rsid w:val="09384643"/>
    <w:rsid w:val="09461282"/>
    <w:rsid w:val="09606066"/>
    <w:rsid w:val="0968212E"/>
    <w:rsid w:val="0971336C"/>
    <w:rsid w:val="09727825"/>
    <w:rsid w:val="097B17DC"/>
    <w:rsid w:val="09801A96"/>
    <w:rsid w:val="0987198E"/>
    <w:rsid w:val="09926076"/>
    <w:rsid w:val="099608F2"/>
    <w:rsid w:val="099858D8"/>
    <w:rsid w:val="099B766E"/>
    <w:rsid w:val="09A45D77"/>
    <w:rsid w:val="09B6397B"/>
    <w:rsid w:val="09D62455"/>
    <w:rsid w:val="09DC2805"/>
    <w:rsid w:val="09DF1491"/>
    <w:rsid w:val="09E43065"/>
    <w:rsid w:val="09E7721C"/>
    <w:rsid w:val="09FC69A5"/>
    <w:rsid w:val="0A02777C"/>
    <w:rsid w:val="0A045068"/>
    <w:rsid w:val="0A08534A"/>
    <w:rsid w:val="0A085F8D"/>
    <w:rsid w:val="0A101D2C"/>
    <w:rsid w:val="0A177A63"/>
    <w:rsid w:val="0A195A0A"/>
    <w:rsid w:val="0A2B024D"/>
    <w:rsid w:val="0A2C6D10"/>
    <w:rsid w:val="0A330E3D"/>
    <w:rsid w:val="0A352C14"/>
    <w:rsid w:val="0A392507"/>
    <w:rsid w:val="0A430F67"/>
    <w:rsid w:val="0A4728E7"/>
    <w:rsid w:val="0A486605"/>
    <w:rsid w:val="0A4A3021"/>
    <w:rsid w:val="0A5C2CA5"/>
    <w:rsid w:val="0A632080"/>
    <w:rsid w:val="0A657E5A"/>
    <w:rsid w:val="0A7A0618"/>
    <w:rsid w:val="0A8446F6"/>
    <w:rsid w:val="0A991F91"/>
    <w:rsid w:val="0A9E0E43"/>
    <w:rsid w:val="0AA7748B"/>
    <w:rsid w:val="0ABA4E63"/>
    <w:rsid w:val="0AC845AC"/>
    <w:rsid w:val="0AC94712"/>
    <w:rsid w:val="0AE80864"/>
    <w:rsid w:val="0AF00084"/>
    <w:rsid w:val="0AF72128"/>
    <w:rsid w:val="0AF73A3B"/>
    <w:rsid w:val="0AF7653A"/>
    <w:rsid w:val="0B1C7698"/>
    <w:rsid w:val="0B2F169D"/>
    <w:rsid w:val="0B41005A"/>
    <w:rsid w:val="0B4B54BF"/>
    <w:rsid w:val="0B4F05D3"/>
    <w:rsid w:val="0B534180"/>
    <w:rsid w:val="0B542449"/>
    <w:rsid w:val="0B552214"/>
    <w:rsid w:val="0B666B29"/>
    <w:rsid w:val="0B804170"/>
    <w:rsid w:val="0B831551"/>
    <w:rsid w:val="0B8475DA"/>
    <w:rsid w:val="0B8A55F8"/>
    <w:rsid w:val="0B8E05C1"/>
    <w:rsid w:val="0B9701DF"/>
    <w:rsid w:val="0B9C0344"/>
    <w:rsid w:val="0BA342A7"/>
    <w:rsid w:val="0BAA59AB"/>
    <w:rsid w:val="0BB15075"/>
    <w:rsid w:val="0BB426E5"/>
    <w:rsid w:val="0BBE423A"/>
    <w:rsid w:val="0BC676DF"/>
    <w:rsid w:val="0BD6188A"/>
    <w:rsid w:val="0BD77FB2"/>
    <w:rsid w:val="0BDD770E"/>
    <w:rsid w:val="0BDF0102"/>
    <w:rsid w:val="0BE67E93"/>
    <w:rsid w:val="0BF02B6A"/>
    <w:rsid w:val="0C05584A"/>
    <w:rsid w:val="0C085D9C"/>
    <w:rsid w:val="0C0B2F26"/>
    <w:rsid w:val="0C0C7A82"/>
    <w:rsid w:val="0C113DF5"/>
    <w:rsid w:val="0C15631C"/>
    <w:rsid w:val="0C174E13"/>
    <w:rsid w:val="0C2107BC"/>
    <w:rsid w:val="0C2C30AE"/>
    <w:rsid w:val="0C364CCB"/>
    <w:rsid w:val="0C3F464E"/>
    <w:rsid w:val="0C4146DC"/>
    <w:rsid w:val="0C422DEA"/>
    <w:rsid w:val="0C4C4A9A"/>
    <w:rsid w:val="0C550F02"/>
    <w:rsid w:val="0C58394F"/>
    <w:rsid w:val="0C607B18"/>
    <w:rsid w:val="0C62353D"/>
    <w:rsid w:val="0C65671B"/>
    <w:rsid w:val="0C71004C"/>
    <w:rsid w:val="0C795EDA"/>
    <w:rsid w:val="0C81068C"/>
    <w:rsid w:val="0C837B5C"/>
    <w:rsid w:val="0C9411E9"/>
    <w:rsid w:val="0C960B00"/>
    <w:rsid w:val="0CA20D04"/>
    <w:rsid w:val="0CA403D8"/>
    <w:rsid w:val="0CA61551"/>
    <w:rsid w:val="0CAF4F47"/>
    <w:rsid w:val="0CB04693"/>
    <w:rsid w:val="0CB943B4"/>
    <w:rsid w:val="0CBC2414"/>
    <w:rsid w:val="0CCA27AD"/>
    <w:rsid w:val="0CD16E7C"/>
    <w:rsid w:val="0CDC148D"/>
    <w:rsid w:val="0CE22885"/>
    <w:rsid w:val="0CF037BD"/>
    <w:rsid w:val="0CFB2247"/>
    <w:rsid w:val="0D257B1C"/>
    <w:rsid w:val="0D274681"/>
    <w:rsid w:val="0D394F7B"/>
    <w:rsid w:val="0D5509F7"/>
    <w:rsid w:val="0D7062FE"/>
    <w:rsid w:val="0D7073A8"/>
    <w:rsid w:val="0D726812"/>
    <w:rsid w:val="0D845F59"/>
    <w:rsid w:val="0D9549FA"/>
    <w:rsid w:val="0D9617B4"/>
    <w:rsid w:val="0DB015FE"/>
    <w:rsid w:val="0DB419BC"/>
    <w:rsid w:val="0DBD4904"/>
    <w:rsid w:val="0DCE5374"/>
    <w:rsid w:val="0DE67A42"/>
    <w:rsid w:val="0DF21CD5"/>
    <w:rsid w:val="0DFE1E0E"/>
    <w:rsid w:val="0E040A14"/>
    <w:rsid w:val="0E0A16D4"/>
    <w:rsid w:val="0E0E3535"/>
    <w:rsid w:val="0E136CEE"/>
    <w:rsid w:val="0E2C7101"/>
    <w:rsid w:val="0E306B13"/>
    <w:rsid w:val="0E345764"/>
    <w:rsid w:val="0E346B87"/>
    <w:rsid w:val="0E4167AE"/>
    <w:rsid w:val="0E4F1CE7"/>
    <w:rsid w:val="0E50685D"/>
    <w:rsid w:val="0E5918F1"/>
    <w:rsid w:val="0E794086"/>
    <w:rsid w:val="0E874CF6"/>
    <w:rsid w:val="0E970961"/>
    <w:rsid w:val="0E994F5B"/>
    <w:rsid w:val="0EA14222"/>
    <w:rsid w:val="0EA979B4"/>
    <w:rsid w:val="0EAF0A49"/>
    <w:rsid w:val="0EBF6D08"/>
    <w:rsid w:val="0ECC2D24"/>
    <w:rsid w:val="0ECD21D2"/>
    <w:rsid w:val="0ED223E7"/>
    <w:rsid w:val="0ED4505E"/>
    <w:rsid w:val="0ED75F77"/>
    <w:rsid w:val="0EDD7185"/>
    <w:rsid w:val="0F05662E"/>
    <w:rsid w:val="0F0D3B04"/>
    <w:rsid w:val="0F11604A"/>
    <w:rsid w:val="0F211B2D"/>
    <w:rsid w:val="0F2D0E07"/>
    <w:rsid w:val="0F303484"/>
    <w:rsid w:val="0F444263"/>
    <w:rsid w:val="0F4C002E"/>
    <w:rsid w:val="0F4C314E"/>
    <w:rsid w:val="0F532718"/>
    <w:rsid w:val="0F5400C1"/>
    <w:rsid w:val="0F6F72A1"/>
    <w:rsid w:val="0F793AE0"/>
    <w:rsid w:val="0F831EA9"/>
    <w:rsid w:val="0F863B4D"/>
    <w:rsid w:val="0F8E6178"/>
    <w:rsid w:val="0F900A84"/>
    <w:rsid w:val="0F994A06"/>
    <w:rsid w:val="0F9D4DC0"/>
    <w:rsid w:val="0FA02B04"/>
    <w:rsid w:val="0FAE23B3"/>
    <w:rsid w:val="0FC15CE8"/>
    <w:rsid w:val="0FC83FCA"/>
    <w:rsid w:val="0FC841B7"/>
    <w:rsid w:val="0FC8425A"/>
    <w:rsid w:val="0FC84EC1"/>
    <w:rsid w:val="0FD14527"/>
    <w:rsid w:val="0FD33AC0"/>
    <w:rsid w:val="0FD82E46"/>
    <w:rsid w:val="0FE25ED4"/>
    <w:rsid w:val="0FF6334A"/>
    <w:rsid w:val="0FF721F5"/>
    <w:rsid w:val="0FF7412A"/>
    <w:rsid w:val="1002022D"/>
    <w:rsid w:val="100536E4"/>
    <w:rsid w:val="10081602"/>
    <w:rsid w:val="100A4766"/>
    <w:rsid w:val="103049C2"/>
    <w:rsid w:val="103325F6"/>
    <w:rsid w:val="1039121A"/>
    <w:rsid w:val="104826AB"/>
    <w:rsid w:val="104B6CD5"/>
    <w:rsid w:val="104E571A"/>
    <w:rsid w:val="10574F53"/>
    <w:rsid w:val="10586C65"/>
    <w:rsid w:val="105E2BCD"/>
    <w:rsid w:val="10643985"/>
    <w:rsid w:val="106675DD"/>
    <w:rsid w:val="1067219D"/>
    <w:rsid w:val="10672F10"/>
    <w:rsid w:val="107114E1"/>
    <w:rsid w:val="107139ED"/>
    <w:rsid w:val="1083266B"/>
    <w:rsid w:val="10876911"/>
    <w:rsid w:val="108A5939"/>
    <w:rsid w:val="108E5ECF"/>
    <w:rsid w:val="10941E76"/>
    <w:rsid w:val="10993937"/>
    <w:rsid w:val="109D40C3"/>
    <w:rsid w:val="10A27B72"/>
    <w:rsid w:val="10A60456"/>
    <w:rsid w:val="10C975EB"/>
    <w:rsid w:val="10CB315D"/>
    <w:rsid w:val="10D070A2"/>
    <w:rsid w:val="10E837E5"/>
    <w:rsid w:val="10EC1F5C"/>
    <w:rsid w:val="10F7438C"/>
    <w:rsid w:val="10FB1D61"/>
    <w:rsid w:val="10FE7B1A"/>
    <w:rsid w:val="1104745D"/>
    <w:rsid w:val="110719DF"/>
    <w:rsid w:val="11076F32"/>
    <w:rsid w:val="111631AE"/>
    <w:rsid w:val="112B7CFB"/>
    <w:rsid w:val="11344CBD"/>
    <w:rsid w:val="11373E07"/>
    <w:rsid w:val="113F5EE4"/>
    <w:rsid w:val="11406CBB"/>
    <w:rsid w:val="11455D2E"/>
    <w:rsid w:val="116C0352"/>
    <w:rsid w:val="11705E56"/>
    <w:rsid w:val="11772FF6"/>
    <w:rsid w:val="118458D5"/>
    <w:rsid w:val="11853BBB"/>
    <w:rsid w:val="11965197"/>
    <w:rsid w:val="11A248EC"/>
    <w:rsid w:val="11B00C88"/>
    <w:rsid w:val="11B67BFF"/>
    <w:rsid w:val="11C126D2"/>
    <w:rsid w:val="11C1490C"/>
    <w:rsid w:val="11C165E4"/>
    <w:rsid w:val="11D133EB"/>
    <w:rsid w:val="11D45B17"/>
    <w:rsid w:val="11E12957"/>
    <w:rsid w:val="11E13091"/>
    <w:rsid w:val="11E34F50"/>
    <w:rsid w:val="11E351A9"/>
    <w:rsid w:val="11E41896"/>
    <w:rsid w:val="11EB7E74"/>
    <w:rsid w:val="11F578A9"/>
    <w:rsid w:val="11F700AB"/>
    <w:rsid w:val="11FE6CF2"/>
    <w:rsid w:val="12013DE3"/>
    <w:rsid w:val="120643A7"/>
    <w:rsid w:val="1215448A"/>
    <w:rsid w:val="121B067C"/>
    <w:rsid w:val="121B5BCD"/>
    <w:rsid w:val="121B710A"/>
    <w:rsid w:val="1224031C"/>
    <w:rsid w:val="122F54EC"/>
    <w:rsid w:val="124413C4"/>
    <w:rsid w:val="125F1DD0"/>
    <w:rsid w:val="126A2A0D"/>
    <w:rsid w:val="127113E8"/>
    <w:rsid w:val="12774115"/>
    <w:rsid w:val="127F1A94"/>
    <w:rsid w:val="1285114C"/>
    <w:rsid w:val="12932849"/>
    <w:rsid w:val="1297191E"/>
    <w:rsid w:val="12994EAE"/>
    <w:rsid w:val="129B439A"/>
    <w:rsid w:val="12A9512A"/>
    <w:rsid w:val="12AD6324"/>
    <w:rsid w:val="12C87E96"/>
    <w:rsid w:val="12CC5C7E"/>
    <w:rsid w:val="12D517CF"/>
    <w:rsid w:val="12DC1D93"/>
    <w:rsid w:val="12DC4969"/>
    <w:rsid w:val="12E477BB"/>
    <w:rsid w:val="12EB198E"/>
    <w:rsid w:val="130A627F"/>
    <w:rsid w:val="1313177A"/>
    <w:rsid w:val="133447C8"/>
    <w:rsid w:val="133F012E"/>
    <w:rsid w:val="134F3117"/>
    <w:rsid w:val="135228AE"/>
    <w:rsid w:val="135332A4"/>
    <w:rsid w:val="13551058"/>
    <w:rsid w:val="13554C9C"/>
    <w:rsid w:val="136420E6"/>
    <w:rsid w:val="137A5113"/>
    <w:rsid w:val="13895A38"/>
    <w:rsid w:val="13903B26"/>
    <w:rsid w:val="13911AA3"/>
    <w:rsid w:val="13993E5F"/>
    <w:rsid w:val="139F5ACA"/>
    <w:rsid w:val="13A92CDE"/>
    <w:rsid w:val="13A96DAC"/>
    <w:rsid w:val="13B5280B"/>
    <w:rsid w:val="13C50449"/>
    <w:rsid w:val="13CB7C05"/>
    <w:rsid w:val="13CD2481"/>
    <w:rsid w:val="13CD5852"/>
    <w:rsid w:val="13D02247"/>
    <w:rsid w:val="13D05112"/>
    <w:rsid w:val="13D3313D"/>
    <w:rsid w:val="13DE1687"/>
    <w:rsid w:val="13E42024"/>
    <w:rsid w:val="13EC2E1C"/>
    <w:rsid w:val="140E0ACC"/>
    <w:rsid w:val="1415032C"/>
    <w:rsid w:val="141B3FCF"/>
    <w:rsid w:val="142475FF"/>
    <w:rsid w:val="142D7288"/>
    <w:rsid w:val="14333C72"/>
    <w:rsid w:val="143544A7"/>
    <w:rsid w:val="143B1248"/>
    <w:rsid w:val="14411652"/>
    <w:rsid w:val="14486A76"/>
    <w:rsid w:val="144A29CA"/>
    <w:rsid w:val="144C50CC"/>
    <w:rsid w:val="14517F31"/>
    <w:rsid w:val="145244BC"/>
    <w:rsid w:val="145C1FA9"/>
    <w:rsid w:val="145E441A"/>
    <w:rsid w:val="146822E0"/>
    <w:rsid w:val="146B3B3F"/>
    <w:rsid w:val="146E53C9"/>
    <w:rsid w:val="147B2193"/>
    <w:rsid w:val="148141E5"/>
    <w:rsid w:val="148B5C28"/>
    <w:rsid w:val="149111F4"/>
    <w:rsid w:val="14C10A70"/>
    <w:rsid w:val="14DD46D5"/>
    <w:rsid w:val="14E70038"/>
    <w:rsid w:val="14EF7D2F"/>
    <w:rsid w:val="15002460"/>
    <w:rsid w:val="15116E00"/>
    <w:rsid w:val="151D1853"/>
    <w:rsid w:val="152958D9"/>
    <w:rsid w:val="15396D01"/>
    <w:rsid w:val="153B09CD"/>
    <w:rsid w:val="15523FBB"/>
    <w:rsid w:val="155A0D57"/>
    <w:rsid w:val="15690FE4"/>
    <w:rsid w:val="156C1EAB"/>
    <w:rsid w:val="156E2D2B"/>
    <w:rsid w:val="158B0F2D"/>
    <w:rsid w:val="15931A4A"/>
    <w:rsid w:val="159A578D"/>
    <w:rsid w:val="15A035AE"/>
    <w:rsid w:val="15A04F0B"/>
    <w:rsid w:val="15A719F8"/>
    <w:rsid w:val="15AE2552"/>
    <w:rsid w:val="15C13EA4"/>
    <w:rsid w:val="15C24BAF"/>
    <w:rsid w:val="15C26B9C"/>
    <w:rsid w:val="15F15B8D"/>
    <w:rsid w:val="15F35920"/>
    <w:rsid w:val="160A7558"/>
    <w:rsid w:val="160D5342"/>
    <w:rsid w:val="161A32F5"/>
    <w:rsid w:val="161C0A98"/>
    <w:rsid w:val="16234A71"/>
    <w:rsid w:val="16235C24"/>
    <w:rsid w:val="162774D8"/>
    <w:rsid w:val="162A1977"/>
    <w:rsid w:val="162C6757"/>
    <w:rsid w:val="162D2F1E"/>
    <w:rsid w:val="16327073"/>
    <w:rsid w:val="16373DBD"/>
    <w:rsid w:val="16385B5D"/>
    <w:rsid w:val="163933A0"/>
    <w:rsid w:val="163C4C01"/>
    <w:rsid w:val="164648D6"/>
    <w:rsid w:val="16550D80"/>
    <w:rsid w:val="16651FE9"/>
    <w:rsid w:val="166B273F"/>
    <w:rsid w:val="167C7D74"/>
    <w:rsid w:val="168F1E3F"/>
    <w:rsid w:val="169723E7"/>
    <w:rsid w:val="16B06858"/>
    <w:rsid w:val="16B5283D"/>
    <w:rsid w:val="16B610F4"/>
    <w:rsid w:val="16B61486"/>
    <w:rsid w:val="16BB601E"/>
    <w:rsid w:val="16C177ED"/>
    <w:rsid w:val="16C3740D"/>
    <w:rsid w:val="16C467FA"/>
    <w:rsid w:val="16E9490E"/>
    <w:rsid w:val="16F814F2"/>
    <w:rsid w:val="16FB3B41"/>
    <w:rsid w:val="17093673"/>
    <w:rsid w:val="17095AAC"/>
    <w:rsid w:val="17107DD0"/>
    <w:rsid w:val="1715378E"/>
    <w:rsid w:val="1716089D"/>
    <w:rsid w:val="17196AB8"/>
    <w:rsid w:val="17245A96"/>
    <w:rsid w:val="1731160B"/>
    <w:rsid w:val="17363916"/>
    <w:rsid w:val="174426A9"/>
    <w:rsid w:val="1756229C"/>
    <w:rsid w:val="17620081"/>
    <w:rsid w:val="176C2380"/>
    <w:rsid w:val="176D1025"/>
    <w:rsid w:val="17704832"/>
    <w:rsid w:val="177116C1"/>
    <w:rsid w:val="177D1F7B"/>
    <w:rsid w:val="178156D4"/>
    <w:rsid w:val="17871A43"/>
    <w:rsid w:val="1791069F"/>
    <w:rsid w:val="1795633A"/>
    <w:rsid w:val="179D3458"/>
    <w:rsid w:val="179F2BE9"/>
    <w:rsid w:val="17A60B99"/>
    <w:rsid w:val="17AF29C9"/>
    <w:rsid w:val="17B42D19"/>
    <w:rsid w:val="17BC21B9"/>
    <w:rsid w:val="17C2431B"/>
    <w:rsid w:val="17E0471E"/>
    <w:rsid w:val="17E34731"/>
    <w:rsid w:val="17E44761"/>
    <w:rsid w:val="17E62DC8"/>
    <w:rsid w:val="17E631C5"/>
    <w:rsid w:val="17EA7352"/>
    <w:rsid w:val="17F0577B"/>
    <w:rsid w:val="17F933D7"/>
    <w:rsid w:val="17FA3E88"/>
    <w:rsid w:val="1802180F"/>
    <w:rsid w:val="18043130"/>
    <w:rsid w:val="180F70CF"/>
    <w:rsid w:val="18112C58"/>
    <w:rsid w:val="18117D73"/>
    <w:rsid w:val="18197D9D"/>
    <w:rsid w:val="181A3A76"/>
    <w:rsid w:val="181C3171"/>
    <w:rsid w:val="18247C82"/>
    <w:rsid w:val="1834490C"/>
    <w:rsid w:val="183B174A"/>
    <w:rsid w:val="184128E0"/>
    <w:rsid w:val="1847677E"/>
    <w:rsid w:val="18481CD5"/>
    <w:rsid w:val="18502098"/>
    <w:rsid w:val="18557B41"/>
    <w:rsid w:val="186001AE"/>
    <w:rsid w:val="18635C71"/>
    <w:rsid w:val="18674800"/>
    <w:rsid w:val="186D4C1D"/>
    <w:rsid w:val="187A41D4"/>
    <w:rsid w:val="1880282B"/>
    <w:rsid w:val="188C5490"/>
    <w:rsid w:val="1897453E"/>
    <w:rsid w:val="1897790F"/>
    <w:rsid w:val="18986A93"/>
    <w:rsid w:val="189A211E"/>
    <w:rsid w:val="18AD66FF"/>
    <w:rsid w:val="18B83664"/>
    <w:rsid w:val="18BF326A"/>
    <w:rsid w:val="18C00488"/>
    <w:rsid w:val="18C75B07"/>
    <w:rsid w:val="18CA59D6"/>
    <w:rsid w:val="18D20B8E"/>
    <w:rsid w:val="18E547B4"/>
    <w:rsid w:val="18F56D68"/>
    <w:rsid w:val="19081152"/>
    <w:rsid w:val="190A332E"/>
    <w:rsid w:val="190B19EF"/>
    <w:rsid w:val="19207A83"/>
    <w:rsid w:val="19263C2C"/>
    <w:rsid w:val="192A2417"/>
    <w:rsid w:val="192D40BA"/>
    <w:rsid w:val="192E7F9F"/>
    <w:rsid w:val="1950164A"/>
    <w:rsid w:val="19577D95"/>
    <w:rsid w:val="19644306"/>
    <w:rsid w:val="19807E97"/>
    <w:rsid w:val="198C0CED"/>
    <w:rsid w:val="199D7906"/>
    <w:rsid w:val="19C32023"/>
    <w:rsid w:val="19CC643E"/>
    <w:rsid w:val="19DA0A9F"/>
    <w:rsid w:val="19E926B1"/>
    <w:rsid w:val="19F63C15"/>
    <w:rsid w:val="1A0B026D"/>
    <w:rsid w:val="1A0E4111"/>
    <w:rsid w:val="1A0F7AFC"/>
    <w:rsid w:val="1A185F71"/>
    <w:rsid w:val="1A30081A"/>
    <w:rsid w:val="1A337A08"/>
    <w:rsid w:val="1A340D79"/>
    <w:rsid w:val="1A3E42FA"/>
    <w:rsid w:val="1A45783A"/>
    <w:rsid w:val="1A4E5D9E"/>
    <w:rsid w:val="1A4F70B3"/>
    <w:rsid w:val="1A5067C6"/>
    <w:rsid w:val="1A5941EE"/>
    <w:rsid w:val="1A5C7B21"/>
    <w:rsid w:val="1A6B0D3A"/>
    <w:rsid w:val="1A722A7B"/>
    <w:rsid w:val="1A766EC6"/>
    <w:rsid w:val="1A8D63B3"/>
    <w:rsid w:val="1A9353A1"/>
    <w:rsid w:val="1A966FCF"/>
    <w:rsid w:val="1A973D34"/>
    <w:rsid w:val="1AA6403E"/>
    <w:rsid w:val="1AB46C75"/>
    <w:rsid w:val="1ACA2105"/>
    <w:rsid w:val="1AD47C2C"/>
    <w:rsid w:val="1AD67755"/>
    <w:rsid w:val="1AD82858"/>
    <w:rsid w:val="1ADF3447"/>
    <w:rsid w:val="1AF4307F"/>
    <w:rsid w:val="1AFA1AB2"/>
    <w:rsid w:val="1AFA4625"/>
    <w:rsid w:val="1AFA73AB"/>
    <w:rsid w:val="1B084A60"/>
    <w:rsid w:val="1B0A1236"/>
    <w:rsid w:val="1B0A332F"/>
    <w:rsid w:val="1B0B5C63"/>
    <w:rsid w:val="1B167A67"/>
    <w:rsid w:val="1B2173FA"/>
    <w:rsid w:val="1B2B6B71"/>
    <w:rsid w:val="1B37290B"/>
    <w:rsid w:val="1B3B20FC"/>
    <w:rsid w:val="1B3D4A9F"/>
    <w:rsid w:val="1B47549E"/>
    <w:rsid w:val="1B523FD9"/>
    <w:rsid w:val="1B5B6E69"/>
    <w:rsid w:val="1B661974"/>
    <w:rsid w:val="1B677B77"/>
    <w:rsid w:val="1B7221FC"/>
    <w:rsid w:val="1B84235E"/>
    <w:rsid w:val="1B8D5C15"/>
    <w:rsid w:val="1B9B09CB"/>
    <w:rsid w:val="1BAE2C71"/>
    <w:rsid w:val="1BB24927"/>
    <w:rsid w:val="1BBA3A22"/>
    <w:rsid w:val="1BC07C05"/>
    <w:rsid w:val="1BCA7EC0"/>
    <w:rsid w:val="1BCE774E"/>
    <w:rsid w:val="1BD17F70"/>
    <w:rsid w:val="1BD82A35"/>
    <w:rsid w:val="1BDB4BD1"/>
    <w:rsid w:val="1BE83712"/>
    <w:rsid w:val="1BEA52FB"/>
    <w:rsid w:val="1BF64EC8"/>
    <w:rsid w:val="1BF710D0"/>
    <w:rsid w:val="1BFC14F0"/>
    <w:rsid w:val="1C0619FF"/>
    <w:rsid w:val="1C08376D"/>
    <w:rsid w:val="1C1E050A"/>
    <w:rsid w:val="1C217D07"/>
    <w:rsid w:val="1C3B35BE"/>
    <w:rsid w:val="1C3D79CC"/>
    <w:rsid w:val="1C3E113F"/>
    <w:rsid w:val="1C4946EC"/>
    <w:rsid w:val="1C5433E4"/>
    <w:rsid w:val="1C56632C"/>
    <w:rsid w:val="1C5D634E"/>
    <w:rsid w:val="1C5E0CC9"/>
    <w:rsid w:val="1C606E1A"/>
    <w:rsid w:val="1C707A43"/>
    <w:rsid w:val="1C820C49"/>
    <w:rsid w:val="1C857360"/>
    <w:rsid w:val="1C861110"/>
    <w:rsid w:val="1C8A6932"/>
    <w:rsid w:val="1C956580"/>
    <w:rsid w:val="1C961F86"/>
    <w:rsid w:val="1C9B6743"/>
    <w:rsid w:val="1C9C5691"/>
    <w:rsid w:val="1CA13C38"/>
    <w:rsid w:val="1CA40BA1"/>
    <w:rsid w:val="1CAC0D44"/>
    <w:rsid w:val="1CAE3D27"/>
    <w:rsid w:val="1CB642D6"/>
    <w:rsid w:val="1CB64F1E"/>
    <w:rsid w:val="1CC235AD"/>
    <w:rsid w:val="1CC607A9"/>
    <w:rsid w:val="1CD05A6C"/>
    <w:rsid w:val="1CF571C2"/>
    <w:rsid w:val="1CF614C3"/>
    <w:rsid w:val="1D092F1F"/>
    <w:rsid w:val="1D0F6CCA"/>
    <w:rsid w:val="1D101B03"/>
    <w:rsid w:val="1D1073D4"/>
    <w:rsid w:val="1D122859"/>
    <w:rsid w:val="1D264BA8"/>
    <w:rsid w:val="1D28350F"/>
    <w:rsid w:val="1D39426E"/>
    <w:rsid w:val="1D6B769C"/>
    <w:rsid w:val="1D734618"/>
    <w:rsid w:val="1D7463AD"/>
    <w:rsid w:val="1D7715E5"/>
    <w:rsid w:val="1D781A4F"/>
    <w:rsid w:val="1D816F32"/>
    <w:rsid w:val="1D8543E9"/>
    <w:rsid w:val="1D974508"/>
    <w:rsid w:val="1DA16569"/>
    <w:rsid w:val="1DA17379"/>
    <w:rsid w:val="1DA25614"/>
    <w:rsid w:val="1DB53B70"/>
    <w:rsid w:val="1DC26FD2"/>
    <w:rsid w:val="1DCF1A84"/>
    <w:rsid w:val="1DD2460B"/>
    <w:rsid w:val="1DD809EF"/>
    <w:rsid w:val="1DED4603"/>
    <w:rsid w:val="1DF81C07"/>
    <w:rsid w:val="1E010309"/>
    <w:rsid w:val="1E150179"/>
    <w:rsid w:val="1E1F18A6"/>
    <w:rsid w:val="1E255D87"/>
    <w:rsid w:val="1E2C418B"/>
    <w:rsid w:val="1E373B09"/>
    <w:rsid w:val="1E386426"/>
    <w:rsid w:val="1E433C8A"/>
    <w:rsid w:val="1E4D716D"/>
    <w:rsid w:val="1E4E10FF"/>
    <w:rsid w:val="1E616C88"/>
    <w:rsid w:val="1E6B28B5"/>
    <w:rsid w:val="1E6B2957"/>
    <w:rsid w:val="1E6C6030"/>
    <w:rsid w:val="1E710BC5"/>
    <w:rsid w:val="1E797B93"/>
    <w:rsid w:val="1E7B0CE4"/>
    <w:rsid w:val="1E8B6AC7"/>
    <w:rsid w:val="1E954E6A"/>
    <w:rsid w:val="1E990302"/>
    <w:rsid w:val="1E9905B5"/>
    <w:rsid w:val="1E99457A"/>
    <w:rsid w:val="1E9C05D0"/>
    <w:rsid w:val="1EB42372"/>
    <w:rsid w:val="1EBC5A28"/>
    <w:rsid w:val="1EC23AA4"/>
    <w:rsid w:val="1EC44F0E"/>
    <w:rsid w:val="1EC955B1"/>
    <w:rsid w:val="1ED561A0"/>
    <w:rsid w:val="1ED92B92"/>
    <w:rsid w:val="1EE30043"/>
    <w:rsid w:val="1EF41869"/>
    <w:rsid w:val="1EF523A7"/>
    <w:rsid w:val="1EFA4A27"/>
    <w:rsid w:val="1EFB6034"/>
    <w:rsid w:val="1F000CA2"/>
    <w:rsid w:val="1F124149"/>
    <w:rsid w:val="1F171EB3"/>
    <w:rsid w:val="1F181F60"/>
    <w:rsid w:val="1F1A1CAF"/>
    <w:rsid w:val="1F1A5507"/>
    <w:rsid w:val="1F1B15A3"/>
    <w:rsid w:val="1F240DC5"/>
    <w:rsid w:val="1F261D39"/>
    <w:rsid w:val="1F264871"/>
    <w:rsid w:val="1F295768"/>
    <w:rsid w:val="1F334252"/>
    <w:rsid w:val="1F49132F"/>
    <w:rsid w:val="1F585E6F"/>
    <w:rsid w:val="1F630420"/>
    <w:rsid w:val="1F6926AC"/>
    <w:rsid w:val="1F763FC2"/>
    <w:rsid w:val="1F764988"/>
    <w:rsid w:val="1F7B333F"/>
    <w:rsid w:val="1F86567D"/>
    <w:rsid w:val="1F9A4978"/>
    <w:rsid w:val="1F9B270B"/>
    <w:rsid w:val="1F9B5C5C"/>
    <w:rsid w:val="1F9F0325"/>
    <w:rsid w:val="1FA17EA2"/>
    <w:rsid w:val="1FA27A02"/>
    <w:rsid w:val="1FAE4CEB"/>
    <w:rsid w:val="1FB46C33"/>
    <w:rsid w:val="1FC53A13"/>
    <w:rsid w:val="1FC8388D"/>
    <w:rsid w:val="1FCA6E56"/>
    <w:rsid w:val="1FCE2AF9"/>
    <w:rsid w:val="1FD34F2A"/>
    <w:rsid w:val="1FF0584C"/>
    <w:rsid w:val="1FF41A36"/>
    <w:rsid w:val="20093AD3"/>
    <w:rsid w:val="200A5F9F"/>
    <w:rsid w:val="200B3612"/>
    <w:rsid w:val="202B0B97"/>
    <w:rsid w:val="204232D1"/>
    <w:rsid w:val="20455C08"/>
    <w:rsid w:val="20511BCB"/>
    <w:rsid w:val="20816289"/>
    <w:rsid w:val="20816B7F"/>
    <w:rsid w:val="20822D2E"/>
    <w:rsid w:val="20867EA9"/>
    <w:rsid w:val="20887250"/>
    <w:rsid w:val="208F2E28"/>
    <w:rsid w:val="209827ED"/>
    <w:rsid w:val="20991B84"/>
    <w:rsid w:val="20A17F53"/>
    <w:rsid w:val="20B85D51"/>
    <w:rsid w:val="20C010D7"/>
    <w:rsid w:val="20C46616"/>
    <w:rsid w:val="20C52D11"/>
    <w:rsid w:val="20DA2B02"/>
    <w:rsid w:val="20DA6FAD"/>
    <w:rsid w:val="20E003A5"/>
    <w:rsid w:val="20E94EF5"/>
    <w:rsid w:val="20F1314F"/>
    <w:rsid w:val="20F60C70"/>
    <w:rsid w:val="20F63E0A"/>
    <w:rsid w:val="21011218"/>
    <w:rsid w:val="210200BF"/>
    <w:rsid w:val="210A53E9"/>
    <w:rsid w:val="21143A7A"/>
    <w:rsid w:val="21146CE5"/>
    <w:rsid w:val="21146CF8"/>
    <w:rsid w:val="211B7D31"/>
    <w:rsid w:val="212F05E4"/>
    <w:rsid w:val="21300E41"/>
    <w:rsid w:val="213716A3"/>
    <w:rsid w:val="21544987"/>
    <w:rsid w:val="21555E2B"/>
    <w:rsid w:val="21584AD8"/>
    <w:rsid w:val="215B5A6A"/>
    <w:rsid w:val="215D6A03"/>
    <w:rsid w:val="216324EF"/>
    <w:rsid w:val="2175111C"/>
    <w:rsid w:val="21770270"/>
    <w:rsid w:val="219272FE"/>
    <w:rsid w:val="21955A22"/>
    <w:rsid w:val="21987C3E"/>
    <w:rsid w:val="219C2AA3"/>
    <w:rsid w:val="21A908A0"/>
    <w:rsid w:val="21B63274"/>
    <w:rsid w:val="21C52712"/>
    <w:rsid w:val="21CE509A"/>
    <w:rsid w:val="21ED5AC0"/>
    <w:rsid w:val="21FA7B6A"/>
    <w:rsid w:val="21FE60B8"/>
    <w:rsid w:val="2204436F"/>
    <w:rsid w:val="22096D09"/>
    <w:rsid w:val="221F113F"/>
    <w:rsid w:val="222A4A98"/>
    <w:rsid w:val="222D2C13"/>
    <w:rsid w:val="22344820"/>
    <w:rsid w:val="2247772E"/>
    <w:rsid w:val="226B1F8F"/>
    <w:rsid w:val="22721C83"/>
    <w:rsid w:val="22874325"/>
    <w:rsid w:val="22946B87"/>
    <w:rsid w:val="229F53AA"/>
    <w:rsid w:val="22A06614"/>
    <w:rsid w:val="22A208F7"/>
    <w:rsid w:val="22B47E85"/>
    <w:rsid w:val="22D70EF3"/>
    <w:rsid w:val="22E02D5B"/>
    <w:rsid w:val="22F71AC0"/>
    <w:rsid w:val="22F96551"/>
    <w:rsid w:val="23095EAB"/>
    <w:rsid w:val="230D49EF"/>
    <w:rsid w:val="23256A9F"/>
    <w:rsid w:val="232E33BE"/>
    <w:rsid w:val="232F0DCB"/>
    <w:rsid w:val="2330081C"/>
    <w:rsid w:val="233F152B"/>
    <w:rsid w:val="233F6BBF"/>
    <w:rsid w:val="23414A83"/>
    <w:rsid w:val="23705697"/>
    <w:rsid w:val="2378284F"/>
    <w:rsid w:val="237832D7"/>
    <w:rsid w:val="237E0BC2"/>
    <w:rsid w:val="237F2DCB"/>
    <w:rsid w:val="237F3754"/>
    <w:rsid w:val="239225C8"/>
    <w:rsid w:val="23A200EE"/>
    <w:rsid w:val="23AA3B9A"/>
    <w:rsid w:val="23B04F39"/>
    <w:rsid w:val="23BD59CE"/>
    <w:rsid w:val="23C57376"/>
    <w:rsid w:val="23CB4368"/>
    <w:rsid w:val="23D72723"/>
    <w:rsid w:val="23D83E83"/>
    <w:rsid w:val="23ED4AE5"/>
    <w:rsid w:val="23ED7B3A"/>
    <w:rsid w:val="23F477BB"/>
    <w:rsid w:val="23F60383"/>
    <w:rsid w:val="23F74D89"/>
    <w:rsid w:val="24016D41"/>
    <w:rsid w:val="240D7119"/>
    <w:rsid w:val="24115A38"/>
    <w:rsid w:val="241A7C80"/>
    <w:rsid w:val="241D7A5C"/>
    <w:rsid w:val="24241043"/>
    <w:rsid w:val="24266A6B"/>
    <w:rsid w:val="24272577"/>
    <w:rsid w:val="242A2969"/>
    <w:rsid w:val="24387E2A"/>
    <w:rsid w:val="243C6615"/>
    <w:rsid w:val="2443378E"/>
    <w:rsid w:val="244B4921"/>
    <w:rsid w:val="24612721"/>
    <w:rsid w:val="24740225"/>
    <w:rsid w:val="24740420"/>
    <w:rsid w:val="247D0EB9"/>
    <w:rsid w:val="24802EAF"/>
    <w:rsid w:val="248212DA"/>
    <w:rsid w:val="24835DAA"/>
    <w:rsid w:val="2487185F"/>
    <w:rsid w:val="24960AAA"/>
    <w:rsid w:val="249A2752"/>
    <w:rsid w:val="24A40594"/>
    <w:rsid w:val="24A64031"/>
    <w:rsid w:val="24B07838"/>
    <w:rsid w:val="24BE098E"/>
    <w:rsid w:val="24C5632C"/>
    <w:rsid w:val="24C856CB"/>
    <w:rsid w:val="24E4433C"/>
    <w:rsid w:val="24EA3770"/>
    <w:rsid w:val="24EE7EBE"/>
    <w:rsid w:val="24F93609"/>
    <w:rsid w:val="24FF3ACB"/>
    <w:rsid w:val="250107CA"/>
    <w:rsid w:val="250B3382"/>
    <w:rsid w:val="2513325A"/>
    <w:rsid w:val="251457DE"/>
    <w:rsid w:val="25146112"/>
    <w:rsid w:val="251701F1"/>
    <w:rsid w:val="25186461"/>
    <w:rsid w:val="25235822"/>
    <w:rsid w:val="253579FA"/>
    <w:rsid w:val="25465F6E"/>
    <w:rsid w:val="255F5E5A"/>
    <w:rsid w:val="25792E20"/>
    <w:rsid w:val="25793751"/>
    <w:rsid w:val="257B1C6A"/>
    <w:rsid w:val="25801303"/>
    <w:rsid w:val="25801E3E"/>
    <w:rsid w:val="258536DB"/>
    <w:rsid w:val="25854DDE"/>
    <w:rsid w:val="25881EBF"/>
    <w:rsid w:val="25956A14"/>
    <w:rsid w:val="259905EA"/>
    <w:rsid w:val="259958CD"/>
    <w:rsid w:val="25B05A93"/>
    <w:rsid w:val="25C75B10"/>
    <w:rsid w:val="25CF0C1B"/>
    <w:rsid w:val="25D45DCE"/>
    <w:rsid w:val="25D670F7"/>
    <w:rsid w:val="25D801B3"/>
    <w:rsid w:val="25DF7BD6"/>
    <w:rsid w:val="25E23663"/>
    <w:rsid w:val="25E85EDC"/>
    <w:rsid w:val="25F01C7C"/>
    <w:rsid w:val="25F115B7"/>
    <w:rsid w:val="260B596F"/>
    <w:rsid w:val="26125193"/>
    <w:rsid w:val="261B1419"/>
    <w:rsid w:val="261C08B7"/>
    <w:rsid w:val="261E067D"/>
    <w:rsid w:val="261F11ED"/>
    <w:rsid w:val="262B0AD3"/>
    <w:rsid w:val="262D6FC4"/>
    <w:rsid w:val="263D35B9"/>
    <w:rsid w:val="26467C55"/>
    <w:rsid w:val="26541151"/>
    <w:rsid w:val="26544301"/>
    <w:rsid w:val="26710585"/>
    <w:rsid w:val="2675142C"/>
    <w:rsid w:val="26780E4E"/>
    <w:rsid w:val="26787D66"/>
    <w:rsid w:val="26831D1F"/>
    <w:rsid w:val="26880BE9"/>
    <w:rsid w:val="268855BD"/>
    <w:rsid w:val="26895093"/>
    <w:rsid w:val="269A5958"/>
    <w:rsid w:val="269D3D5B"/>
    <w:rsid w:val="26C42840"/>
    <w:rsid w:val="26C462BA"/>
    <w:rsid w:val="26CE68A1"/>
    <w:rsid w:val="26CE78D8"/>
    <w:rsid w:val="26E82191"/>
    <w:rsid w:val="26F457AC"/>
    <w:rsid w:val="26F722F4"/>
    <w:rsid w:val="26F73EF8"/>
    <w:rsid w:val="26F95132"/>
    <w:rsid w:val="26FB3393"/>
    <w:rsid w:val="27080C91"/>
    <w:rsid w:val="270E2D3F"/>
    <w:rsid w:val="270F6433"/>
    <w:rsid w:val="272632C3"/>
    <w:rsid w:val="27264C5C"/>
    <w:rsid w:val="27281212"/>
    <w:rsid w:val="272E6EFA"/>
    <w:rsid w:val="272F28C4"/>
    <w:rsid w:val="273A2606"/>
    <w:rsid w:val="273C67B1"/>
    <w:rsid w:val="27472D35"/>
    <w:rsid w:val="274C4A11"/>
    <w:rsid w:val="275207AC"/>
    <w:rsid w:val="275F66DD"/>
    <w:rsid w:val="2766539D"/>
    <w:rsid w:val="277A3D4D"/>
    <w:rsid w:val="277D152C"/>
    <w:rsid w:val="27874FD2"/>
    <w:rsid w:val="27884958"/>
    <w:rsid w:val="278C65B3"/>
    <w:rsid w:val="279856C4"/>
    <w:rsid w:val="27994923"/>
    <w:rsid w:val="279E185F"/>
    <w:rsid w:val="279F17B8"/>
    <w:rsid w:val="27A05FB2"/>
    <w:rsid w:val="27A260A0"/>
    <w:rsid w:val="27AE4536"/>
    <w:rsid w:val="27AF17F9"/>
    <w:rsid w:val="27AF53A6"/>
    <w:rsid w:val="27BD54E3"/>
    <w:rsid w:val="27C61543"/>
    <w:rsid w:val="27C62B75"/>
    <w:rsid w:val="27C83123"/>
    <w:rsid w:val="27D367F6"/>
    <w:rsid w:val="27E11477"/>
    <w:rsid w:val="27EA30B5"/>
    <w:rsid w:val="27F55494"/>
    <w:rsid w:val="27F80839"/>
    <w:rsid w:val="27FA384C"/>
    <w:rsid w:val="280118C3"/>
    <w:rsid w:val="28113C73"/>
    <w:rsid w:val="28171E58"/>
    <w:rsid w:val="283E2B5D"/>
    <w:rsid w:val="28411FA7"/>
    <w:rsid w:val="284171F5"/>
    <w:rsid w:val="28425AED"/>
    <w:rsid w:val="28426739"/>
    <w:rsid w:val="284C1716"/>
    <w:rsid w:val="2857385B"/>
    <w:rsid w:val="28596FE9"/>
    <w:rsid w:val="285B1C4A"/>
    <w:rsid w:val="285F7A5D"/>
    <w:rsid w:val="2861783D"/>
    <w:rsid w:val="28624AC1"/>
    <w:rsid w:val="28791EC3"/>
    <w:rsid w:val="287D7198"/>
    <w:rsid w:val="288140F0"/>
    <w:rsid w:val="28846D88"/>
    <w:rsid w:val="28A20D6E"/>
    <w:rsid w:val="28A30FE9"/>
    <w:rsid w:val="28AB19C9"/>
    <w:rsid w:val="28B442C9"/>
    <w:rsid w:val="28B579E2"/>
    <w:rsid w:val="28B774F5"/>
    <w:rsid w:val="28C300EB"/>
    <w:rsid w:val="28C90419"/>
    <w:rsid w:val="28D21179"/>
    <w:rsid w:val="28FB5019"/>
    <w:rsid w:val="29021555"/>
    <w:rsid w:val="29087309"/>
    <w:rsid w:val="29094005"/>
    <w:rsid w:val="290A5AA3"/>
    <w:rsid w:val="290F3546"/>
    <w:rsid w:val="291E39EC"/>
    <w:rsid w:val="2937797A"/>
    <w:rsid w:val="29396D03"/>
    <w:rsid w:val="293A14A7"/>
    <w:rsid w:val="293B4381"/>
    <w:rsid w:val="293D5A7E"/>
    <w:rsid w:val="294976A2"/>
    <w:rsid w:val="294E2C2A"/>
    <w:rsid w:val="295C2D39"/>
    <w:rsid w:val="29666C03"/>
    <w:rsid w:val="29675371"/>
    <w:rsid w:val="296D1CB4"/>
    <w:rsid w:val="29706F12"/>
    <w:rsid w:val="29854294"/>
    <w:rsid w:val="298A576E"/>
    <w:rsid w:val="29987817"/>
    <w:rsid w:val="29A47062"/>
    <w:rsid w:val="29A54BB0"/>
    <w:rsid w:val="29AF438E"/>
    <w:rsid w:val="29B9293C"/>
    <w:rsid w:val="29BD16C4"/>
    <w:rsid w:val="29BE6D75"/>
    <w:rsid w:val="29C762D4"/>
    <w:rsid w:val="29C77FFA"/>
    <w:rsid w:val="29D2689D"/>
    <w:rsid w:val="29D41B82"/>
    <w:rsid w:val="29D76C1C"/>
    <w:rsid w:val="29FC4F4D"/>
    <w:rsid w:val="29FE132F"/>
    <w:rsid w:val="2A087B60"/>
    <w:rsid w:val="2A0F6B50"/>
    <w:rsid w:val="2A1572D7"/>
    <w:rsid w:val="2A1D36EE"/>
    <w:rsid w:val="2A1F202C"/>
    <w:rsid w:val="2A464A71"/>
    <w:rsid w:val="2A4F029B"/>
    <w:rsid w:val="2A4F7CC2"/>
    <w:rsid w:val="2A6701BA"/>
    <w:rsid w:val="2A6751EF"/>
    <w:rsid w:val="2A73291A"/>
    <w:rsid w:val="2A79075A"/>
    <w:rsid w:val="2A7918F2"/>
    <w:rsid w:val="2A7A0152"/>
    <w:rsid w:val="2A7E29A7"/>
    <w:rsid w:val="2A885060"/>
    <w:rsid w:val="2A8C698F"/>
    <w:rsid w:val="2A8F77D0"/>
    <w:rsid w:val="2A942C20"/>
    <w:rsid w:val="2AA002F5"/>
    <w:rsid w:val="2AA80498"/>
    <w:rsid w:val="2AAA3741"/>
    <w:rsid w:val="2AB0074E"/>
    <w:rsid w:val="2ABD4935"/>
    <w:rsid w:val="2AC36AF8"/>
    <w:rsid w:val="2ACA449F"/>
    <w:rsid w:val="2AD6689A"/>
    <w:rsid w:val="2AD94287"/>
    <w:rsid w:val="2AE94209"/>
    <w:rsid w:val="2AEE60D0"/>
    <w:rsid w:val="2AEF35E3"/>
    <w:rsid w:val="2B003260"/>
    <w:rsid w:val="2B06725C"/>
    <w:rsid w:val="2B072668"/>
    <w:rsid w:val="2B0A3CBE"/>
    <w:rsid w:val="2B251FD7"/>
    <w:rsid w:val="2B296E44"/>
    <w:rsid w:val="2B3074A5"/>
    <w:rsid w:val="2B344256"/>
    <w:rsid w:val="2B3E59AB"/>
    <w:rsid w:val="2B4F27E9"/>
    <w:rsid w:val="2B5027C1"/>
    <w:rsid w:val="2B6515C5"/>
    <w:rsid w:val="2B7D5F91"/>
    <w:rsid w:val="2B8A6560"/>
    <w:rsid w:val="2BA77EB2"/>
    <w:rsid w:val="2BAD0515"/>
    <w:rsid w:val="2BAD19E9"/>
    <w:rsid w:val="2BAF0851"/>
    <w:rsid w:val="2BB00BAE"/>
    <w:rsid w:val="2BBD2FDE"/>
    <w:rsid w:val="2BCB0EBC"/>
    <w:rsid w:val="2BCB7811"/>
    <w:rsid w:val="2BCF4973"/>
    <w:rsid w:val="2BD371F0"/>
    <w:rsid w:val="2BD70682"/>
    <w:rsid w:val="2BD97F33"/>
    <w:rsid w:val="2BE80B2A"/>
    <w:rsid w:val="2BE92691"/>
    <w:rsid w:val="2BEC729D"/>
    <w:rsid w:val="2BF271A3"/>
    <w:rsid w:val="2BF6716F"/>
    <w:rsid w:val="2BF97FB4"/>
    <w:rsid w:val="2C122ED7"/>
    <w:rsid w:val="2C197677"/>
    <w:rsid w:val="2C1D2C93"/>
    <w:rsid w:val="2C1F6D5C"/>
    <w:rsid w:val="2C216621"/>
    <w:rsid w:val="2C2364CF"/>
    <w:rsid w:val="2C237C11"/>
    <w:rsid w:val="2C2F33EA"/>
    <w:rsid w:val="2C30614F"/>
    <w:rsid w:val="2C56562C"/>
    <w:rsid w:val="2C59526A"/>
    <w:rsid w:val="2C7C691F"/>
    <w:rsid w:val="2C804C99"/>
    <w:rsid w:val="2C924BBF"/>
    <w:rsid w:val="2C9C3808"/>
    <w:rsid w:val="2CA44C0C"/>
    <w:rsid w:val="2CAD0F5B"/>
    <w:rsid w:val="2CAF519A"/>
    <w:rsid w:val="2CB3505C"/>
    <w:rsid w:val="2CCA21F7"/>
    <w:rsid w:val="2CCA5533"/>
    <w:rsid w:val="2CD26FC6"/>
    <w:rsid w:val="2CE93BA1"/>
    <w:rsid w:val="2CEB0B14"/>
    <w:rsid w:val="2CEB1875"/>
    <w:rsid w:val="2CEE3DC7"/>
    <w:rsid w:val="2CEF00DA"/>
    <w:rsid w:val="2CEF0995"/>
    <w:rsid w:val="2CF100AC"/>
    <w:rsid w:val="2CF662B0"/>
    <w:rsid w:val="2D0D1DCF"/>
    <w:rsid w:val="2D161C80"/>
    <w:rsid w:val="2D175D27"/>
    <w:rsid w:val="2D204100"/>
    <w:rsid w:val="2D235116"/>
    <w:rsid w:val="2D27716E"/>
    <w:rsid w:val="2D3D0308"/>
    <w:rsid w:val="2D3D4371"/>
    <w:rsid w:val="2D451DBF"/>
    <w:rsid w:val="2D553B6B"/>
    <w:rsid w:val="2D590115"/>
    <w:rsid w:val="2D817F7F"/>
    <w:rsid w:val="2D863AB3"/>
    <w:rsid w:val="2D964678"/>
    <w:rsid w:val="2D9B13AB"/>
    <w:rsid w:val="2DA26ECF"/>
    <w:rsid w:val="2DA66053"/>
    <w:rsid w:val="2DAA3BDD"/>
    <w:rsid w:val="2DAD57F6"/>
    <w:rsid w:val="2DAF3E76"/>
    <w:rsid w:val="2DB1194C"/>
    <w:rsid w:val="2DB30EDF"/>
    <w:rsid w:val="2DBB20A4"/>
    <w:rsid w:val="2DBE33FE"/>
    <w:rsid w:val="2DD376BC"/>
    <w:rsid w:val="2DE87129"/>
    <w:rsid w:val="2DF44D4E"/>
    <w:rsid w:val="2DFE21BC"/>
    <w:rsid w:val="2E006420"/>
    <w:rsid w:val="2E047FDD"/>
    <w:rsid w:val="2E1278F6"/>
    <w:rsid w:val="2E1D2E91"/>
    <w:rsid w:val="2E20129C"/>
    <w:rsid w:val="2E2F0DDD"/>
    <w:rsid w:val="2E31420C"/>
    <w:rsid w:val="2E3610D4"/>
    <w:rsid w:val="2E3961D2"/>
    <w:rsid w:val="2E3B7D10"/>
    <w:rsid w:val="2E47371F"/>
    <w:rsid w:val="2E49229F"/>
    <w:rsid w:val="2E4C1363"/>
    <w:rsid w:val="2E4F3A96"/>
    <w:rsid w:val="2E537300"/>
    <w:rsid w:val="2E5B20CD"/>
    <w:rsid w:val="2E6241F3"/>
    <w:rsid w:val="2E6F294A"/>
    <w:rsid w:val="2E702155"/>
    <w:rsid w:val="2E837D72"/>
    <w:rsid w:val="2E933E98"/>
    <w:rsid w:val="2E961974"/>
    <w:rsid w:val="2E9F4DCE"/>
    <w:rsid w:val="2EA746F6"/>
    <w:rsid w:val="2EAA19CD"/>
    <w:rsid w:val="2EB516BD"/>
    <w:rsid w:val="2EB80AF4"/>
    <w:rsid w:val="2EB9642A"/>
    <w:rsid w:val="2ECC3FBD"/>
    <w:rsid w:val="2ED329AC"/>
    <w:rsid w:val="2ED34F2F"/>
    <w:rsid w:val="2EE80553"/>
    <w:rsid w:val="2EE81693"/>
    <w:rsid w:val="2EE90AC8"/>
    <w:rsid w:val="2EF60E4C"/>
    <w:rsid w:val="2EF67340"/>
    <w:rsid w:val="2F030EEF"/>
    <w:rsid w:val="2F057D9B"/>
    <w:rsid w:val="2F0644B3"/>
    <w:rsid w:val="2F074296"/>
    <w:rsid w:val="2F0D20E6"/>
    <w:rsid w:val="2F130198"/>
    <w:rsid w:val="2F145803"/>
    <w:rsid w:val="2F15462F"/>
    <w:rsid w:val="2F170533"/>
    <w:rsid w:val="2F292884"/>
    <w:rsid w:val="2F3F0228"/>
    <w:rsid w:val="2F413A17"/>
    <w:rsid w:val="2F5D668E"/>
    <w:rsid w:val="2F672818"/>
    <w:rsid w:val="2F693D28"/>
    <w:rsid w:val="2F71791F"/>
    <w:rsid w:val="2F8133F2"/>
    <w:rsid w:val="2F8631CC"/>
    <w:rsid w:val="2F894AE7"/>
    <w:rsid w:val="2F9D0397"/>
    <w:rsid w:val="2FA91607"/>
    <w:rsid w:val="2FB05357"/>
    <w:rsid w:val="2FB261F9"/>
    <w:rsid w:val="2FC601DC"/>
    <w:rsid w:val="2FCA7C4B"/>
    <w:rsid w:val="2FD14136"/>
    <w:rsid w:val="2FDE3023"/>
    <w:rsid w:val="2FEA59B9"/>
    <w:rsid w:val="2FED3F33"/>
    <w:rsid w:val="2FEE479D"/>
    <w:rsid w:val="300912A0"/>
    <w:rsid w:val="30116823"/>
    <w:rsid w:val="301256E4"/>
    <w:rsid w:val="302149EC"/>
    <w:rsid w:val="302B0668"/>
    <w:rsid w:val="302B6B82"/>
    <w:rsid w:val="3031019C"/>
    <w:rsid w:val="30337B54"/>
    <w:rsid w:val="303837AB"/>
    <w:rsid w:val="303F1214"/>
    <w:rsid w:val="303F6640"/>
    <w:rsid w:val="303F6EE5"/>
    <w:rsid w:val="304A37D2"/>
    <w:rsid w:val="304B0070"/>
    <w:rsid w:val="30635A46"/>
    <w:rsid w:val="307122CA"/>
    <w:rsid w:val="30712919"/>
    <w:rsid w:val="3077447B"/>
    <w:rsid w:val="307B4282"/>
    <w:rsid w:val="30991027"/>
    <w:rsid w:val="309A5BDE"/>
    <w:rsid w:val="30A569FD"/>
    <w:rsid w:val="30A650D0"/>
    <w:rsid w:val="30AE7903"/>
    <w:rsid w:val="30B25916"/>
    <w:rsid w:val="30B2597A"/>
    <w:rsid w:val="30BD4F32"/>
    <w:rsid w:val="30BF014D"/>
    <w:rsid w:val="30C25B2C"/>
    <w:rsid w:val="30C425DB"/>
    <w:rsid w:val="30C46A3F"/>
    <w:rsid w:val="30CA5B5D"/>
    <w:rsid w:val="30CC5DDF"/>
    <w:rsid w:val="30DD4FA7"/>
    <w:rsid w:val="30E14E86"/>
    <w:rsid w:val="30E36132"/>
    <w:rsid w:val="30FF1006"/>
    <w:rsid w:val="31020C49"/>
    <w:rsid w:val="31212A20"/>
    <w:rsid w:val="3126476E"/>
    <w:rsid w:val="312D1F89"/>
    <w:rsid w:val="3131224D"/>
    <w:rsid w:val="31375F29"/>
    <w:rsid w:val="313811A0"/>
    <w:rsid w:val="3139473D"/>
    <w:rsid w:val="313E1243"/>
    <w:rsid w:val="314002B0"/>
    <w:rsid w:val="314E7475"/>
    <w:rsid w:val="31532FA8"/>
    <w:rsid w:val="315A30BD"/>
    <w:rsid w:val="3167042D"/>
    <w:rsid w:val="3170799F"/>
    <w:rsid w:val="317148F6"/>
    <w:rsid w:val="317213EC"/>
    <w:rsid w:val="317B7FF6"/>
    <w:rsid w:val="318071EC"/>
    <w:rsid w:val="3181298C"/>
    <w:rsid w:val="318572CA"/>
    <w:rsid w:val="31A64559"/>
    <w:rsid w:val="31AD157D"/>
    <w:rsid w:val="31B30615"/>
    <w:rsid w:val="31B36BE0"/>
    <w:rsid w:val="31B461CB"/>
    <w:rsid w:val="31B61AAF"/>
    <w:rsid w:val="31C225B5"/>
    <w:rsid w:val="31CC2F3E"/>
    <w:rsid w:val="31DB4C14"/>
    <w:rsid w:val="31DD10CC"/>
    <w:rsid w:val="31E07DCE"/>
    <w:rsid w:val="31E64260"/>
    <w:rsid w:val="31E966DA"/>
    <w:rsid w:val="32010E92"/>
    <w:rsid w:val="321A1AB2"/>
    <w:rsid w:val="321D4204"/>
    <w:rsid w:val="3236719D"/>
    <w:rsid w:val="323C218F"/>
    <w:rsid w:val="32527468"/>
    <w:rsid w:val="3265456B"/>
    <w:rsid w:val="326673CF"/>
    <w:rsid w:val="326816C0"/>
    <w:rsid w:val="326C30CF"/>
    <w:rsid w:val="32733458"/>
    <w:rsid w:val="327C70EA"/>
    <w:rsid w:val="327E681F"/>
    <w:rsid w:val="32811906"/>
    <w:rsid w:val="328F1017"/>
    <w:rsid w:val="329312C0"/>
    <w:rsid w:val="32937712"/>
    <w:rsid w:val="32975E99"/>
    <w:rsid w:val="32977FAB"/>
    <w:rsid w:val="329A13FF"/>
    <w:rsid w:val="329C3059"/>
    <w:rsid w:val="329D0703"/>
    <w:rsid w:val="32A2003B"/>
    <w:rsid w:val="32AF26C9"/>
    <w:rsid w:val="32B13BC6"/>
    <w:rsid w:val="32B52EA8"/>
    <w:rsid w:val="32EC75B8"/>
    <w:rsid w:val="32EF00B0"/>
    <w:rsid w:val="33046D9D"/>
    <w:rsid w:val="3314709E"/>
    <w:rsid w:val="33150F65"/>
    <w:rsid w:val="331E0ECD"/>
    <w:rsid w:val="33221570"/>
    <w:rsid w:val="3322579B"/>
    <w:rsid w:val="33227A39"/>
    <w:rsid w:val="33281B72"/>
    <w:rsid w:val="332879F4"/>
    <w:rsid w:val="332E0ECC"/>
    <w:rsid w:val="333B6401"/>
    <w:rsid w:val="33400C44"/>
    <w:rsid w:val="335236EA"/>
    <w:rsid w:val="33626C1F"/>
    <w:rsid w:val="33651094"/>
    <w:rsid w:val="33832E45"/>
    <w:rsid w:val="3386401D"/>
    <w:rsid w:val="338B2BF5"/>
    <w:rsid w:val="338D01F1"/>
    <w:rsid w:val="33935BDC"/>
    <w:rsid w:val="33A12F0C"/>
    <w:rsid w:val="33A15612"/>
    <w:rsid w:val="33B527E1"/>
    <w:rsid w:val="33B70024"/>
    <w:rsid w:val="33B80BC5"/>
    <w:rsid w:val="33CA15E2"/>
    <w:rsid w:val="33CE506F"/>
    <w:rsid w:val="33CE5D04"/>
    <w:rsid w:val="33DA2BD3"/>
    <w:rsid w:val="33E07A17"/>
    <w:rsid w:val="33EA3CA2"/>
    <w:rsid w:val="33F15A8A"/>
    <w:rsid w:val="33FD77A5"/>
    <w:rsid w:val="33FF5B24"/>
    <w:rsid w:val="34023162"/>
    <w:rsid w:val="34143F98"/>
    <w:rsid w:val="341A14CE"/>
    <w:rsid w:val="341A523B"/>
    <w:rsid w:val="341B0F0C"/>
    <w:rsid w:val="342F2160"/>
    <w:rsid w:val="34435673"/>
    <w:rsid w:val="34497767"/>
    <w:rsid w:val="345E5330"/>
    <w:rsid w:val="345F6CF6"/>
    <w:rsid w:val="346427D7"/>
    <w:rsid w:val="346B2C8A"/>
    <w:rsid w:val="346D6929"/>
    <w:rsid w:val="3470351A"/>
    <w:rsid w:val="34707D68"/>
    <w:rsid w:val="34890329"/>
    <w:rsid w:val="349346F4"/>
    <w:rsid w:val="349F716F"/>
    <w:rsid w:val="34A323E2"/>
    <w:rsid w:val="34A60A01"/>
    <w:rsid w:val="34A91B5E"/>
    <w:rsid w:val="34AF187D"/>
    <w:rsid w:val="34B13C9D"/>
    <w:rsid w:val="34B45572"/>
    <w:rsid w:val="34C433C1"/>
    <w:rsid w:val="34E03D6D"/>
    <w:rsid w:val="34E178E3"/>
    <w:rsid w:val="34E44643"/>
    <w:rsid w:val="34EA4EA9"/>
    <w:rsid w:val="34F150A6"/>
    <w:rsid w:val="34F15D17"/>
    <w:rsid w:val="34F45290"/>
    <w:rsid w:val="34FC4C1E"/>
    <w:rsid w:val="35021323"/>
    <w:rsid w:val="35086734"/>
    <w:rsid w:val="350D37A6"/>
    <w:rsid w:val="35260C61"/>
    <w:rsid w:val="352B3E27"/>
    <w:rsid w:val="352D6DE7"/>
    <w:rsid w:val="352E5A1D"/>
    <w:rsid w:val="352F3803"/>
    <w:rsid w:val="35435A50"/>
    <w:rsid w:val="3547216F"/>
    <w:rsid w:val="356160BD"/>
    <w:rsid w:val="356A26E9"/>
    <w:rsid w:val="35706E30"/>
    <w:rsid w:val="358024B0"/>
    <w:rsid w:val="358744C8"/>
    <w:rsid w:val="358B4E4E"/>
    <w:rsid w:val="359A15C5"/>
    <w:rsid w:val="35AD0F22"/>
    <w:rsid w:val="35B4082F"/>
    <w:rsid w:val="35B90013"/>
    <w:rsid w:val="35BB431D"/>
    <w:rsid w:val="35C11798"/>
    <w:rsid w:val="35E025D5"/>
    <w:rsid w:val="35F16397"/>
    <w:rsid w:val="360163CB"/>
    <w:rsid w:val="3606581D"/>
    <w:rsid w:val="36076E10"/>
    <w:rsid w:val="36183142"/>
    <w:rsid w:val="361B2799"/>
    <w:rsid w:val="361C0B56"/>
    <w:rsid w:val="361D2BBB"/>
    <w:rsid w:val="362F1616"/>
    <w:rsid w:val="36352F3B"/>
    <w:rsid w:val="36392029"/>
    <w:rsid w:val="364B625D"/>
    <w:rsid w:val="364B729A"/>
    <w:rsid w:val="364C0592"/>
    <w:rsid w:val="364D671C"/>
    <w:rsid w:val="36534A6C"/>
    <w:rsid w:val="3663011E"/>
    <w:rsid w:val="36653ABB"/>
    <w:rsid w:val="36653BF7"/>
    <w:rsid w:val="366F3E86"/>
    <w:rsid w:val="367713E6"/>
    <w:rsid w:val="367A166B"/>
    <w:rsid w:val="36857AF8"/>
    <w:rsid w:val="368D28B7"/>
    <w:rsid w:val="368E069D"/>
    <w:rsid w:val="369B07BB"/>
    <w:rsid w:val="36A87BAC"/>
    <w:rsid w:val="36B226EB"/>
    <w:rsid w:val="36B43EBD"/>
    <w:rsid w:val="36B72854"/>
    <w:rsid w:val="36CD5D6F"/>
    <w:rsid w:val="36D546F1"/>
    <w:rsid w:val="36D84E55"/>
    <w:rsid w:val="36DB1C0A"/>
    <w:rsid w:val="36F32ECD"/>
    <w:rsid w:val="371423A9"/>
    <w:rsid w:val="37147986"/>
    <w:rsid w:val="371C789A"/>
    <w:rsid w:val="37212117"/>
    <w:rsid w:val="37245ADE"/>
    <w:rsid w:val="372915E7"/>
    <w:rsid w:val="372B4AD7"/>
    <w:rsid w:val="373707E3"/>
    <w:rsid w:val="373971B9"/>
    <w:rsid w:val="373D62C5"/>
    <w:rsid w:val="373F7037"/>
    <w:rsid w:val="37643C0E"/>
    <w:rsid w:val="377F3068"/>
    <w:rsid w:val="379578A9"/>
    <w:rsid w:val="37B52521"/>
    <w:rsid w:val="37D2795E"/>
    <w:rsid w:val="37DA087E"/>
    <w:rsid w:val="37DD43BE"/>
    <w:rsid w:val="37DF5E5D"/>
    <w:rsid w:val="37E105F8"/>
    <w:rsid w:val="37EC557A"/>
    <w:rsid w:val="37FE7549"/>
    <w:rsid w:val="38097FA6"/>
    <w:rsid w:val="3815074C"/>
    <w:rsid w:val="381B0712"/>
    <w:rsid w:val="381E2CD9"/>
    <w:rsid w:val="38295161"/>
    <w:rsid w:val="38301D16"/>
    <w:rsid w:val="38387865"/>
    <w:rsid w:val="38391CBA"/>
    <w:rsid w:val="383D541E"/>
    <w:rsid w:val="384200CE"/>
    <w:rsid w:val="384417A8"/>
    <w:rsid w:val="384447B0"/>
    <w:rsid w:val="38450E3D"/>
    <w:rsid w:val="384A0471"/>
    <w:rsid w:val="384F48A4"/>
    <w:rsid w:val="386345CE"/>
    <w:rsid w:val="386614FC"/>
    <w:rsid w:val="3872037A"/>
    <w:rsid w:val="3873190A"/>
    <w:rsid w:val="387547FF"/>
    <w:rsid w:val="38765433"/>
    <w:rsid w:val="387A5BF8"/>
    <w:rsid w:val="387B4362"/>
    <w:rsid w:val="38805AA3"/>
    <w:rsid w:val="389204DA"/>
    <w:rsid w:val="38941BEE"/>
    <w:rsid w:val="38A75D56"/>
    <w:rsid w:val="38C341EA"/>
    <w:rsid w:val="38CD1365"/>
    <w:rsid w:val="38DE646D"/>
    <w:rsid w:val="38F01E8E"/>
    <w:rsid w:val="39036688"/>
    <w:rsid w:val="39051D52"/>
    <w:rsid w:val="3910377B"/>
    <w:rsid w:val="391A1CB2"/>
    <w:rsid w:val="391B034E"/>
    <w:rsid w:val="39213C0B"/>
    <w:rsid w:val="39234AF4"/>
    <w:rsid w:val="392A10A7"/>
    <w:rsid w:val="392B721D"/>
    <w:rsid w:val="392D65D2"/>
    <w:rsid w:val="39385FD2"/>
    <w:rsid w:val="394B140B"/>
    <w:rsid w:val="394F6EEE"/>
    <w:rsid w:val="395556C9"/>
    <w:rsid w:val="395D4CC2"/>
    <w:rsid w:val="396E561B"/>
    <w:rsid w:val="397B6D1D"/>
    <w:rsid w:val="397F24B7"/>
    <w:rsid w:val="398020F1"/>
    <w:rsid w:val="398A38A5"/>
    <w:rsid w:val="399115D1"/>
    <w:rsid w:val="399243D6"/>
    <w:rsid w:val="39934439"/>
    <w:rsid w:val="3999335F"/>
    <w:rsid w:val="39B50892"/>
    <w:rsid w:val="39B6068C"/>
    <w:rsid w:val="39B94832"/>
    <w:rsid w:val="39BD3C7F"/>
    <w:rsid w:val="39C04360"/>
    <w:rsid w:val="39C5291C"/>
    <w:rsid w:val="39CC1112"/>
    <w:rsid w:val="39E4579E"/>
    <w:rsid w:val="39F407EA"/>
    <w:rsid w:val="39F60575"/>
    <w:rsid w:val="39F73403"/>
    <w:rsid w:val="39F86355"/>
    <w:rsid w:val="39FA4EAD"/>
    <w:rsid w:val="3A0A279D"/>
    <w:rsid w:val="3A11579E"/>
    <w:rsid w:val="3A12444F"/>
    <w:rsid w:val="3A1356D6"/>
    <w:rsid w:val="3A1961EE"/>
    <w:rsid w:val="3A1A66A9"/>
    <w:rsid w:val="3A274EC5"/>
    <w:rsid w:val="3A291472"/>
    <w:rsid w:val="3A2D25D5"/>
    <w:rsid w:val="3A3806D0"/>
    <w:rsid w:val="3A494AA3"/>
    <w:rsid w:val="3A4C5C39"/>
    <w:rsid w:val="3A630CF1"/>
    <w:rsid w:val="3A6C4FF5"/>
    <w:rsid w:val="3A6D32E1"/>
    <w:rsid w:val="3A6F2B02"/>
    <w:rsid w:val="3A713984"/>
    <w:rsid w:val="3A7349CC"/>
    <w:rsid w:val="3A806E2F"/>
    <w:rsid w:val="3A81638A"/>
    <w:rsid w:val="3A8214F9"/>
    <w:rsid w:val="3A8A4022"/>
    <w:rsid w:val="3AC145B6"/>
    <w:rsid w:val="3AC37DBE"/>
    <w:rsid w:val="3AC638C2"/>
    <w:rsid w:val="3ACB612A"/>
    <w:rsid w:val="3ACC2634"/>
    <w:rsid w:val="3AE27E01"/>
    <w:rsid w:val="3AE36792"/>
    <w:rsid w:val="3AE60E54"/>
    <w:rsid w:val="3AF31E2E"/>
    <w:rsid w:val="3B0917FF"/>
    <w:rsid w:val="3B0B4DC4"/>
    <w:rsid w:val="3B0C72BF"/>
    <w:rsid w:val="3B0E5E28"/>
    <w:rsid w:val="3B121FE1"/>
    <w:rsid w:val="3B167E00"/>
    <w:rsid w:val="3B197140"/>
    <w:rsid w:val="3B1E5D6F"/>
    <w:rsid w:val="3B22034E"/>
    <w:rsid w:val="3B2636EE"/>
    <w:rsid w:val="3B2A52AB"/>
    <w:rsid w:val="3B2B4AE5"/>
    <w:rsid w:val="3B37074A"/>
    <w:rsid w:val="3B5974F3"/>
    <w:rsid w:val="3B613C80"/>
    <w:rsid w:val="3B623E86"/>
    <w:rsid w:val="3B6D794C"/>
    <w:rsid w:val="3B740D00"/>
    <w:rsid w:val="3B74449E"/>
    <w:rsid w:val="3B765EC3"/>
    <w:rsid w:val="3B7D55FC"/>
    <w:rsid w:val="3BA11D86"/>
    <w:rsid w:val="3BA9523B"/>
    <w:rsid w:val="3BA96FC9"/>
    <w:rsid w:val="3BAA5E2F"/>
    <w:rsid w:val="3BB23352"/>
    <w:rsid w:val="3BB50923"/>
    <w:rsid w:val="3BB8187C"/>
    <w:rsid w:val="3BBF1970"/>
    <w:rsid w:val="3BC015D5"/>
    <w:rsid w:val="3BC16DD1"/>
    <w:rsid w:val="3BC45077"/>
    <w:rsid w:val="3BCC07B4"/>
    <w:rsid w:val="3BD07769"/>
    <w:rsid w:val="3BD717F2"/>
    <w:rsid w:val="3BD86FD5"/>
    <w:rsid w:val="3BDA7427"/>
    <w:rsid w:val="3BE92033"/>
    <w:rsid w:val="3BED23C1"/>
    <w:rsid w:val="3BF2141E"/>
    <w:rsid w:val="3BFE4697"/>
    <w:rsid w:val="3C051E68"/>
    <w:rsid w:val="3C052FAA"/>
    <w:rsid w:val="3C072F6F"/>
    <w:rsid w:val="3C264254"/>
    <w:rsid w:val="3C27457C"/>
    <w:rsid w:val="3C2C0EEE"/>
    <w:rsid w:val="3C3150D1"/>
    <w:rsid w:val="3C4061F1"/>
    <w:rsid w:val="3C470A20"/>
    <w:rsid w:val="3C486E94"/>
    <w:rsid w:val="3C533D94"/>
    <w:rsid w:val="3C54116B"/>
    <w:rsid w:val="3C542DAC"/>
    <w:rsid w:val="3C5609C9"/>
    <w:rsid w:val="3C6138FF"/>
    <w:rsid w:val="3C657F6A"/>
    <w:rsid w:val="3C7D2906"/>
    <w:rsid w:val="3C82293E"/>
    <w:rsid w:val="3C8456EF"/>
    <w:rsid w:val="3C8938AA"/>
    <w:rsid w:val="3C8A138E"/>
    <w:rsid w:val="3C992417"/>
    <w:rsid w:val="3C9E0837"/>
    <w:rsid w:val="3CA1446D"/>
    <w:rsid w:val="3CA727A6"/>
    <w:rsid w:val="3CA93A77"/>
    <w:rsid w:val="3CBD19E3"/>
    <w:rsid w:val="3CC31FEC"/>
    <w:rsid w:val="3CC9433F"/>
    <w:rsid w:val="3CC97E0D"/>
    <w:rsid w:val="3CCB43F4"/>
    <w:rsid w:val="3CD154FC"/>
    <w:rsid w:val="3CD34CC0"/>
    <w:rsid w:val="3CD6115E"/>
    <w:rsid w:val="3CDA2548"/>
    <w:rsid w:val="3CEB0BB9"/>
    <w:rsid w:val="3CF6730D"/>
    <w:rsid w:val="3D0C7A2D"/>
    <w:rsid w:val="3D1A159A"/>
    <w:rsid w:val="3D2675BA"/>
    <w:rsid w:val="3D3608D4"/>
    <w:rsid w:val="3D384600"/>
    <w:rsid w:val="3D3C7C2A"/>
    <w:rsid w:val="3D4A01A6"/>
    <w:rsid w:val="3D53166C"/>
    <w:rsid w:val="3D531A6E"/>
    <w:rsid w:val="3D556908"/>
    <w:rsid w:val="3D597DCA"/>
    <w:rsid w:val="3D610EFB"/>
    <w:rsid w:val="3D6240F1"/>
    <w:rsid w:val="3D6242D8"/>
    <w:rsid w:val="3D643258"/>
    <w:rsid w:val="3D6A1245"/>
    <w:rsid w:val="3D6B77F0"/>
    <w:rsid w:val="3D732696"/>
    <w:rsid w:val="3D764498"/>
    <w:rsid w:val="3D983F0A"/>
    <w:rsid w:val="3D9B304B"/>
    <w:rsid w:val="3DA66625"/>
    <w:rsid w:val="3DA934EF"/>
    <w:rsid w:val="3DAE4669"/>
    <w:rsid w:val="3DBD2D58"/>
    <w:rsid w:val="3DBF691C"/>
    <w:rsid w:val="3DCC290E"/>
    <w:rsid w:val="3DD9535F"/>
    <w:rsid w:val="3DE90957"/>
    <w:rsid w:val="3DF32329"/>
    <w:rsid w:val="3DFE4E59"/>
    <w:rsid w:val="3E125973"/>
    <w:rsid w:val="3E16724B"/>
    <w:rsid w:val="3E1B3324"/>
    <w:rsid w:val="3E1E1994"/>
    <w:rsid w:val="3E1E330B"/>
    <w:rsid w:val="3E1F193E"/>
    <w:rsid w:val="3E2969AA"/>
    <w:rsid w:val="3E2A4F6E"/>
    <w:rsid w:val="3E2B7657"/>
    <w:rsid w:val="3E2D6AAD"/>
    <w:rsid w:val="3E312184"/>
    <w:rsid w:val="3E376CBF"/>
    <w:rsid w:val="3E43591C"/>
    <w:rsid w:val="3E4B0262"/>
    <w:rsid w:val="3E510B49"/>
    <w:rsid w:val="3E5854A8"/>
    <w:rsid w:val="3E5F6CDE"/>
    <w:rsid w:val="3E60155E"/>
    <w:rsid w:val="3E605455"/>
    <w:rsid w:val="3E626077"/>
    <w:rsid w:val="3E6323F9"/>
    <w:rsid w:val="3E853878"/>
    <w:rsid w:val="3EA7133C"/>
    <w:rsid w:val="3EA832CE"/>
    <w:rsid w:val="3EAD49D3"/>
    <w:rsid w:val="3EB73BBA"/>
    <w:rsid w:val="3EB80D37"/>
    <w:rsid w:val="3ECE5E20"/>
    <w:rsid w:val="3ED32FD7"/>
    <w:rsid w:val="3EEA738C"/>
    <w:rsid w:val="3EFA654C"/>
    <w:rsid w:val="3EFD640E"/>
    <w:rsid w:val="3F090164"/>
    <w:rsid w:val="3F0E573A"/>
    <w:rsid w:val="3F0F27A5"/>
    <w:rsid w:val="3F10444F"/>
    <w:rsid w:val="3F161276"/>
    <w:rsid w:val="3F1A5B96"/>
    <w:rsid w:val="3F2607F2"/>
    <w:rsid w:val="3F274E6E"/>
    <w:rsid w:val="3F2A53CF"/>
    <w:rsid w:val="3F2C4712"/>
    <w:rsid w:val="3F2F2F6D"/>
    <w:rsid w:val="3F337050"/>
    <w:rsid w:val="3F3523FC"/>
    <w:rsid w:val="3F3B1F7A"/>
    <w:rsid w:val="3F446367"/>
    <w:rsid w:val="3F475652"/>
    <w:rsid w:val="3F50196D"/>
    <w:rsid w:val="3F5367AA"/>
    <w:rsid w:val="3F550A35"/>
    <w:rsid w:val="3F654AAD"/>
    <w:rsid w:val="3F67797D"/>
    <w:rsid w:val="3F730C65"/>
    <w:rsid w:val="3F847967"/>
    <w:rsid w:val="3F9726CF"/>
    <w:rsid w:val="3F972F8E"/>
    <w:rsid w:val="3F987061"/>
    <w:rsid w:val="3FBA6568"/>
    <w:rsid w:val="3FD167FB"/>
    <w:rsid w:val="3FEA58F5"/>
    <w:rsid w:val="3FF23573"/>
    <w:rsid w:val="40005CF3"/>
    <w:rsid w:val="400426BB"/>
    <w:rsid w:val="400D6EDC"/>
    <w:rsid w:val="40182EF2"/>
    <w:rsid w:val="402444CF"/>
    <w:rsid w:val="40294DCA"/>
    <w:rsid w:val="402E6FC6"/>
    <w:rsid w:val="40323C13"/>
    <w:rsid w:val="404752D6"/>
    <w:rsid w:val="40512B37"/>
    <w:rsid w:val="405C3FEB"/>
    <w:rsid w:val="406B5F5C"/>
    <w:rsid w:val="407C04CE"/>
    <w:rsid w:val="4085748A"/>
    <w:rsid w:val="408D4F41"/>
    <w:rsid w:val="4090021E"/>
    <w:rsid w:val="40910B76"/>
    <w:rsid w:val="409E6F58"/>
    <w:rsid w:val="40B00FA5"/>
    <w:rsid w:val="40B01AAC"/>
    <w:rsid w:val="40B042F1"/>
    <w:rsid w:val="40B37F20"/>
    <w:rsid w:val="40B5465E"/>
    <w:rsid w:val="40B65B7E"/>
    <w:rsid w:val="40C35420"/>
    <w:rsid w:val="40C841B8"/>
    <w:rsid w:val="40CC7ACD"/>
    <w:rsid w:val="40D11506"/>
    <w:rsid w:val="40D42A18"/>
    <w:rsid w:val="40D47135"/>
    <w:rsid w:val="40ED7E84"/>
    <w:rsid w:val="40F051D3"/>
    <w:rsid w:val="40F1133D"/>
    <w:rsid w:val="410155B8"/>
    <w:rsid w:val="410774A3"/>
    <w:rsid w:val="4109772A"/>
    <w:rsid w:val="410A089A"/>
    <w:rsid w:val="410B1453"/>
    <w:rsid w:val="411351F9"/>
    <w:rsid w:val="411670B3"/>
    <w:rsid w:val="411F0AAF"/>
    <w:rsid w:val="4129472C"/>
    <w:rsid w:val="412965C2"/>
    <w:rsid w:val="412F0339"/>
    <w:rsid w:val="4134495B"/>
    <w:rsid w:val="41440527"/>
    <w:rsid w:val="414B778A"/>
    <w:rsid w:val="41564E17"/>
    <w:rsid w:val="415C622C"/>
    <w:rsid w:val="41641ADD"/>
    <w:rsid w:val="41682269"/>
    <w:rsid w:val="41760A9E"/>
    <w:rsid w:val="41791715"/>
    <w:rsid w:val="41813B9C"/>
    <w:rsid w:val="419619C9"/>
    <w:rsid w:val="41991BD6"/>
    <w:rsid w:val="419A1611"/>
    <w:rsid w:val="419D56B5"/>
    <w:rsid w:val="419F74D7"/>
    <w:rsid w:val="41A527B3"/>
    <w:rsid w:val="41B70B77"/>
    <w:rsid w:val="41B9691E"/>
    <w:rsid w:val="41CB10AB"/>
    <w:rsid w:val="41CE52EC"/>
    <w:rsid w:val="41CE5550"/>
    <w:rsid w:val="41D80A5D"/>
    <w:rsid w:val="41DD670E"/>
    <w:rsid w:val="41E43036"/>
    <w:rsid w:val="41E5738C"/>
    <w:rsid w:val="41EA5EF7"/>
    <w:rsid w:val="41F55C01"/>
    <w:rsid w:val="41FC4F9F"/>
    <w:rsid w:val="420427C3"/>
    <w:rsid w:val="4205397F"/>
    <w:rsid w:val="420C54E5"/>
    <w:rsid w:val="421440AF"/>
    <w:rsid w:val="42165DFF"/>
    <w:rsid w:val="421D50C4"/>
    <w:rsid w:val="421E7FB3"/>
    <w:rsid w:val="42255EFC"/>
    <w:rsid w:val="42335D52"/>
    <w:rsid w:val="423C54C8"/>
    <w:rsid w:val="4248223D"/>
    <w:rsid w:val="424D1647"/>
    <w:rsid w:val="42531560"/>
    <w:rsid w:val="42604F81"/>
    <w:rsid w:val="42620016"/>
    <w:rsid w:val="42624074"/>
    <w:rsid w:val="4268281E"/>
    <w:rsid w:val="426B2B5A"/>
    <w:rsid w:val="426F3A4E"/>
    <w:rsid w:val="4273437D"/>
    <w:rsid w:val="427502DB"/>
    <w:rsid w:val="427E10C5"/>
    <w:rsid w:val="42817E79"/>
    <w:rsid w:val="428A669A"/>
    <w:rsid w:val="429B35DA"/>
    <w:rsid w:val="42A93830"/>
    <w:rsid w:val="42AF431B"/>
    <w:rsid w:val="42B27EA8"/>
    <w:rsid w:val="42B30458"/>
    <w:rsid w:val="42CE4FF8"/>
    <w:rsid w:val="42E27297"/>
    <w:rsid w:val="4304779F"/>
    <w:rsid w:val="43177038"/>
    <w:rsid w:val="431A1333"/>
    <w:rsid w:val="431C1651"/>
    <w:rsid w:val="431D50EF"/>
    <w:rsid w:val="4335565E"/>
    <w:rsid w:val="4346520A"/>
    <w:rsid w:val="43527722"/>
    <w:rsid w:val="436400D0"/>
    <w:rsid w:val="43683994"/>
    <w:rsid w:val="437633E6"/>
    <w:rsid w:val="43767F82"/>
    <w:rsid w:val="437C2CA2"/>
    <w:rsid w:val="43802FEF"/>
    <w:rsid w:val="4385322B"/>
    <w:rsid w:val="439824FE"/>
    <w:rsid w:val="43987533"/>
    <w:rsid w:val="4399260A"/>
    <w:rsid w:val="439F1C10"/>
    <w:rsid w:val="43A72CBB"/>
    <w:rsid w:val="43B80779"/>
    <w:rsid w:val="43BC1FA4"/>
    <w:rsid w:val="43C16CF2"/>
    <w:rsid w:val="43CF2DA7"/>
    <w:rsid w:val="43E01318"/>
    <w:rsid w:val="43ED28C1"/>
    <w:rsid w:val="43F64E93"/>
    <w:rsid w:val="43FE6624"/>
    <w:rsid w:val="44006D87"/>
    <w:rsid w:val="44054841"/>
    <w:rsid w:val="440A22FD"/>
    <w:rsid w:val="440C7688"/>
    <w:rsid w:val="44126E47"/>
    <w:rsid w:val="441B68EB"/>
    <w:rsid w:val="44291367"/>
    <w:rsid w:val="442A4DF1"/>
    <w:rsid w:val="442F5109"/>
    <w:rsid w:val="44315F02"/>
    <w:rsid w:val="4432164B"/>
    <w:rsid w:val="443A2AAE"/>
    <w:rsid w:val="443A5B72"/>
    <w:rsid w:val="443B086C"/>
    <w:rsid w:val="44402C79"/>
    <w:rsid w:val="44410A30"/>
    <w:rsid w:val="44411A18"/>
    <w:rsid w:val="4450559A"/>
    <w:rsid w:val="445203EA"/>
    <w:rsid w:val="445B47DD"/>
    <w:rsid w:val="446A22DA"/>
    <w:rsid w:val="446B2EB4"/>
    <w:rsid w:val="446D7BA1"/>
    <w:rsid w:val="447C513F"/>
    <w:rsid w:val="44836882"/>
    <w:rsid w:val="44901A33"/>
    <w:rsid w:val="44903B5A"/>
    <w:rsid w:val="44907473"/>
    <w:rsid w:val="44954994"/>
    <w:rsid w:val="44A316C8"/>
    <w:rsid w:val="44A7420D"/>
    <w:rsid w:val="44B729C2"/>
    <w:rsid w:val="44BF042B"/>
    <w:rsid w:val="44CE5E8C"/>
    <w:rsid w:val="44D97154"/>
    <w:rsid w:val="44DE1A27"/>
    <w:rsid w:val="44E46FD0"/>
    <w:rsid w:val="44EE5A5E"/>
    <w:rsid w:val="44F83CD2"/>
    <w:rsid w:val="44FE50BA"/>
    <w:rsid w:val="44FF24A8"/>
    <w:rsid w:val="45046B05"/>
    <w:rsid w:val="451355EC"/>
    <w:rsid w:val="452011F6"/>
    <w:rsid w:val="45281C71"/>
    <w:rsid w:val="452934D8"/>
    <w:rsid w:val="452E036A"/>
    <w:rsid w:val="453218C5"/>
    <w:rsid w:val="453C5815"/>
    <w:rsid w:val="455574B8"/>
    <w:rsid w:val="45680373"/>
    <w:rsid w:val="456C7300"/>
    <w:rsid w:val="456F43DE"/>
    <w:rsid w:val="45776664"/>
    <w:rsid w:val="457940A6"/>
    <w:rsid w:val="457A1ECA"/>
    <w:rsid w:val="457D34F1"/>
    <w:rsid w:val="458541BD"/>
    <w:rsid w:val="458B4D2B"/>
    <w:rsid w:val="458D69E5"/>
    <w:rsid w:val="45912324"/>
    <w:rsid w:val="45966CBA"/>
    <w:rsid w:val="4598492F"/>
    <w:rsid w:val="45A06E80"/>
    <w:rsid w:val="45A945D3"/>
    <w:rsid w:val="45AA7B6E"/>
    <w:rsid w:val="45AC0EEE"/>
    <w:rsid w:val="45B20981"/>
    <w:rsid w:val="45B94AFE"/>
    <w:rsid w:val="45B957A2"/>
    <w:rsid w:val="45C40638"/>
    <w:rsid w:val="45CA231C"/>
    <w:rsid w:val="45D71242"/>
    <w:rsid w:val="45D93C6A"/>
    <w:rsid w:val="45DC432C"/>
    <w:rsid w:val="45E67EF6"/>
    <w:rsid w:val="45E70B25"/>
    <w:rsid w:val="45F569E8"/>
    <w:rsid w:val="460643E2"/>
    <w:rsid w:val="460F79EE"/>
    <w:rsid w:val="46262FF3"/>
    <w:rsid w:val="462D3CE1"/>
    <w:rsid w:val="46303477"/>
    <w:rsid w:val="46306150"/>
    <w:rsid w:val="463514B0"/>
    <w:rsid w:val="463A4A5E"/>
    <w:rsid w:val="464269DB"/>
    <w:rsid w:val="464314E9"/>
    <w:rsid w:val="46673A87"/>
    <w:rsid w:val="46791A90"/>
    <w:rsid w:val="4679265E"/>
    <w:rsid w:val="46850306"/>
    <w:rsid w:val="46893C27"/>
    <w:rsid w:val="468B1E0C"/>
    <w:rsid w:val="46910167"/>
    <w:rsid w:val="46995C0D"/>
    <w:rsid w:val="469C36A3"/>
    <w:rsid w:val="469C56FF"/>
    <w:rsid w:val="46A309D4"/>
    <w:rsid w:val="46AE6881"/>
    <w:rsid w:val="46B66C55"/>
    <w:rsid w:val="46B94C23"/>
    <w:rsid w:val="46BC28C7"/>
    <w:rsid w:val="46C15C51"/>
    <w:rsid w:val="46CE3004"/>
    <w:rsid w:val="46D12141"/>
    <w:rsid w:val="46DC072F"/>
    <w:rsid w:val="46DF36EB"/>
    <w:rsid w:val="46F77CFE"/>
    <w:rsid w:val="46FF32C9"/>
    <w:rsid w:val="47041E3C"/>
    <w:rsid w:val="47170EB7"/>
    <w:rsid w:val="4720754A"/>
    <w:rsid w:val="47301F06"/>
    <w:rsid w:val="473F25DB"/>
    <w:rsid w:val="476C4AB7"/>
    <w:rsid w:val="477A679B"/>
    <w:rsid w:val="478606DB"/>
    <w:rsid w:val="4794003E"/>
    <w:rsid w:val="479F64D2"/>
    <w:rsid w:val="47A45BB9"/>
    <w:rsid w:val="47AA7E9E"/>
    <w:rsid w:val="47AD4DF8"/>
    <w:rsid w:val="47B03DE2"/>
    <w:rsid w:val="47B07B56"/>
    <w:rsid w:val="47B86AD9"/>
    <w:rsid w:val="47BA0AEE"/>
    <w:rsid w:val="47CD5D00"/>
    <w:rsid w:val="47E115FD"/>
    <w:rsid w:val="47F36237"/>
    <w:rsid w:val="480834B2"/>
    <w:rsid w:val="48125F22"/>
    <w:rsid w:val="4824360A"/>
    <w:rsid w:val="482D5ADD"/>
    <w:rsid w:val="48334FFC"/>
    <w:rsid w:val="484463AC"/>
    <w:rsid w:val="48474116"/>
    <w:rsid w:val="485045BE"/>
    <w:rsid w:val="48544B5C"/>
    <w:rsid w:val="485958D4"/>
    <w:rsid w:val="487B389A"/>
    <w:rsid w:val="48832382"/>
    <w:rsid w:val="4887207D"/>
    <w:rsid w:val="4887794E"/>
    <w:rsid w:val="488E6F84"/>
    <w:rsid w:val="489E490B"/>
    <w:rsid w:val="489F51DC"/>
    <w:rsid w:val="48A50AFF"/>
    <w:rsid w:val="48A95239"/>
    <w:rsid w:val="48D53983"/>
    <w:rsid w:val="48D6360E"/>
    <w:rsid w:val="48ED3B80"/>
    <w:rsid w:val="48F439EB"/>
    <w:rsid w:val="48F5736F"/>
    <w:rsid w:val="48FB08F9"/>
    <w:rsid w:val="49093E22"/>
    <w:rsid w:val="490B76BE"/>
    <w:rsid w:val="49340F29"/>
    <w:rsid w:val="493427A2"/>
    <w:rsid w:val="494B11A9"/>
    <w:rsid w:val="494D35C9"/>
    <w:rsid w:val="49596EFE"/>
    <w:rsid w:val="49724177"/>
    <w:rsid w:val="4974141B"/>
    <w:rsid w:val="497677C2"/>
    <w:rsid w:val="49836E32"/>
    <w:rsid w:val="498A1756"/>
    <w:rsid w:val="499A0573"/>
    <w:rsid w:val="499D2F05"/>
    <w:rsid w:val="49A9334B"/>
    <w:rsid w:val="49AC2311"/>
    <w:rsid w:val="49AC659A"/>
    <w:rsid w:val="49BB686F"/>
    <w:rsid w:val="49DC75A1"/>
    <w:rsid w:val="49E5723C"/>
    <w:rsid w:val="49F045AF"/>
    <w:rsid w:val="49F64012"/>
    <w:rsid w:val="4A0816B8"/>
    <w:rsid w:val="4A22776F"/>
    <w:rsid w:val="4A2840A4"/>
    <w:rsid w:val="4A3B2F1F"/>
    <w:rsid w:val="4A3C6809"/>
    <w:rsid w:val="4A3D6CD9"/>
    <w:rsid w:val="4A3F7216"/>
    <w:rsid w:val="4A5245A8"/>
    <w:rsid w:val="4A5938AF"/>
    <w:rsid w:val="4A6C41C4"/>
    <w:rsid w:val="4A710A69"/>
    <w:rsid w:val="4A7329BE"/>
    <w:rsid w:val="4A7400E8"/>
    <w:rsid w:val="4A76719A"/>
    <w:rsid w:val="4A776B2C"/>
    <w:rsid w:val="4A8A06BA"/>
    <w:rsid w:val="4A8F2152"/>
    <w:rsid w:val="4A955A81"/>
    <w:rsid w:val="4A9A281F"/>
    <w:rsid w:val="4A9D1F83"/>
    <w:rsid w:val="4A9D65DA"/>
    <w:rsid w:val="4AA04333"/>
    <w:rsid w:val="4AAB622A"/>
    <w:rsid w:val="4AB00B96"/>
    <w:rsid w:val="4AB94789"/>
    <w:rsid w:val="4AC90383"/>
    <w:rsid w:val="4ACA2631"/>
    <w:rsid w:val="4ACB504B"/>
    <w:rsid w:val="4ADF11E7"/>
    <w:rsid w:val="4AE8762A"/>
    <w:rsid w:val="4AF47595"/>
    <w:rsid w:val="4AF644E2"/>
    <w:rsid w:val="4AF96D8D"/>
    <w:rsid w:val="4B08392C"/>
    <w:rsid w:val="4B0F4FEC"/>
    <w:rsid w:val="4B123371"/>
    <w:rsid w:val="4B132275"/>
    <w:rsid w:val="4B1A6179"/>
    <w:rsid w:val="4B294992"/>
    <w:rsid w:val="4B2C0E3A"/>
    <w:rsid w:val="4B2C27DF"/>
    <w:rsid w:val="4B2C7104"/>
    <w:rsid w:val="4B380534"/>
    <w:rsid w:val="4B445108"/>
    <w:rsid w:val="4B492A9F"/>
    <w:rsid w:val="4B581A53"/>
    <w:rsid w:val="4B660237"/>
    <w:rsid w:val="4B742295"/>
    <w:rsid w:val="4B7F5CAB"/>
    <w:rsid w:val="4B885339"/>
    <w:rsid w:val="4B8E0339"/>
    <w:rsid w:val="4B8F4604"/>
    <w:rsid w:val="4B952A62"/>
    <w:rsid w:val="4B961E4F"/>
    <w:rsid w:val="4BA32D63"/>
    <w:rsid w:val="4BAB2E0E"/>
    <w:rsid w:val="4BB14AA4"/>
    <w:rsid w:val="4BC6280E"/>
    <w:rsid w:val="4BDE687A"/>
    <w:rsid w:val="4BE72FE6"/>
    <w:rsid w:val="4BFF03FA"/>
    <w:rsid w:val="4C08787E"/>
    <w:rsid w:val="4C0B00FE"/>
    <w:rsid w:val="4C0E36C3"/>
    <w:rsid w:val="4C122472"/>
    <w:rsid w:val="4C182B8D"/>
    <w:rsid w:val="4C187C37"/>
    <w:rsid w:val="4C196A90"/>
    <w:rsid w:val="4C1F1A34"/>
    <w:rsid w:val="4C2B4B5F"/>
    <w:rsid w:val="4C2B506E"/>
    <w:rsid w:val="4C332857"/>
    <w:rsid w:val="4C3D2AD8"/>
    <w:rsid w:val="4C4203E1"/>
    <w:rsid w:val="4C435D37"/>
    <w:rsid w:val="4C453AAD"/>
    <w:rsid w:val="4C527768"/>
    <w:rsid w:val="4C537C95"/>
    <w:rsid w:val="4C59607D"/>
    <w:rsid w:val="4C5F6870"/>
    <w:rsid w:val="4C632B79"/>
    <w:rsid w:val="4C676441"/>
    <w:rsid w:val="4C6B4A69"/>
    <w:rsid w:val="4C6D64EA"/>
    <w:rsid w:val="4C736028"/>
    <w:rsid w:val="4C787D2A"/>
    <w:rsid w:val="4C7F7B0D"/>
    <w:rsid w:val="4C831C01"/>
    <w:rsid w:val="4C874DA2"/>
    <w:rsid w:val="4C8B5FB5"/>
    <w:rsid w:val="4C9011D9"/>
    <w:rsid w:val="4C9461AE"/>
    <w:rsid w:val="4C96461A"/>
    <w:rsid w:val="4CAA31AC"/>
    <w:rsid w:val="4CC239B6"/>
    <w:rsid w:val="4CC64ACE"/>
    <w:rsid w:val="4CCE46FA"/>
    <w:rsid w:val="4CDE45EF"/>
    <w:rsid w:val="4CDF7722"/>
    <w:rsid w:val="4CE339C6"/>
    <w:rsid w:val="4CE61E88"/>
    <w:rsid w:val="4CE710FA"/>
    <w:rsid w:val="4CEC763D"/>
    <w:rsid w:val="4CF17EAE"/>
    <w:rsid w:val="4CF27784"/>
    <w:rsid w:val="4CF567F8"/>
    <w:rsid w:val="4D041AA6"/>
    <w:rsid w:val="4D052D64"/>
    <w:rsid w:val="4D064329"/>
    <w:rsid w:val="4D064C84"/>
    <w:rsid w:val="4D0F3296"/>
    <w:rsid w:val="4D194886"/>
    <w:rsid w:val="4D1B46E4"/>
    <w:rsid w:val="4D1E5822"/>
    <w:rsid w:val="4D3325F8"/>
    <w:rsid w:val="4D3839E8"/>
    <w:rsid w:val="4D3D3241"/>
    <w:rsid w:val="4D406E15"/>
    <w:rsid w:val="4D41031C"/>
    <w:rsid w:val="4D453329"/>
    <w:rsid w:val="4D457215"/>
    <w:rsid w:val="4D533370"/>
    <w:rsid w:val="4D581623"/>
    <w:rsid w:val="4D5F20C0"/>
    <w:rsid w:val="4D6011F2"/>
    <w:rsid w:val="4D7E4C47"/>
    <w:rsid w:val="4D830683"/>
    <w:rsid w:val="4D883252"/>
    <w:rsid w:val="4D9A0E46"/>
    <w:rsid w:val="4DA61FFB"/>
    <w:rsid w:val="4DAC3519"/>
    <w:rsid w:val="4DAD3896"/>
    <w:rsid w:val="4DB11D61"/>
    <w:rsid w:val="4DB14778"/>
    <w:rsid w:val="4DB854FA"/>
    <w:rsid w:val="4DD16E64"/>
    <w:rsid w:val="4DDC5339"/>
    <w:rsid w:val="4DEC2A46"/>
    <w:rsid w:val="4DF46A1A"/>
    <w:rsid w:val="4DF73E97"/>
    <w:rsid w:val="4DFC11F0"/>
    <w:rsid w:val="4DFD47E4"/>
    <w:rsid w:val="4E073475"/>
    <w:rsid w:val="4E0B2CE4"/>
    <w:rsid w:val="4E1374ED"/>
    <w:rsid w:val="4E1B55DF"/>
    <w:rsid w:val="4E2B229A"/>
    <w:rsid w:val="4E4D11B1"/>
    <w:rsid w:val="4E4E2D4C"/>
    <w:rsid w:val="4E4F402D"/>
    <w:rsid w:val="4E4F6A7A"/>
    <w:rsid w:val="4E51298A"/>
    <w:rsid w:val="4E5168C8"/>
    <w:rsid w:val="4E520E84"/>
    <w:rsid w:val="4E5A358E"/>
    <w:rsid w:val="4E6B00F6"/>
    <w:rsid w:val="4E830DDC"/>
    <w:rsid w:val="4E9900AA"/>
    <w:rsid w:val="4EA04B4B"/>
    <w:rsid w:val="4EB120A2"/>
    <w:rsid w:val="4EB23A1B"/>
    <w:rsid w:val="4EB75BF4"/>
    <w:rsid w:val="4EC47820"/>
    <w:rsid w:val="4ECA7014"/>
    <w:rsid w:val="4ED33E92"/>
    <w:rsid w:val="4EDC089B"/>
    <w:rsid w:val="4EDD3A15"/>
    <w:rsid w:val="4EDD43CF"/>
    <w:rsid w:val="4EDE4396"/>
    <w:rsid w:val="4EE87002"/>
    <w:rsid w:val="4F0547E3"/>
    <w:rsid w:val="4F0B09D4"/>
    <w:rsid w:val="4F162D7C"/>
    <w:rsid w:val="4F2E30ED"/>
    <w:rsid w:val="4F3A1B51"/>
    <w:rsid w:val="4F4F72FE"/>
    <w:rsid w:val="4F603EF5"/>
    <w:rsid w:val="4F6B2C51"/>
    <w:rsid w:val="4F6C2BBD"/>
    <w:rsid w:val="4F8066A8"/>
    <w:rsid w:val="4F830365"/>
    <w:rsid w:val="4F8658F0"/>
    <w:rsid w:val="4F9A08E7"/>
    <w:rsid w:val="4F9E519E"/>
    <w:rsid w:val="4FA05D8E"/>
    <w:rsid w:val="4FA83AD2"/>
    <w:rsid w:val="4FAD42AA"/>
    <w:rsid w:val="4FB21638"/>
    <w:rsid w:val="4FB9663C"/>
    <w:rsid w:val="4FC339EC"/>
    <w:rsid w:val="4FD540C0"/>
    <w:rsid w:val="4FD5701A"/>
    <w:rsid w:val="4FDF0AD5"/>
    <w:rsid w:val="4FE50974"/>
    <w:rsid w:val="501E0921"/>
    <w:rsid w:val="50297F65"/>
    <w:rsid w:val="503A70F7"/>
    <w:rsid w:val="50404618"/>
    <w:rsid w:val="5050691B"/>
    <w:rsid w:val="50623407"/>
    <w:rsid w:val="506E779A"/>
    <w:rsid w:val="507B57E8"/>
    <w:rsid w:val="5080227A"/>
    <w:rsid w:val="508371BF"/>
    <w:rsid w:val="509D3337"/>
    <w:rsid w:val="50A80D1B"/>
    <w:rsid w:val="50B02635"/>
    <w:rsid w:val="50BD5718"/>
    <w:rsid w:val="50C27949"/>
    <w:rsid w:val="50C83905"/>
    <w:rsid w:val="50CA67D3"/>
    <w:rsid w:val="50CA725F"/>
    <w:rsid w:val="50CB3390"/>
    <w:rsid w:val="50D07531"/>
    <w:rsid w:val="50DD09DD"/>
    <w:rsid w:val="50DD7E3C"/>
    <w:rsid w:val="50DE6939"/>
    <w:rsid w:val="50E94E1B"/>
    <w:rsid w:val="50F94C73"/>
    <w:rsid w:val="51030B98"/>
    <w:rsid w:val="511516CE"/>
    <w:rsid w:val="5121093D"/>
    <w:rsid w:val="513D363B"/>
    <w:rsid w:val="51537415"/>
    <w:rsid w:val="51561F92"/>
    <w:rsid w:val="515A7E8C"/>
    <w:rsid w:val="515D1E3F"/>
    <w:rsid w:val="516B5B0C"/>
    <w:rsid w:val="517D36A3"/>
    <w:rsid w:val="51810815"/>
    <w:rsid w:val="518710A0"/>
    <w:rsid w:val="518E6BE8"/>
    <w:rsid w:val="51957794"/>
    <w:rsid w:val="51981FA0"/>
    <w:rsid w:val="51982BE6"/>
    <w:rsid w:val="519B5EF7"/>
    <w:rsid w:val="519C3FE2"/>
    <w:rsid w:val="519C674F"/>
    <w:rsid w:val="519D6CF8"/>
    <w:rsid w:val="51A3185D"/>
    <w:rsid w:val="51A72C4A"/>
    <w:rsid w:val="51B2690F"/>
    <w:rsid w:val="51BB5D1A"/>
    <w:rsid w:val="51CD5D3C"/>
    <w:rsid w:val="51CE630D"/>
    <w:rsid w:val="51D64CE8"/>
    <w:rsid w:val="51E83BF3"/>
    <w:rsid w:val="51F01A84"/>
    <w:rsid w:val="5201376D"/>
    <w:rsid w:val="520645A0"/>
    <w:rsid w:val="521332FE"/>
    <w:rsid w:val="522512CA"/>
    <w:rsid w:val="522E228B"/>
    <w:rsid w:val="523F6E76"/>
    <w:rsid w:val="52470543"/>
    <w:rsid w:val="524D607F"/>
    <w:rsid w:val="52553C38"/>
    <w:rsid w:val="52660935"/>
    <w:rsid w:val="5269466F"/>
    <w:rsid w:val="526A729E"/>
    <w:rsid w:val="527A4CE0"/>
    <w:rsid w:val="52865775"/>
    <w:rsid w:val="528F1942"/>
    <w:rsid w:val="52986B1F"/>
    <w:rsid w:val="52991226"/>
    <w:rsid w:val="52A17636"/>
    <w:rsid w:val="52A71FBA"/>
    <w:rsid w:val="52A74057"/>
    <w:rsid w:val="52B957B0"/>
    <w:rsid w:val="52BF7777"/>
    <w:rsid w:val="52C0445A"/>
    <w:rsid w:val="52CC1EC6"/>
    <w:rsid w:val="52D1533F"/>
    <w:rsid w:val="52DF05BD"/>
    <w:rsid w:val="52DF5381"/>
    <w:rsid w:val="52EA2FE3"/>
    <w:rsid w:val="52EA45DE"/>
    <w:rsid w:val="52EC0D6C"/>
    <w:rsid w:val="52FF2210"/>
    <w:rsid w:val="52FF7E1C"/>
    <w:rsid w:val="531F21A8"/>
    <w:rsid w:val="531F570F"/>
    <w:rsid w:val="53272E57"/>
    <w:rsid w:val="532C2A05"/>
    <w:rsid w:val="532C7082"/>
    <w:rsid w:val="532C787F"/>
    <w:rsid w:val="53410A31"/>
    <w:rsid w:val="53484382"/>
    <w:rsid w:val="53583E05"/>
    <w:rsid w:val="535C04FA"/>
    <w:rsid w:val="535D5A65"/>
    <w:rsid w:val="539F46FF"/>
    <w:rsid w:val="53B372CB"/>
    <w:rsid w:val="53B4788F"/>
    <w:rsid w:val="53B64C77"/>
    <w:rsid w:val="53B75A2D"/>
    <w:rsid w:val="53BA42CF"/>
    <w:rsid w:val="53C45AFE"/>
    <w:rsid w:val="53D56E3A"/>
    <w:rsid w:val="53DE3D27"/>
    <w:rsid w:val="53DF56E0"/>
    <w:rsid w:val="53ED7744"/>
    <w:rsid w:val="53EF2C26"/>
    <w:rsid w:val="53F0023F"/>
    <w:rsid w:val="53F172C6"/>
    <w:rsid w:val="54042977"/>
    <w:rsid w:val="54296EB3"/>
    <w:rsid w:val="542F7023"/>
    <w:rsid w:val="543460D6"/>
    <w:rsid w:val="5436221C"/>
    <w:rsid w:val="543A349B"/>
    <w:rsid w:val="54410F2C"/>
    <w:rsid w:val="54484D2C"/>
    <w:rsid w:val="545C4F00"/>
    <w:rsid w:val="546A1AA1"/>
    <w:rsid w:val="549213D0"/>
    <w:rsid w:val="549314BB"/>
    <w:rsid w:val="549766DC"/>
    <w:rsid w:val="549B16CA"/>
    <w:rsid w:val="549E30F2"/>
    <w:rsid w:val="549E3669"/>
    <w:rsid w:val="54A9095B"/>
    <w:rsid w:val="54C65C19"/>
    <w:rsid w:val="54CC3FFE"/>
    <w:rsid w:val="54D23922"/>
    <w:rsid w:val="54D40499"/>
    <w:rsid w:val="54D87E66"/>
    <w:rsid w:val="54DC5E90"/>
    <w:rsid w:val="54DC795B"/>
    <w:rsid w:val="54DF6F4D"/>
    <w:rsid w:val="54F04552"/>
    <w:rsid w:val="54F94C4A"/>
    <w:rsid w:val="550A6474"/>
    <w:rsid w:val="551235AE"/>
    <w:rsid w:val="55181796"/>
    <w:rsid w:val="551C1C26"/>
    <w:rsid w:val="551E661E"/>
    <w:rsid w:val="55207C7E"/>
    <w:rsid w:val="552F4F7D"/>
    <w:rsid w:val="55443E23"/>
    <w:rsid w:val="555D6862"/>
    <w:rsid w:val="55635C4E"/>
    <w:rsid w:val="556A7869"/>
    <w:rsid w:val="55771D28"/>
    <w:rsid w:val="557E2337"/>
    <w:rsid w:val="558616A4"/>
    <w:rsid w:val="5593740E"/>
    <w:rsid w:val="55947FBD"/>
    <w:rsid w:val="55982D9B"/>
    <w:rsid w:val="559A475F"/>
    <w:rsid w:val="559E5019"/>
    <w:rsid w:val="55A624BA"/>
    <w:rsid w:val="55C142CD"/>
    <w:rsid w:val="55CF02B0"/>
    <w:rsid w:val="55CF4498"/>
    <w:rsid w:val="55D1752D"/>
    <w:rsid w:val="55D25CF1"/>
    <w:rsid w:val="55D318CC"/>
    <w:rsid w:val="55E00C40"/>
    <w:rsid w:val="55EF31C9"/>
    <w:rsid w:val="55EF3F59"/>
    <w:rsid w:val="560113DE"/>
    <w:rsid w:val="561929E5"/>
    <w:rsid w:val="561E2B99"/>
    <w:rsid w:val="56271340"/>
    <w:rsid w:val="562B0D14"/>
    <w:rsid w:val="562B3DAD"/>
    <w:rsid w:val="562E682D"/>
    <w:rsid w:val="563027EE"/>
    <w:rsid w:val="56403B11"/>
    <w:rsid w:val="565B047F"/>
    <w:rsid w:val="565F4CE8"/>
    <w:rsid w:val="56725DF6"/>
    <w:rsid w:val="569018F9"/>
    <w:rsid w:val="56997261"/>
    <w:rsid w:val="56A40A43"/>
    <w:rsid w:val="56AD7225"/>
    <w:rsid w:val="56AF3251"/>
    <w:rsid w:val="56BA2DEC"/>
    <w:rsid w:val="56C37F1E"/>
    <w:rsid w:val="56D41BE3"/>
    <w:rsid w:val="56D735F8"/>
    <w:rsid w:val="56E46014"/>
    <w:rsid w:val="56E54F8C"/>
    <w:rsid w:val="56EA1B84"/>
    <w:rsid w:val="56EB03C8"/>
    <w:rsid w:val="56F44C51"/>
    <w:rsid w:val="56F75661"/>
    <w:rsid w:val="56F85359"/>
    <w:rsid w:val="56FB11B4"/>
    <w:rsid w:val="570522F7"/>
    <w:rsid w:val="57076E0A"/>
    <w:rsid w:val="57092805"/>
    <w:rsid w:val="570A4069"/>
    <w:rsid w:val="570B5465"/>
    <w:rsid w:val="570C41AA"/>
    <w:rsid w:val="570F2207"/>
    <w:rsid w:val="571D1297"/>
    <w:rsid w:val="57260714"/>
    <w:rsid w:val="572B1706"/>
    <w:rsid w:val="573554DD"/>
    <w:rsid w:val="57366944"/>
    <w:rsid w:val="57441774"/>
    <w:rsid w:val="57461497"/>
    <w:rsid w:val="574B6197"/>
    <w:rsid w:val="57573EEE"/>
    <w:rsid w:val="575D118C"/>
    <w:rsid w:val="57621635"/>
    <w:rsid w:val="57664612"/>
    <w:rsid w:val="576D7C51"/>
    <w:rsid w:val="576F303F"/>
    <w:rsid w:val="576F77F0"/>
    <w:rsid w:val="57761FCB"/>
    <w:rsid w:val="5778476A"/>
    <w:rsid w:val="577E74A0"/>
    <w:rsid w:val="5786205A"/>
    <w:rsid w:val="578E4CD4"/>
    <w:rsid w:val="57A452B1"/>
    <w:rsid w:val="57BD3931"/>
    <w:rsid w:val="57BE4499"/>
    <w:rsid w:val="57C12054"/>
    <w:rsid w:val="57C4648B"/>
    <w:rsid w:val="57CD2AF8"/>
    <w:rsid w:val="57DA59E4"/>
    <w:rsid w:val="57DE1995"/>
    <w:rsid w:val="57E6226D"/>
    <w:rsid w:val="57F22EC9"/>
    <w:rsid w:val="57F23A46"/>
    <w:rsid w:val="581D642B"/>
    <w:rsid w:val="583071FF"/>
    <w:rsid w:val="583F0DC6"/>
    <w:rsid w:val="585647C0"/>
    <w:rsid w:val="585843A6"/>
    <w:rsid w:val="586306A3"/>
    <w:rsid w:val="587D7895"/>
    <w:rsid w:val="58870AF9"/>
    <w:rsid w:val="58976218"/>
    <w:rsid w:val="589F323B"/>
    <w:rsid w:val="58A35B10"/>
    <w:rsid w:val="58AA09CD"/>
    <w:rsid w:val="58B51926"/>
    <w:rsid w:val="58C1524D"/>
    <w:rsid w:val="58C210C6"/>
    <w:rsid w:val="58C84AF7"/>
    <w:rsid w:val="58D97C0C"/>
    <w:rsid w:val="58DA4411"/>
    <w:rsid w:val="58E05700"/>
    <w:rsid w:val="58E35BB3"/>
    <w:rsid w:val="58F27422"/>
    <w:rsid w:val="58F93EC4"/>
    <w:rsid w:val="58FC70BB"/>
    <w:rsid w:val="58FD7B78"/>
    <w:rsid w:val="59046D57"/>
    <w:rsid w:val="59096784"/>
    <w:rsid w:val="591700EB"/>
    <w:rsid w:val="591718F5"/>
    <w:rsid w:val="592A70B7"/>
    <w:rsid w:val="59444AF8"/>
    <w:rsid w:val="5947060A"/>
    <w:rsid w:val="59490ED1"/>
    <w:rsid w:val="594A63F3"/>
    <w:rsid w:val="594C46E9"/>
    <w:rsid w:val="5955598A"/>
    <w:rsid w:val="59555C6B"/>
    <w:rsid w:val="595A3E25"/>
    <w:rsid w:val="59654B4D"/>
    <w:rsid w:val="59657DFE"/>
    <w:rsid w:val="59790A94"/>
    <w:rsid w:val="5979616B"/>
    <w:rsid w:val="59893505"/>
    <w:rsid w:val="598E0B1A"/>
    <w:rsid w:val="599337D0"/>
    <w:rsid w:val="59B36177"/>
    <w:rsid w:val="59B52852"/>
    <w:rsid w:val="59BA5280"/>
    <w:rsid w:val="59BB0C83"/>
    <w:rsid w:val="59C14A02"/>
    <w:rsid w:val="59D34A06"/>
    <w:rsid w:val="59F245D7"/>
    <w:rsid w:val="59FA511A"/>
    <w:rsid w:val="59FB15CB"/>
    <w:rsid w:val="59FF21D2"/>
    <w:rsid w:val="5A012F28"/>
    <w:rsid w:val="5A015703"/>
    <w:rsid w:val="5A053760"/>
    <w:rsid w:val="5A063AA5"/>
    <w:rsid w:val="5A103A25"/>
    <w:rsid w:val="5A21419D"/>
    <w:rsid w:val="5A295657"/>
    <w:rsid w:val="5A2E4B8B"/>
    <w:rsid w:val="5A334BAD"/>
    <w:rsid w:val="5A355E42"/>
    <w:rsid w:val="5A361621"/>
    <w:rsid w:val="5A371867"/>
    <w:rsid w:val="5A3E63AF"/>
    <w:rsid w:val="5A3F0923"/>
    <w:rsid w:val="5A4B2057"/>
    <w:rsid w:val="5A5C034D"/>
    <w:rsid w:val="5A5D34F4"/>
    <w:rsid w:val="5A60115E"/>
    <w:rsid w:val="5A662123"/>
    <w:rsid w:val="5A6C32E3"/>
    <w:rsid w:val="5A6F6E1B"/>
    <w:rsid w:val="5A9E1205"/>
    <w:rsid w:val="5AA53588"/>
    <w:rsid w:val="5AB400EF"/>
    <w:rsid w:val="5ABC6336"/>
    <w:rsid w:val="5ABE7EDD"/>
    <w:rsid w:val="5AC05358"/>
    <w:rsid w:val="5ACE1FAB"/>
    <w:rsid w:val="5AE716B0"/>
    <w:rsid w:val="5AEA1EA4"/>
    <w:rsid w:val="5AFD7335"/>
    <w:rsid w:val="5B0309A8"/>
    <w:rsid w:val="5B2D159F"/>
    <w:rsid w:val="5B335568"/>
    <w:rsid w:val="5B3C137F"/>
    <w:rsid w:val="5B5636FE"/>
    <w:rsid w:val="5B673F81"/>
    <w:rsid w:val="5B6A2C9C"/>
    <w:rsid w:val="5B744C88"/>
    <w:rsid w:val="5B792F1A"/>
    <w:rsid w:val="5B867FB2"/>
    <w:rsid w:val="5B9A320E"/>
    <w:rsid w:val="5BAF562F"/>
    <w:rsid w:val="5BB333DF"/>
    <w:rsid w:val="5BCC0DCA"/>
    <w:rsid w:val="5BD76F83"/>
    <w:rsid w:val="5BF00198"/>
    <w:rsid w:val="5BF34E1D"/>
    <w:rsid w:val="5BF4126E"/>
    <w:rsid w:val="5BF72B36"/>
    <w:rsid w:val="5C1823D5"/>
    <w:rsid w:val="5C1E03B8"/>
    <w:rsid w:val="5C226C5C"/>
    <w:rsid w:val="5C287C5B"/>
    <w:rsid w:val="5C2C1A60"/>
    <w:rsid w:val="5C354E20"/>
    <w:rsid w:val="5C405011"/>
    <w:rsid w:val="5C423568"/>
    <w:rsid w:val="5C43578B"/>
    <w:rsid w:val="5C4661AC"/>
    <w:rsid w:val="5C48236C"/>
    <w:rsid w:val="5C4C2AB0"/>
    <w:rsid w:val="5C4D2D74"/>
    <w:rsid w:val="5C4E0727"/>
    <w:rsid w:val="5C4F553D"/>
    <w:rsid w:val="5C601722"/>
    <w:rsid w:val="5C6C5318"/>
    <w:rsid w:val="5C6E6972"/>
    <w:rsid w:val="5C733C13"/>
    <w:rsid w:val="5C821164"/>
    <w:rsid w:val="5C840DC4"/>
    <w:rsid w:val="5C844C42"/>
    <w:rsid w:val="5C864663"/>
    <w:rsid w:val="5C8A6576"/>
    <w:rsid w:val="5C8E1501"/>
    <w:rsid w:val="5C954B5A"/>
    <w:rsid w:val="5CA0404E"/>
    <w:rsid w:val="5CB432EE"/>
    <w:rsid w:val="5CB727D6"/>
    <w:rsid w:val="5CBB6D89"/>
    <w:rsid w:val="5CCD0685"/>
    <w:rsid w:val="5CCD53EF"/>
    <w:rsid w:val="5CE10DD1"/>
    <w:rsid w:val="5CE438F5"/>
    <w:rsid w:val="5CEB275D"/>
    <w:rsid w:val="5CF27F01"/>
    <w:rsid w:val="5CFB46B1"/>
    <w:rsid w:val="5D017C52"/>
    <w:rsid w:val="5D153648"/>
    <w:rsid w:val="5D162F5A"/>
    <w:rsid w:val="5D266726"/>
    <w:rsid w:val="5D2B6AC0"/>
    <w:rsid w:val="5D2C4CD9"/>
    <w:rsid w:val="5D2F1076"/>
    <w:rsid w:val="5D301692"/>
    <w:rsid w:val="5D304C48"/>
    <w:rsid w:val="5D367D4F"/>
    <w:rsid w:val="5D37304D"/>
    <w:rsid w:val="5D3D192C"/>
    <w:rsid w:val="5D463975"/>
    <w:rsid w:val="5D4919AF"/>
    <w:rsid w:val="5D4B31BC"/>
    <w:rsid w:val="5D69518D"/>
    <w:rsid w:val="5D733FFB"/>
    <w:rsid w:val="5D7B649B"/>
    <w:rsid w:val="5D7D4226"/>
    <w:rsid w:val="5D835246"/>
    <w:rsid w:val="5D8745C5"/>
    <w:rsid w:val="5D8C39D1"/>
    <w:rsid w:val="5D970385"/>
    <w:rsid w:val="5D9A7811"/>
    <w:rsid w:val="5D9C449F"/>
    <w:rsid w:val="5D9F77EC"/>
    <w:rsid w:val="5DB37B97"/>
    <w:rsid w:val="5DBB6D0D"/>
    <w:rsid w:val="5DBD2559"/>
    <w:rsid w:val="5DC07BA9"/>
    <w:rsid w:val="5DC96957"/>
    <w:rsid w:val="5DCA4F52"/>
    <w:rsid w:val="5DCA6DBA"/>
    <w:rsid w:val="5DF07780"/>
    <w:rsid w:val="5DF12552"/>
    <w:rsid w:val="5DF14B31"/>
    <w:rsid w:val="5DF21AE3"/>
    <w:rsid w:val="5DFB3923"/>
    <w:rsid w:val="5DFD0B15"/>
    <w:rsid w:val="5E0A22B5"/>
    <w:rsid w:val="5E0C735F"/>
    <w:rsid w:val="5E1A67E9"/>
    <w:rsid w:val="5E275982"/>
    <w:rsid w:val="5E285066"/>
    <w:rsid w:val="5E2D6B8E"/>
    <w:rsid w:val="5E2E2F0A"/>
    <w:rsid w:val="5E3409EF"/>
    <w:rsid w:val="5E345A8C"/>
    <w:rsid w:val="5E482326"/>
    <w:rsid w:val="5E4D6EC4"/>
    <w:rsid w:val="5E586B9E"/>
    <w:rsid w:val="5E5C0D76"/>
    <w:rsid w:val="5E6704AD"/>
    <w:rsid w:val="5E6B5A17"/>
    <w:rsid w:val="5E6E23E7"/>
    <w:rsid w:val="5E767125"/>
    <w:rsid w:val="5E84588C"/>
    <w:rsid w:val="5E894CC6"/>
    <w:rsid w:val="5E8B0E37"/>
    <w:rsid w:val="5E8B2053"/>
    <w:rsid w:val="5E8E2B55"/>
    <w:rsid w:val="5E8E7DA1"/>
    <w:rsid w:val="5E9557AE"/>
    <w:rsid w:val="5E9D2D70"/>
    <w:rsid w:val="5EA03502"/>
    <w:rsid w:val="5EA225EC"/>
    <w:rsid w:val="5EB158A8"/>
    <w:rsid w:val="5EB63158"/>
    <w:rsid w:val="5EB94F17"/>
    <w:rsid w:val="5EBA0A65"/>
    <w:rsid w:val="5EBC69AE"/>
    <w:rsid w:val="5EC37124"/>
    <w:rsid w:val="5ECF4967"/>
    <w:rsid w:val="5ED4536E"/>
    <w:rsid w:val="5ED57D0C"/>
    <w:rsid w:val="5EDE077E"/>
    <w:rsid w:val="5EE22806"/>
    <w:rsid w:val="5EE23C90"/>
    <w:rsid w:val="5EE36049"/>
    <w:rsid w:val="5EE91ADA"/>
    <w:rsid w:val="5EED70E0"/>
    <w:rsid w:val="5EF329AE"/>
    <w:rsid w:val="5EF557BE"/>
    <w:rsid w:val="5EFA682B"/>
    <w:rsid w:val="5F007536"/>
    <w:rsid w:val="5F096230"/>
    <w:rsid w:val="5F0F3390"/>
    <w:rsid w:val="5F10208F"/>
    <w:rsid w:val="5F120284"/>
    <w:rsid w:val="5F125F96"/>
    <w:rsid w:val="5F1826A1"/>
    <w:rsid w:val="5F287A82"/>
    <w:rsid w:val="5F294354"/>
    <w:rsid w:val="5F2E6055"/>
    <w:rsid w:val="5F3E5239"/>
    <w:rsid w:val="5F3F0095"/>
    <w:rsid w:val="5F4D56E3"/>
    <w:rsid w:val="5F4E6504"/>
    <w:rsid w:val="5F5475DF"/>
    <w:rsid w:val="5F5A4D5E"/>
    <w:rsid w:val="5F5A6D82"/>
    <w:rsid w:val="5F6A11B1"/>
    <w:rsid w:val="5F70230E"/>
    <w:rsid w:val="5F7A3C01"/>
    <w:rsid w:val="5F7F6E2B"/>
    <w:rsid w:val="5F812ADD"/>
    <w:rsid w:val="5F820A1D"/>
    <w:rsid w:val="5F9E0918"/>
    <w:rsid w:val="5F9F40C6"/>
    <w:rsid w:val="5FA10F0B"/>
    <w:rsid w:val="5FAC4D68"/>
    <w:rsid w:val="5FAD0D04"/>
    <w:rsid w:val="5FB3298C"/>
    <w:rsid w:val="5FC31B6E"/>
    <w:rsid w:val="5FDF061B"/>
    <w:rsid w:val="5FE24CC6"/>
    <w:rsid w:val="5FEC4DFE"/>
    <w:rsid w:val="60024B23"/>
    <w:rsid w:val="60076B09"/>
    <w:rsid w:val="6009068C"/>
    <w:rsid w:val="600C4C09"/>
    <w:rsid w:val="601A329C"/>
    <w:rsid w:val="60215B5F"/>
    <w:rsid w:val="60240E80"/>
    <w:rsid w:val="602E4496"/>
    <w:rsid w:val="603B6248"/>
    <w:rsid w:val="603B7BDC"/>
    <w:rsid w:val="603C2827"/>
    <w:rsid w:val="604B3064"/>
    <w:rsid w:val="60673E87"/>
    <w:rsid w:val="606D0DE0"/>
    <w:rsid w:val="6075325B"/>
    <w:rsid w:val="60850BC9"/>
    <w:rsid w:val="608E7677"/>
    <w:rsid w:val="60921CDB"/>
    <w:rsid w:val="60931212"/>
    <w:rsid w:val="60957860"/>
    <w:rsid w:val="609F5A34"/>
    <w:rsid w:val="60A37BE2"/>
    <w:rsid w:val="60A9625C"/>
    <w:rsid w:val="60AF6EA3"/>
    <w:rsid w:val="60B51AFE"/>
    <w:rsid w:val="60B852B0"/>
    <w:rsid w:val="60C52A5D"/>
    <w:rsid w:val="60D06A2D"/>
    <w:rsid w:val="60E65CE7"/>
    <w:rsid w:val="60F5074E"/>
    <w:rsid w:val="60F642D6"/>
    <w:rsid w:val="60F769C3"/>
    <w:rsid w:val="61056392"/>
    <w:rsid w:val="61140B9B"/>
    <w:rsid w:val="612D7FDE"/>
    <w:rsid w:val="613E08D0"/>
    <w:rsid w:val="61495421"/>
    <w:rsid w:val="61504C81"/>
    <w:rsid w:val="615A305B"/>
    <w:rsid w:val="615C64EF"/>
    <w:rsid w:val="6175484F"/>
    <w:rsid w:val="61795BCF"/>
    <w:rsid w:val="617F0E14"/>
    <w:rsid w:val="61806C24"/>
    <w:rsid w:val="619002F7"/>
    <w:rsid w:val="61996D6F"/>
    <w:rsid w:val="619B34AA"/>
    <w:rsid w:val="619E2AA7"/>
    <w:rsid w:val="61A45C62"/>
    <w:rsid w:val="61A73140"/>
    <w:rsid w:val="61AD3C71"/>
    <w:rsid w:val="61B57740"/>
    <w:rsid w:val="61B71FF7"/>
    <w:rsid w:val="61CA1717"/>
    <w:rsid w:val="61D53E25"/>
    <w:rsid w:val="61E11168"/>
    <w:rsid w:val="61E81A86"/>
    <w:rsid w:val="61EE749A"/>
    <w:rsid w:val="61F00175"/>
    <w:rsid w:val="61FB44B1"/>
    <w:rsid w:val="61FC3ABF"/>
    <w:rsid w:val="61FD4571"/>
    <w:rsid w:val="6205596B"/>
    <w:rsid w:val="62083225"/>
    <w:rsid w:val="620D7A68"/>
    <w:rsid w:val="621D56B8"/>
    <w:rsid w:val="6222060C"/>
    <w:rsid w:val="62377671"/>
    <w:rsid w:val="62393C2B"/>
    <w:rsid w:val="623E6DAD"/>
    <w:rsid w:val="624B29D1"/>
    <w:rsid w:val="626D0383"/>
    <w:rsid w:val="627069E7"/>
    <w:rsid w:val="62742D08"/>
    <w:rsid w:val="62787060"/>
    <w:rsid w:val="62810936"/>
    <w:rsid w:val="6285465F"/>
    <w:rsid w:val="628D6228"/>
    <w:rsid w:val="628F1718"/>
    <w:rsid w:val="62907849"/>
    <w:rsid w:val="629915CE"/>
    <w:rsid w:val="629C6A4B"/>
    <w:rsid w:val="629F5DC4"/>
    <w:rsid w:val="62AB6F2E"/>
    <w:rsid w:val="62B117A9"/>
    <w:rsid w:val="62C476E2"/>
    <w:rsid w:val="62CD44D2"/>
    <w:rsid w:val="62E72A3E"/>
    <w:rsid w:val="62EB428D"/>
    <w:rsid w:val="62FE047B"/>
    <w:rsid w:val="630027CE"/>
    <w:rsid w:val="630D2BA1"/>
    <w:rsid w:val="630F26E0"/>
    <w:rsid w:val="63274E5D"/>
    <w:rsid w:val="632B46BC"/>
    <w:rsid w:val="63330619"/>
    <w:rsid w:val="63381D43"/>
    <w:rsid w:val="63401DB9"/>
    <w:rsid w:val="63484081"/>
    <w:rsid w:val="634C176A"/>
    <w:rsid w:val="635138EF"/>
    <w:rsid w:val="63584A65"/>
    <w:rsid w:val="63596828"/>
    <w:rsid w:val="635B14A5"/>
    <w:rsid w:val="63612DA1"/>
    <w:rsid w:val="63622AC6"/>
    <w:rsid w:val="63727651"/>
    <w:rsid w:val="637B5E2E"/>
    <w:rsid w:val="637D3967"/>
    <w:rsid w:val="638C44C4"/>
    <w:rsid w:val="6399176E"/>
    <w:rsid w:val="63A31313"/>
    <w:rsid w:val="63B65758"/>
    <w:rsid w:val="63B71404"/>
    <w:rsid w:val="63BE73A8"/>
    <w:rsid w:val="63C172DB"/>
    <w:rsid w:val="63C374E1"/>
    <w:rsid w:val="63E01C97"/>
    <w:rsid w:val="63E34C47"/>
    <w:rsid w:val="63EB18AD"/>
    <w:rsid w:val="63FB2507"/>
    <w:rsid w:val="63FB7903"/>
    <w:rsid w:val="640A048A"/>
    <w:rsid w:val="640E16CE"/>
    <w:rsid w:val="642F2BC9"/>
    <w:rsid w:val="6443473B"/>
    <w:rsid w:val="6444188B"/>
    <w:rsid w:val="64462314"/>
    <w:rsid w:val="64475709"/>
    <w:rsid w:val="644F5437"/>
    <w:rsid w:val="645C134C"/>
    <w:rsid w:val="645C28DD"/>
    <w:rsid w:val="646B15EB"/>
    <w:rsid w:val="646F00B5"/>
    <w:rsid w:val="647F5678"/>
    <w:rsid w:val="64883106"/>
    <w:rsid w:val="648A29CC"/>
    <w:rsid w:val="648E5B50"/>
    <w:rsid w:val="649B7196"/>
    <w:rsid w:val="64B90F62"/>
    <w:rsid w:val="64BC7FE5"/>
    <w:rsid w:val="64C36B01"/>
    <w:rsid w:val="64C408CD"/>
    <w:rsid w:val="64CA0D11"/>
    <w:rsid w:val="64D574C2"/>
    <w:rsid w:val="64DA598E"/>
    <w:rsid w:val="64DB58BD"/>
    <w:rsid w:val="64E06BA9"/>
    <w:rsid w:val="65024B13"/>
    <w:rsid w:val="650556E7"/>
    <w:rsid w:val="650C4F69"/>
    <w:rsid w:val="651A4E25"/>
    <w:rsid w:val="651F3CBA"/>
    <w:rsid w:val="65202FFD"/>
    <w:rsid w:val="65215231"/>
    <w:rsid w:val="65221DD5"/>
    <w:rsid w:val="652534EB"/>
    <w:rsid w:val="652D3312"/>
    <w:rsid w:val="6539469B"/>
    <w:rsid w:val="65450242"/>
    <w:rsid w:val="65563A74"/>
    <w:rsid w:val="65577096"/>
    <w:rsid w:val="65677140"/>
    <w:rsid w:val="656D0B5C"/>
    <w:rsid w:val="656F374F"/>
    <w:rsid w:val="658C399D"/>
    <w:rsid w:val="65974F15"/>
    <w:rsid w:val="659D0BAC"/>
    <w:rsid w:val="65A366C2"/>
    <w:rsid w:val="65A816A3"/>
    <w:rsid w:val="65A94C40"/>
    <w:rsid w:val="65AB56C9"/>
    <w:rsid w:val="65AC64B2"/>
    <w:rsid w:val="65AD4B61"/>
    <w:rsid w:val="65BA5AAF"/>
    <w:rsid w:val="65BC5BA9"/>
    <w:rsid w:val="65CE0915"/>
    <w:rsid w:val="65D27099"/>
    <w:rsid w:val="65D66021"/>
    <w:rsid w:val="65D90A45"/>
    <w:rsid w:val="65E416FB"/>
    <w:rsid w:val="65E774C4"/>
    <w:rsid w:val="65E820AA"/>
    <w:rsid w:val="66002924"/>
    <w:rsid w:val="66005716"/>
    <w:rsid w:val="66097DBE"/>
    <w:rsid w:val="660A3BB9"/>
    <w:rsid w:val="660D5AF1"/>
    <w:rsid w:val="661C48F7"/>
    <w:rsid w:val="662D3EC8"/>
    <w:rsid w:val="662E2DCA"/>
    <w:rsid w:val="66413ECD"/>
    <w:rsid w:val="664C4288"/>
    <w:rsid w:val="664F078A"/>
    <w:rsid w:val="66516E07"/>
    <w:rsid w:val="667343DE"/>
    <w:rsid w:val="66765CD2"/>
    <w:rsid w:val="667F2483"/>
    <w:rsid w:val="66842F90"/>
    <w:rsid w:val="66890756"/>
    <w:rsid w:val="66894FF5"/>
    <w:rsid w:val="66926C2E"/>
    <w:rsid w:val="66954436"/>
    <w:rsid w:val="669C3F6E"/>
    <w:rsid w:val="66AF4EA0"/>
    <w:rsid w:val="66B758EB"/>
    <w:rsid w:val="66C97F72"/>
    <w:rsid w:val="66D81AEB"/>
    <w:rsid w:val="66F513F8"/>
    <w:rsid w:val="66F53E56"/>
    <w:rsid w:val="66F900DD"/>
    <w:rsid w:val="670D59B2"/>
    <w:rsid w:val="67196601"/>
    <w:rsid w:val="67237E2A"/>
    <w:rsid w:val="6725324C"/>
    <w:rsid w:val="673C7270"/>
    <w:rsid w:val="67441BAC"/>
    <w:rsid w:val="674C06C9"/>
    <w:rsid w:val="675B7A6E"/>
    <w:rsid w:val="67622459"/>
    <w:rsid w:val="678D45B2"/>
    <w:rsid w:val="67924B10"/>
    <w:rsid w:val="6798043D"/>
    <w:rsid w:val="67A10C9E"/>
    <w:rsid w:val="67B23E6D"/>
    <w:rsid w:val="67B95EC0"/>
    <w:rsid w:val="67BA5368"/>
    <w:rsid w:val="67C40813"/>
    <w:rsid w:val="67C65B9D"/>
    <w:rsid w:val="67C80F31"/>
    <w:rsid w:val="67C85BBB"/>
    <w:rsid w:val="67CA05AC"/>
    <w:rsid w:val="67D2695B"/>
    <w:rsid w:val="67E0196A"/>
    <w:rsid w:val="67F85D13"/>
    <w:rsid w:val="67FF34DE"/>
    <w:rsid w:val="68041D97"/>
    <w:rsid w:val="680C2066"/>
    <w:rsid w:val="680F7C25"/>
    <w:rsid w:val="681B402F"/>
    <w:rsid w:val="68262214"/>
    <w:rsid w:val="682B66D6"/>
    <w:rsid w:val="682C093D"/>
    <w:rsid w:val="68316CF4"/>
    <w:rsid w:val="683E498F"/>
    <w:rsid w:val="684E2E11"/>
    <w:rsid w:val="684E587E"/>
    <w:rsid w:val="685005E9"/>
    <w:rsid w:val="68573590"/>
    <w:rsid w:val="685C079C"/>
    <w:rsid w:val="68632F9C"/>
    <w:rsid w:val="687A4719"/>
    <w:rsid w:val="687C3D25"/>
    <w:rsid w:val="687E04E7"/>
    <w:rsid w:val="687E7DEF"/>
    <w:rsid w:val="68827C54"/>
    <w:rsid w:val="6888282B"/>
    <w:rsid w:val="688A766B"/>
    <w:rsid w:val="68954DEE"/>
    <w:rsid w:val="68965ABD"/>
    <w:rsid w:val="689D14A6"/>
    <w:rsid w:val="68A12641"/>
    <w:rsid w:val="68A96D77"/>
    <w:rsid w:val="68AC1FDF"/>
    <w:rsid w:val="68AF6EF3"/>
    <w:rsid w:val="68D543A0"/>
    <w:rsid w:val="68DD15E8"/>
    <w:rsid w:val="68E264F5"/>
    <w:rsid w:val="68E95709"/>
    <w:rsid w:val="68F85940"/>
    <w:rsid w:val="68FD3906"/>
    <w:rsid w:val="69001CB5"/>
    <w:rsid w:val="690914DF"/>
    <w:rsid w:val="69105FDA"/>
    <w:rsid w:val="691E296B"/>
    <w:rsid w:val="693A7C4E"/>
    <w:rsid w:val="6942107D"/>
    <w:rsid w:val="69467142"/>
    <w:rsid w:val="694C6C9C"/>
    <w:rsid w:val="694F473E"/>
    <w:rsid w:val="695A2583"/>
    <w:rsid w:val="69615003"/>
    <w:rsid w:val="697E79DF"/>
    <w:rsid w:val="69885BDE"/>
    <w:rsid w:val="6988725F"/>
    <w:rsid w:val="69A00801"/>
    <w:rsid w:val="69B36E7B"/>
    <w:rsid w:val="69B77082"/>
    <w:rsid w:val="69BB236D"/>
    <w:rsid w:val="69D42084"/>
    <w:rsid w:val="69DD4718"/>
    <w:rsid w:val="69F43079"/>
    <w:rsid w:val="69F86FF2"/>
    <w:rsid w:val="69FD1DE2"/>
    <w:rsid w:val="6A0856F3"/>
    <w:rsid w:val="6A1123D0"/>
    <w:rsid w:val="6A2209EE"/>
    <w:rsid w:val="6A2F2DAA"/>
    <w:rsid w:val="6A396FAF"/>
    <w:rsid w:val="6A3A3A76"/>
    <w:rsid w:val="6A3B6702"/>
    <w:rsid w:val="6A4535E8"/>
    <w:rsid w:val="6A4A76B5"/>
    <w:rsid w:val="6A50336C"/>
    <w:rsid w:val="6A6D53B2"/>
    <w:rsid w:val="6A725030"/>
    <w:rsid w:val="6A773900"/>
    <w:rsid w:val="6A864EEE"/>
    <w:rsid w:val="6A9D4D8A"/>
    <w:rsid w:val="6AA01923"/>
    <w:rsid w:val="6AA61CDA"/>
    <w:rsid w:val="6AA670AA"/>
    <w:rsid w:val="6AB70C97"/>
    <w:rsid w:val="6AC74948"/>
    <w:rsid w:val="6ADA03EA"/>
    <w:rsid w:val="6AEE00C7"/>
    <w:rsid w:val="6AEE4558"/>
    <w:rsid w:val="6AEF608D"/>
    <w:rsid w:val="6AF004F1"/>
    <w:rsid w:val="6AF450C7"/>
    <w:rsid w:val="6AFB2D58"/>
    <w:rsid w:val="6B004FA3"/>
    <w:rsid w:val="6B174C59"/>
    <w:rsid w:val="6B2F7D24"/>
    <w:rsid w:val="6B315974"/>
    <w:rsid w:val="6B3252B7"/>
    <w:rsid w:val="6B3F1004"/>
    <w:rsid w:val="6B4348FD"/>
    <w:rsid w:val="6B4A1536"/>
    <w:rsid w:val="6B566D45"/>
    <w:rsid w:val="6B6075F8"/>
    <w:rsid w:val="6B6E7045"/>
    <w:rsid w:val="6B7928E6"/>
    <w:rsid w:val="6B826671"/>
    <w:rsid w:val="6B883B31"/>
    <w:rsid w:val="6B8E62AA"/>
    <w:rsid w:val="6B9505BC"/>
    <w:rsid w:val="6BA35F3F"/>
    <w:rsid w:val="6BAD75C5"/>
    <w:rsid w:val="6BB75D8C"/>
    <w:rsid w:val="6BBF1573"/>
    <w:rsid w:val="6BC162AE"/>
    <w:rsid w:val="6BCE62C4"/>
    <w:rsid w:val="6BD72E03"/>
    <w:rsid w:val="6BD93711"/>
    <w:rsid w:val="6BE301CD"/>
    <w:rsid w:val="6BF338A3"/>
    <w:rsid w:val="6BF717D8"/>
    <w:rsid w:val="6BFD0BB7"/>
    <w:rsid w:val="6C006E37"/>
    <w:rsid w:val="6C12197F"/>
    <w:rsid w:val="6C253D64"/>
    <w:rsid w:val="6C263C9C"/>
    <w:rsid w:val="6C2A2143"/>
    <w:rsid w:val="6C2A550B"/>
    <w:rsid w:val="6C2F23F7"/>
    <w:rsid w:val="6C395D5B"/>
    <w:rsid w:val="6C3B6346"/>
    <w:rsid w:val="6C500952"/>
    <w:rsid w:val="6C532C49"/>
    <w:rsid w:val="6C6075D2"/>
    <w:rsid w:val="6C621A67"/>
    <w:rsid w:val="6C6265ED"/>
    <w:rsid w:val="6C6B4683"/>
    <w:rsid w:val="6C6E6F51"/>
    <w:rsid w:val="6C8A1792"/>
    <w:rsid w:val="6C8C4C39"/>
    <w:rsid w:val="6C8F35F6"/>
    <w:rsid w:val="6C9239F5"/>
    <w:rsid w:val="6CA65B40"/>
    <w:rsid w:val="6CB5700E"/>
    <w:rsid w:val="6CCD134B"/>
    <w:rsid w:val="6CD26FA4"/>
    <w:rsid w:val="6CDF0C44"/>
    <w:rsid w:val="6CDF3E96"/>
    <w:rsid w:val="6CEA16D0"/>
    <w:rsid w:val="6CF31AB0"/>
    <w:rsid w:val="6CF7007F"/>
    <w:rsid w:val="6CF82C5A"/>
    <w:rsid w:val="6D00527F"/>
    <w:rsid w:val="6D091342"/>
    <w:rsid w:val="6D0B34A0"/>
    <w:rsid w:val="6D1C2538"/>
    <w:rsid w:val="6D29780C"/>
    <w:rsid w:val="6D440D45"/>
    <w:rsid w:val="6D443AB7"/>
    <w:rsid w:val="6D534B72"/>
    <w:rsid w:val="6D556837"/>
    <w:rsid w:val="6D5A5F8D"/>
    <w:rsid w:val="6D5D6310"/>
    <w:rsid w:val="6D78117E"/>
    <w:rsid w:val="6D79320A"/>
    <w:rsid w:val="6D82795B"/>
    <w:rsid w:val="6D952F92"/>
    <w:rsid w:val="6D9C4B6E"/>
    <w:rsid w:val="6DA07A58"/>
    <w:rsid w:val="6DA53AA4"/>
    <w:rsid w:val="6DAE2312"/>
    <w:rsid w:val="6DB109A5"/>
    <w:rsid w:val="6DB12413"/>
    <w:rsid w:val="6DB1375F"/>
    <w:rsid w:val="6DB67DCD"/>
    <w:rsid w:val="6DB9066A"/>
    <w:rsid w:val="6DCB17CC"/>
    <w:rsid w:val="6DCB7A32"/>
    <w:rsid w:val="6DD279E3"/>
    <w:rsid w:val="6DDB0B86"/>
    <w:rsid w:val="6DE80F8C"/>
    <w:rsid w:val="6DE94199"/>
    <w:rsid w:val="6DEB12BD"/>
    <w:rsid w:val="6DF77813"/>
    <w:rsid w:val="6E060FE3"/>
    <w:rsid w:val="6E0D03EC"/>
    <w:rsid w:val="6E103DBC"/>
    <w:rsid w:val="6E115AE0"/>
    <w:rsid w:val="6E1350F7"/>
    <w:rsid w:val="6E16177D"/>
    <w:rsid w:val="6E1F152C"/>
    <w:rsid w:val="6E21484B"/>
    <w:rsid w:val="6E262E98"/>
    <w:rsid w:val="6E3458EB"/>
    <w:rsid w:val="6E3E2F6C"/>
    <w:rsid w:val="6E3E7D35"/>
    <w:rsid w:val="6E4659E5"/>
    <w:rsid w:val="6E4E3233"/>
    <w:rsid w:val="6E50212C"/>
    <w:rsid w:val="6E5E0DE3"/>
    <w:rsid w:val="6E5F2C81"/>
    <w:rsid w:val="6E705690"/>
    <w:rsid w:val="6E8B39BD"/>
    <w:rsid w:val="6E8F1D0A"/>
    <w:rsid w:val="6E927DFB"/>
    <w:rsid w:val="6EA36F74"/>
    <w:rsid w:val="6EB121D3"/>
    <w:rsid w:val="6EBF553F"/>
    <w:rsid w:val="6EC03862"/>
    <w:rsid w:val="6EC3472D"/>
    <w:rsid w:val="6ED033E1"/>
    <w:rsid w:val="6EE03BEF"/>
    <w:rsid w:val="6EE5354C"/>
    <w:rsid w:val="6EF41818"/>
    <w:rsid w:val="6EF71925"/>
    <w:rsid w:val="6F0C1AC3"/>
    <w:rsid w:val="6F187386"/>
    <w:rsid w:val="6F21407F"/>
    <w:rsid w:val="6F2E7AEF"/>
    <w:rsid w:val="6F3125BE"/>
    <w:rsid w:val="6F382910"/>
    <w:rsid w:val="6F3946B7"/>
    <w:rsid w:val="6F39719A"/>
    <w:rsid w:val="6F4202A7"/>
    <w:rsid w:val="6F707B65"/>
    <w:rsid w:val="6F726263"/>
    <w:rsid w:val="6F7E3E94"/>
    <w:rsid w:val="6F811106"/>
    <w:rsid w:val="6F855A25"/>
    <w:rsid w:val="6F936C0D"/>
    <w:rsid w:val="6F9B0EA1"/>
    <w:rsid w:val="6FA277D8"/>
    <w:rsid w:val="6FA30423"/>
    <w:rsid w:val="6FA57195"/>
    <w:rsid w:val="6FAB7F2D"/>
    <w:rsid w:val="6FAC34C5"/>
    <w:rsid w:val="6FB23933"/>
    <w:rsid w:val="6FC16C77"/>
    <w:rsid w:val="6FC925D3"/>
    <w:rsid w:val="6FCE7B56"/>
    <w:rsid w:val="6FCF3163"/>
    <w:rsid w:val="6FCF6CCB"/>
    <w:rsid w:val="6FD23834"/>
    <w:rsid w:val="6FE5790A"/>
    <w:rsid w:val="6FEB6249"/>
    <w:rsid w:val="6FF31D47"/>
    <w:rsid w:val="700438E4"/>
    <w:rsid w:val="70057E02"/>
    <w:rsid w:val="70134100"/>
    <w:rsid w:val="701813DA"/>
    <w:rsid w:val="70206DA6"/>
    <w:rsid w:val="70294E67"/>
    <w:rsid w:val="702C0891"/>
    <w:rsid w:val="702C6216"/>
    <w:rsid w:val="702E716E"/>
    <w:rsid w:val="70332DDE"/>
    <w:rsid w:val="70350F8F"/>
    <w:rsid w:val="703F35B3"/>
    <w:rsid w:val="70512A0B"/>
    <w:rsid w:val="705A5832"/>
    <w:rsid w:val="705B08E5"/>
    <w:rsid w:val="70640AD6"/>
    <w:rsid w:val="70670F9A"/>
    <w:rsid w:val="706B46FE"/>
    <w:rsid w:val="70796204"/>
    <w:rsid w:val="709D78AB"/>
    <w:rsid w:val="709F1D6A"/>
    <w:rsid w:val="70B82A69"/>
    <w:rsid w:val="70C14871"/>
    <w:rsid w:val="70CD75DD"/>
    <w:rsid w:val="70D15719"/>
    <w:rsid w:val="70D7298F"/>
    <w:rsid w:val="70DF312F"/>
    <w:rsid w:val="70EC34EC"/>
    <w:rsid w:val="70ED6F21"/>
    <w:rsid w:val="70F22D5F"/>
    <w:rsid w:val="70FB4C92"/>
    <w:rsid w:val="710C4D4E"/>
    <w:rsid w:val="710F0C91"/>
    <w:rsid w:val="71143C89"/>
    <w:rsid w:val="712E13A0"/>
    <w:rsid w:val="712F0768"/>
    <w:rsid w:val="713010FC"/>
    <w:rsid w:val="713541B0"/>
    <w:rsid w:val="713565D1"/>
    <w:rsid w:val="714A55EC"/>
    <w:rsid w:val="714D206F"/>
    <w:rsid w:val="71536EF7"/>
    <w:rsid w:val="71557E2C"/>
    <w:rsid w:val="71593A73"/>
    <w:rsid w:val="715E49CE"/>
    <w:rsid w:val="716359E6"/>
    <w:rsid w:val="71667B77"/>
    <w:rsid w:val="7172199E"/>
    <w:rsid w:val="71774B5A"/>
    <w:rsid w:val="717D406E"/>
    <w:rsid w:val="717F48B1"/>
    <w:rsid w:val="7189117B"/>
    <w:rsid w:val="71914FE1"/>
    <w:rsid w:val="719E36A6"/>
    <w:rsid w:val="719E51F0"/>
    <w:rsid w:val="71A8083E"/>
    <w:rsid w:val="71CC5A98"/>
    <w:rsid w:val="71E273A0"/>
    <w:rsid w:val="71E95456"/>
    <w:rsid w:val="71EA7136"/>
    <w:rsid w:val="71F066B2"/>
    <w:rsid w:val="71FB527F"/>
    <w:rsid w:val="72022192"/>
    <w:rsid w:val="721555D9"/>
    <w:rsid w:val="72164571"/>
    <w:rsid w:val="722B421D"/>
    <w:rsid w:val="723A3681"/>
    <w:rsid w:val="72480697"/>
    <w:rsid w:val="726326EF"/>
    <w:rsid w:val="7263318F"/>
    <w:rsid w:val="72636F3B"/>
    <w:rsid w:val="72743B9E"/>
    <w:rsid w:val="727E4DA4"/>
    <w:rsid w:val="72943DA4"/>
    <w:rsid w:val="7294655A"/>
    <w:rsid w:val="72A303E7"/>
    <w:rsid w:val="72AA0480"/>
    <w:rsid w:val="72B02A47"/>
    <w:rsid w:val="72B05AAA"/>
    <w:rsid w:val="72B17774"/>
    <w:rsid w:val="72B35774"/>
    <w:rsid w:val="72B54762"/>
    <w:rsid w:val="72C12BA0"/>
    <w:rsid w:val="72C43D9E"/>
    <w:rsid w:val="72C832D4"/>
    <w:rsid w:val="72E557A1"/>
    <w:rsid w:val="730A0D15"/>
    <w:rsid w:val="730F19BA"/>
    <w:rsid w:val="731D163B"/>
    <w:rsid w:val="73262181"/>
    <w:rsid w:val="73271AA2"/>
    <w:rsid w:val="733319F6"/>
    <w:rsid w:val="73335B5D"/>
    <w:rsid w:val="7334618C"/>
    <w:rsid w:val="73443440"/>
    <w:rsid w:val="734C2519"/>
    <w:rsid w:val="7354514F"/>
    <w:rsid w:val="7354711C"/>
    <w:rsid w:val="736F3EC4"/>
    <w:rsid w:val="737B06A8"/>
    <w:rsid w:val="73806AE7"/>
    <w:rsid w:val="73824BBD"/>
    <w:rsid w:val="73880315"/>
    <w:rsid w:val="738A371C"/>
    <w:rsid w:val="73924182"/>
    <w:rsid w:val="739F274E"/>
    <w:rsid w:val="73A313ED"/>
    <w:rsid w:val="73A53021"/>
    <w:rsid w:val="73B34258"/>
    <w:rsid w:val="73D779D2"/>
    <w:rsid w:val="73DA67A0"/>
    <w:rsid w:val="73F138F9"/>
    <w:rsid w:val="7400012A"/>
    <w:rsid w:val="74223260"/>
    <w:rsid w:val="74324ABE"/>
    <w:rsid w:val="7433347E"/>
    <w:rsid w:val="743706F4"/>
    <w:rsid w:val="74385C47"/>
    <w:rsid w:val="743F5266"/>
    <w:rsid w:val="74421360"/>
    <w:rsid w:val="744623E9"/>
    <w:rsid w:val="74490721"/>
    <w:rsid w:val="744E64DC"/>
    <w:rsid w:val="74502E22"/>
    <w:rsid w:val="74866D96"/>
    <w:rsid w:val="74895CAE"/>
    <w:rsid w:val="748D4149"/>
    <w:rsid w:val="74961AB8"/>
    <w:rsid w:val="749832F4"/>
    <w:rsid w:val="749D65F9"/>
    <w:rsid w:val="74A40678"/>
    <w:rsid w:val="74A44C7D"/>
    <w:rsid w:val="74AE55CB"/>
    <w:rsid w:val="74AF3E4E"/>
    <w:rsid w:val="74C838C0"/>
    <w:rsid w:val="74CE7C67"/>
    <w:rsid w:val="74D06CDB"/>
    <w:rsid w:val="74D33BC8"/>
    <w:rsid w:val="74D40EBB"/>
    <w:rsid w:val="74D84293"/>
    <w:rsid w:val="74D9158E"/>
    <w:rsid w:val="74DC5EF1"/>
    <w:rsid w:val="74E02AC5"/>
    <w:rsid w:val="74E22214"/>
    <w:rsid w:val="74E623D6"/>
    <w:rsid w:val="74F4467A"/>
    <w:rsid w:val="74FB5735"/>
    <w:rsid w:val="75001BBF"/>
    <w:rsid w:val="75012A74"/>
    <w:rsid w:val="75036C03"/>
    <w:rsid w:val="7511058C"/>
    <w:rsid w:val="751345C7"/>
    <w:rsid w:val="751E08CB"/>
    <w:rsid w:val="75295765"/>
    <w:rsid w:val="752E07AD"/>
    <w:rsid w:val="75532372"/>
    <w:rsid w:val="75577064"/>
    <w:rsid w:val="75667C60"/>
    <w:rsid w:val="756840F0"/>
    <w:rsid w:val="756A63DE"/>
    <w:rsid w:val="7570379D"/>
    <w:rsid w:val="75771390"/>
    <w:rsid w:val="7580595D"/>
    <w:rsid w:val="758736CD"/>
    <w:rsid w:val="759B632F"/>
    <w:rsid w:val="75B44BDD"/>
    <w:rsid w:val="75BE1D21"/>
    <w:rsid w:val="75BF0C7C"/>
    <w:rsid w:val="75DC588A"/>
    <w:rsid w:val="75DF7F9E"/>
    <w:rsid w:val="75E305A8"/>
    <w:rsid w:val="75E44F36"/>
    <w:rsid w:val="75EA70BE"/>
    <w:rsid w:val="75ED4180"/>
    <w:rsid w:val="75ED50A6"/>
    <w:rsid w:val="760B0ACF"/>
    <w:rsid w:val="760D32AB"/>
    <w:rsid w:val="760E5916"/>
    <w:rsid w:val="761023BA"/>
    <w:rsid w:val="761A4A52"/>
    <w:rsid w:val="76201A39"/>
    <w:rsid w:val="762A0E9E"/>
    <w:rsid w:val="762B10D6"/>
    <w:rsid w:val="762C5081"/>
    <w:rsid w:val="762E5CAD"/>
    <w:rsid w:val="76476855"/>
    <w:rsid w:val="76477C62"/>
    <w:rsid w:val="76492624"/>
    <w:rsid w:val="76496611"/>
    <w:rsid w:val="76652095"/>
    <w:rsid w:val="7670494C"/>
    <w:rsid w:val="767C1D97"/>
    <w:rsid w:val="7686275E"/>
    <w:rsid w:val="768A39B3"/>
    <w:rsid w:val="768E2276"/>
    <w:rsid w:val="76983164"/>
    <w:rsid w:val="769A43E2"/>
    <w:rsid w:val="76A1531A"/>
    <w:rsid w:val="76A47861"/>
    <w:rsid w:val="76B94F48"/>
    <w:rsid w:val="76C73349"/>
    <w:rsid w:val="76D54AE5"/>
    <w:rsid w:val="76DF5B44"/>
    <w:rsid w:val="76EA1AA7"/>
    <w:rsid w:val="770E1B92"/>
    <w:rsid w:val="77120506"/>
    <w:rsid w:val="771951A0"/>
    <w:rsid w:val="771C3629"/>
    <w:rsid w:val="77202528"/>
    <w:rsid w:val="7726400A"/>
    <w:rsid w:val="77306742"/>
    <w:rsid w:val="77323927"/>
    <w:rsid w:val="773525BF"/>
    <w:rsid w:val="77485F6C"/>
    <w:rsid w:val="775C2BCA"/>
    <w:rsid w:val="776C3F42"/>
    <w:rsid w:val="776D6727"/>
    <w:rsid w:val="776F555E"/>
    <w:rsid w:val="776F790E"/>
    <w:rsid w:val="77760A72"/>
    <w:rsid w:val="777A5CAE"/>
    <w:rsid w:val="777C6CB1"/>
    <w:rsid w:val="777D2378"/>
    <w:rsid w:val="777F4890"/>
    <w:rsid w:val="77826482"/>
    <w:rsid w:val="778C1784"/>
    <w:rsid w:val="778C3A58"/>
    <w:rsid w:val="77960649"/>
    <w:rsid w:val="77A258F0"/>
    <w:rsid w:val="77A74E64"/>
    <w:rsid w:val="77A76A77"/>
    <w:rsid w:val="77B079EB"/>
    <w:rsid w:val="77B27122"/>
    <w:rsid w:val="77B66024"/>
    <w:rsid w:val="77BC633A"/>
    <w:rsid w:val="77BF6F0B"/>
    <w:rsid w:val="77CC38EB"/>
    <w:rsid w:val="77D05E15"/>
    <w:rsid w:val="77D87D62"/>
    <w:rsid w:val="77E227AC"/>
    <w:rsid w:val="77EA7702"/>
    <w:rsid w:val="77EC03FF"/>
    <w:rsid w:val="77FB3226"/>
    <w:rsid w:val="77FE20C7"/>
    <w:rsid w:val="780049C9"/>
    <w:rsid w:val="7801281B"/>
    <w:rsid w:val="78021470"/>
    <w:rsid w:val="7805179E"/>
    <w:rsid w:val="78094BD7"/>
    <w:rsid w:val="780A16BA"/>
    <w:rsid w:val="780E6462"/>
    <w:rsid w:val="78144647"/>
    <w:rsid w:val="78355D6C"/>
    <w:rsid w:val="783773BF"/>
    <w:rsid w:val="78505E38"/>
    <w:rsid w:val="78506770"/>
    <w:rsid w:val="78525E5D"/>
    <w:rsid w:val="7853245D"/>
    <w:rsid w:val="78570794"/>
    <w:rsid w:val="78572234"/>
    <w:rsid w:val="787F4B04"/>
    <w:rsid w:val="787F6692"/>
    <w:rsid w:val="78860B8C"/>
    <w:rsid w:val="788B775A"/>
    <w:rsid w:val="788E2C34"/>
    <w:rsid w:val="788F0148"/>
    <w:rsid w:val="78A3795A"/>
    <w:rsid w:val="78A913C4"/>
    <w:rsid w:val="78AE3293"/>
    <w:rsid w:val="78AF0764"/>
    <w:rsid w:val="78B45C09"/>
    <w:rsid w:val="78B71372"/>
    <w:rsid w:val="78B74EF5"/>
    <w:rsid w:val="78B8466E"/>
    <w:rsid w:val="78BC3560"/>
    <w:rsid w:val="78C02A43"/>
    <w:rsid w:val="78C0748B"/>
    <w:rsid w:val="78CB2D02"/>
    <w:rsid w:val="78CB6038"/>
    <w:rsid w:val="78D61FF4"/>
    <w:rsid w:val="78E342BF"/>
    <w:rsid w:val="78E50AF8"/>
    <w:rsid w:val="78E53BD3"/>
    <w:rsid w:val="78FA4A35"/>
    <w:rsid w:val="78FF1002"/>
    <w:rsid w:val="7902118E"/>
    <w:rsid w:val="791256E3"/>
    <w:rsid w:val="79236BC8"/>
    <w:rsid w:val="79323EF3"/>
    <w:rsid w:val="79366DE3"/>
    <w:rsid w:val="794057F8"/>
    <w:rsid w:val="79480BE3"/>
    <w:rsid w:val="794C5805"/>
    <w:rsid w:val="797D313F"/>
    <w:rsid w:val="797F1352"/>
    <w:rsid w:val="797F66F1"/>
    <w:rsid w:val="79894550"/>
    <w:rsid w:val="799075B6"/>
    <w:rsid w:val="79964DE3"/>
    <w:rsid w:val="799B66E0"/>
    <w:rsid w:val="79A41328"/>
    <w:rsid w:val="79A429A9"/>
    <w:rsid w:val="79AB65B3"/>
    <w:rsid w:val="79B63AFE"/>
    <w:rsid w:val="79D20592"/>
    <w:rsid w:val="79DA30DD"/>
    <w:rsid w:val="79F97A10"/>
    <w:rsid w:val="79FD6117"/>
    <w:rsid w:val="79FE7BF9"/>
    <w:rsid w:val="7A076361"/>
    <w:rsid w:val="7A0E2CE5"/>
    <w:rsid w:val="7A0F57E3"/>
    <w:rsid w:val="7A111682"/>
    <w:rsid w:val="7A141963"/>
    <w:rsid w:val="7A182B1F"/>
    <w:rsid w:val="7A2065C2"/>
    <w:rsid w:val="7A313564"/>
    <w:rsid w:val="7A32606F"/>
    <w:rsid w:val="7A346E1A"/>
    <w:rsid w:val="7A350917"/>
    <w:rsid w:val="7A3D402A"/>
    <w:rsid w:val="7A471F7B"/>
    <w:rsid w:val="7A501001"/>
    <w:rsid w:val="7A5179EE"/>
    <w:rsid w:val="7A52531D"/>
    <w:rsid w:val="7A58510B"/>
    <w:rsid w:val="7A601FF3"/>
    <w:rsid w:val="7A6262D4"/>
    <w:rsid w:val="7A685C9A"/>
    <w:rsid w:val="7A7C21E9"/>
    <w:rsid w:val="7A7F647E"/>
    <w:rsid w:val="7A850117"/>
    <w:rsid w:val="7A8B6AEF"/>
    <w:rsid w:val="7A8C7209"/>
    <w:rsid w:val="7A8E12AC"/>
    <w:rsid w:val="7A970744"/>
    <w:rsid w:val="7AA3343A"/>
    <w:rsid w:val="7AA46DA9"/>
    <w:rsid w:val="7AC311C0"/>
    <w:rsid w:val="7AEB65BB"/>
    <w:rsid w:val="7AFC09E2"/>
    <w:rsid w:val="7B041412"/>
    <w:rsid w:val="7B207F7E"/>
    <w:rsid w:val="7B241D66"/>
    <w:rsid w:val="7B2D4FFB"/>
    <w:rsid w:val="7B32657D"/>
    <w:rsid w:val="7B3A4794"/>
    <w:rsid w:val="7B3C57EE"/>
    <w:rsid w:val="7B5F3425"/>
    <w:rsid w:val="7B615CD8"/>
    <w:rsid w:val="7B640C24"/>
    <w:rsid w:val="7B68496F"/>
    <w:rsid w:val="7B6B741B"/>
    <w:rsid w:val="7B7F2F7A"/>
    <w:rsid w:val="7B8C6DD9"/>
    <w:rsid w:val="7B943867"/>
    <w:rsid w:val="7B981421"/>
    <w:rsid w:val="7B986A5D"/>
    <w:rsid w:val="7B9D63B3"/>
    <w:rsid w:val="7BA13A39"/>
    <w:rsid w:val="7BAA16C4"/>
    <w:rsid w:val="7BAD6AC6"/>
    <w:rsid w:val="7BB90679"/>
    <w:rsid w:val="7BC9159C"/>
    <w:rsid w:val="7BD63BF8"/>
    <w:rsid w:val="7BDD635C"/>
    <w:rsid w:val="7BDE6B32"/>
    <w:rsid w:val="7BE211BD"/>
    <w:rsid w:val="7BE33965"/>
    <w:rsid w:val="7BEC2B40"/>
    <w:rsid w:val="7BF055CB"/>
    <w:rsid w:val="7C0640F6"/>
    <w:rsid w:val="7C1430B5"/>
    <w:rsid w:val="7C1C4FF4"/>
    <w:rsid w:val="7C2A423C"/>
    <w:rsid w:val="7C3040F8"/>
    <w:rsid w:val="7C31202E"/>
    <w:rsid w:val="7C325009"/>
    <w:rsid w:val="7C40481F"/>
    <w:rsid w:val="7C4968AE"/>
    <w:rsid w:val="7C4E29BB"/>
    <w:rsid w:val="7C5328EB"/>
    <w:rsid w:val="7C6650BC"/>
    <w:rsid w:val="7C6A588E"/>
    <w:rsid w:val="7C71612F"/>
    <w:rsid w:val="7C813497"/>
    <w:rsid w:val="7C8A5EAE"/>
    <w:rsid w:val="7CA75785"/>
    <w:rsid w:val="7CAC6A71"/>
    <w:rsid w:val="7CB8347E"/>
    <w:rsid w:val="7CBC196B"/>
    <w:rsid w:val="7CC07582"/>
    <w:rsid w:val="7CCE60F4"/>
    <w:rsid w:val="7CD26C34"/>
    <w:rsid w:val="7CD95D73"/>
    <w:rsid w:val="7CDB5AD5"/>
    <w:rsid w:val="7CDE0132"/>
    <w:rsid w:val="7CEB583E"/>
    <w:rsid w:val="7CF24FE1"/>
    <w:rsid w:val="7CF71E9D"/>
    <w:rsid w:val="7D017B63"/>
    <w:rsid w:val="7D055C7A"/>
    <w:rsid w:val="7D0F07FD"/>
    <w:rsid w:val="7D144384"/>
    <w:rsid w:val="7D150827"/>
    <w:rsid w:val="7D2977C9"/>
    <w:rsid w:val="7D2D60B3"/>
    <w:rsid w:val="7D410C61"/>
    <w:rsid w:val="7D41684C"/>
    <w:rsid w:val="7D4353CA"/>
    <w:rsid w:val="7D4607BC"/>
    <w:rsid w:val="7D4769FD"/>
    <w:rsid w:val="7D4978D1"/>
    <w:rsid w:val="7D4F08EB"/>
    <w:rsid w:val="7D4F0E32"/>
    <w:rsid w:val="7D5066D0"/>
    <w:rsid w:val="7D5D45B2"/>
    <w:rsid w:val="7D6B4D72"/>
    <w:rsid w:val="7D6D2AE4"/>
    <w:rsid w:val="7DAA1728"/>
    <w:rsid w:val="7DB95BBF"/>
    <w:rsid w:val="7DBB6529"/>
    <w:rsid w:val="7DBE1192"/>
    <w:rsid w:val="7DC253D1"/>
    <w:rsid w:val="7DC46248"/>
    <w:rsid w:val="7DD06F19"/>
    <w:rsid w:val="7DDE109B"/>
    <w:rsid w:val="7DE747B4"/>
    <w:rsid w:val="7DED600A"/>
    <w:rsid w:val="7DF44FEE"/>
    <w:rsid w:val="7DF655AC"/>
    <w:rsid w:val="7DFE7B98"/>
    <w:rsid w:val="7E013DD1"/>
    <w:rsid w:val="7E0A42F7"/>
    <w:rsid w:val="7E165BAD"/>
    <w:rsid w:val="7E1D074E"/>
    <w:rsid w:val="7E261346"/>
    <w:rsid w:val="7E335F64"/>
    <w:rsid w:val="7E3F0176"/>
    <w:rsid w:val="7E3F3044"/>
    <w:rsid w:val="7E4153F8"/>
    <w:rsid w:val="7E483674"/>
    <w:rsid w:val="7E4964A5"/>
    <w:rsid w:val="7E5F5C56"/>
    <w:rsid w:val="7E605BB8"/>
    <w:rsid w:val="7E611EC3"/>
    <w:rsid w:val="7E6773BB"/>
    <w:rsid w:val="7E6A4915"/>
    <w:rsid w:val="7E6C7456"/>
    <w:rsid w:val="7E7A29A0"/>
    <w:rsid w:val="7E7F2EF2"/>
    <w:rsid w:val="7E882595"/>
    <w:rsid w:val="7E9237F4"/>
    <w:rsid w:val="7E9C23FF"/>
    <w:rsid w:val="7EAC3DB1"/>
    <w:rsid w:val="7EBA7E3D"/>
    <w:rsid w:val="7EBD79FB"/>
    <w:rsid w:val="7ECA093A"/>
    <w:rsid w:val="7EE21B3D"/>
    <w:rsid w:val="7EE32691"/>
    <w:rsid w:val="7EE51821"/>
    <w:rsid w:val="7EEB3DDF"/>
    <w:rsid w:val="7EF22422"/>
    <w:rsid w:val="7EFF1226"/>
    <w:rsid w:val="7F036F56"/>
    <w:rsid w:val="7F111778"/>
    <w:rsid w:val="7F1C438B"/>
    <w:rsid w:val="7F200B28"/>
    <w:rsid w:val="7F206186"/>
    <w:rsid w:val="7F2328F2"/>
    <w:rsid w:val="7F2D384E"/>
    <w:rsid w:val="7F2D799B"/>
    <w:rsid w:val="7F4F32D5"/>
    <w:rsid w:val="7F5260FF"/>
    <w:rsid w:val="7F5B2863"/>
    <w:rsid w:val="7F6A1C55"/>
    <w:rsid w:val="7F744104"/>
    <w:rsid w:val="7F78432F"/>
    <w:rsid w:val="7F793A67"/>
    <w:rsid w:val="7F8777A9"/>
    <w:rsid w:val="7F8A1188"/>
    <w:rsid w:val="7F8A1E1D"/>
    <w:rsid w:val="7F9C5A59"/>
    <w:rsid w:val="7FA33F06"/>
    <w:rsid w:val="7FB22B89"/>
    <w:rsid w:val="7FBC2983"/>
    <w:rsid w:val="7FE02D7B"/>
    <w:rsid w:val="7FE12E0E"/>
    <w:rsid w:val="7FEF6436"/>
    <w:rsid w:val="7FFA2197"/>
    <w:rsid w:val="7FFE14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640" w:firstLineChars="200"/>
    </w:pPr>
    <w:rPr>
      <w:rFonts w:ascii="Calibri" w:hAnsi="Calibri" w:eastAsia="仿宋_GB2312" w:cs="Times New Roman"/>
      <w:kern w:val="2"/>
      <w:sz w:val="32"/>
      <w:szCs w:val="24"/>
      <w:lang w:val="en-US" w:eastAsia="zh-CN" w:bidi="ar-SA"/>
    </w:rPr>
  </w:style>
  <w:style w:type="paragraph" w:styleId="3">
    <w:name w:val="heading 1"/>
    <w:basedOn w:val="1"/>
    <w:next w:val="1"/>
    <w:link w:val="28"/>
    <w:qFormat/>
    <w:uiPriority w:val="0"/>
    <w:pPr>
      <w:ind w:firstLine="0" w:firstLineChars="0"/>
      <w:jc w:val="center"/>
      <w:outlineLvl w:val="0"/>
    </w:pPr>
    <w:rPr>
      <w:rFonts w:hint="eastAsia" w:ascii="宋体" w:hAnsi="宋体" w:eastAsia="黑体"/>
      <w:bCs/>
      <w:kern w:val="44"/>
      <w:szCs w:val="48"/>
    </w:rPr>
  </w:style>
  <w:style w:type="paragraph" w:styleId="4">
    <w:name w:val="heading 2"/>
    <w:basedOn w:val="1"/>
    <w:next w:val="1"/>
    <w:link w:val="21"/>
    <w:unhideWhenUsed/>
    <w:qFormat/>
    <w:uiPriority w:val="0"/>
    <w:pPr>
      <w:ind w:firstLine="0" w:firstLineChars="0"/>
      <w:jc w:val="center"/>
      <w:outlineLvl w:val="1"/>
    </w:pPr>
    <w:rPr>
      <w:rFonts w:ascii="Calibri Light" w:hAnsi="Calibri Light" w:eastAsia="楷体_GB2312"/>
      <w:bCs/>
      <w:szCs w:val="32"/>
    </w:rPr>
  </w:style>
  <w:style w:type="paragraph" w:styleId="5">
    <w:name w:val="heading 3"/>
    <w:basedOn w:val="1"/>
    <w:next w:val="1"/>
    <w:semiHidden/>
    <w:unhideWhenUsed/>
    <w:qFormat/>
    <w:uiPriority w:val="0"/>
    <w:pPr>
      <w:keepNext/>
      <w:keepLines/>
      <w:outlineLvl w:val="2"/>
    </w:pPr>
    <w:rPr>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annotation text"/>
    <w:basedOn w:val="1"/>
    <w:link w:val="30"/>
    <w:semiHidden/>
    <w:unhideWhenUsed/>
    <w:qFormat/>
    <w:uiPriority w:val="0"/>
  </w:style>
  <w:style w:type="paragraph" w:styleId="7">
    <w:name w:val="Body Text"/>
    <w:unhideWhenUsed/>
    <w:qFormat/>
    <w:uiPriority w:val="99"/>
    <w:pPr>
      <w:widowControl w:val="0"/>
      <w:spacing w:after="120" w:line="60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8">
    <w:name w:val="Balloon Text"/>
    <w:basedOn w:val="1"/>
    <w:link w:val="29"/>
    <w:semiHidden/>
    <w:unhideWhenUsed/>
    <w:qFormat/>
    <w:uiPriority w:val="0"/>
    <w:pPr>
      <w:spacing w:line="240" w:lineRule="auto"/>
    </w:pPr>
    <w:rPr>
      <w:sz w:val="18"/>
      <w:szCs w:val="18"/>
    </w:rPr>
  </w:style>
  <w:style w:type="paragraph" w:styleId="9">
    <w:name w:val="footer"/>
    <w:link w:val="27"/>
    <w:qFormat/>
    <w:uiPriority w:val="99"/>
    <w:pPr>
      <w:widowControl w:val="0"/>
      <w:tabs>
        <w:tab w:val="center" w:pos="4153"/>
        <w:tab w:val="right" w:pos="8306"/>
      </w:tabs>
      <w:snapToGrid w:val="0"/>
      <w:spacing w:line="240" w:lineRule="atLeast"/>
      <w:ind w:firstLine="640" w:firstLineChars="200"/>
    </w:pPr>
    <w:rPr>
      <w:rFonts w:eastAsia="仿宋_GB2312" w:asciiTheme="minorHAnsi" w:hAnsiTheme="minorHAnsi" w:cstheme="minorBidi"/>
      <w:kern w:val="2"/>
      <w:sz w:val="18"/>
      <w:szCs w:val="18"/>
      <w:lang w:val="en-US" w:eastAsia="zh-CN" w:bidi="ar-SA"/>
    </w:rPr>
  </w:style>
  <w:style w:type="paragraph" w:styleId="10">
    <w:name w:val="header"/>
    <w:link w:val="26"/>
    <w:qFormat/>
    <w:uiPriority w:val="99"/>
    <w:pPr>
      <w:widowControl w:val="0"/>
      <w:pBdr>
        <w:bottom w:val="single" w:color="auto" w:sz="6" w:space="1"/>
      </w:pBdr>
      <w:tabs>
        <w:tab w:val="center" w:pos="4153"/>
        <w:tab w:val="right" w:pos="8306"/>
      </w:tabs>
      <w:snapToGrid w:val="0"/>
      <w:spacing w:line="240" w:lineRule="atLeast"/>
      <w:ind w:firstLine="640" w:firstLineChars="200"/>
      <w:jc w:val="center"/>
    </w:pPr>
    <w:rPr>
      <w:rFonts w:eastAsia="仿宋_GB2312" w:asciiTheme="minorHAnsi" w:hAnsiTheme="minorHAnsi" w:cstheme="minorBidi"/>
      <w:kern w:val="2"/>
      <w:sz w:val="18"/>
      <w:szCs w:val="18"/>
      <w:lang w:val="en-US" w:eastAsia="zh-CN" w:bidi="ar-SA"/>
    </w:rPr>
  </w:style>
  <w:style w:type="paragraph" w:styleId="11">
    <w:name w:val="toc 2"/>
    <w:basedOn w:val="1"/>
    <w:next w:val="1"/>
    <w:qFormat/>
    <w:uiPriority w:val="0"/>
    <w:pPr>
      <w:ind w:left="420" w:leftChars="200"/>
    </w:pPr>
  </w:style>
  <w:style w:type="paragraph" w:styleId="12">
    <w:name w:val="Normal (Web)"/>
    <w:qFormat/>
    <w:uiPriority w:val="0"/>
    <w:pPr>
      <w:widowControl w:val="0"/>
      <w:spacing w:beforeAutospacing="1" w:afterAutospacing="1" w:line="600" w:lineRule="exact"/>
      <w:ind w:firstLine="640" w:firstLineChars="200"/>
    </w:pPr>
    <w:rPr>
      <w:rFonts w:eastAsia="仿宋_GB2312" w:cs="Times New Roman" w:asciiTheme="minorHAnsi" w:hAnsiTheme="minorHAnsi"/>
      <w:sz w:val="24"/>
      <w:szCs w:val="24"/>
      <w:lang w:val="en-US" w:eastAsia="zh-CN" w:bidi="ar-SA"/>
    </w:rPr>
  </w:style>
  <w:style w:type="paragraph" w:styleId="13">
    <w:name w:val="Title"/>
    <w:basedOn w:val="1"/>
    <w:next w:val="1"/>
    <w:link w:val="22"/>
    <w:qFormat/>
    <w:uiPriority w:val="0"/>
    <w:pPr>
      <w:spacing w:before="240" w:after="60"/>
      <w:jc w:val="center"/>
      <w:outlineLvl w:val="0"/>
    </w:pPr>
    <w:rPr>
      <w:rFonts w:eastAsia="黑体" w:asciiTheme="majorHAnsi" w:hAnsiTheme="majorHAnsi" w:cstheme="majorBidi"/>
      <w:b/>
      <w:bCs/>
      <w:szCs w:val="32"/>
    </w:rPr>
  </w:style>
  <w:style w:type="paragraph" w:styleId="14">
    <w:name w:val="annotation subject"/>
    <w:basedOn w:val="6"/>
    <w:next w:val="6"/>
    <w:link w:val="31"/>
    <w:semiHidden/>
    <w:unhideWhenUsed/>
    <w:qFormat/>
    <w:uiPriority w:val="0"/>
    <w:rPr>
      <w:b/>
      <w:bCs/>
    </w:rPr>
  </w:style>
  <w:style w:type="character" w:styleId="17">
    <w:name w:val="Emphasis"/>
    <w:basedOn w:val="16"/>
    <w:qFormat/>
    <w:uiPriority w:val="0"/>
    <w:rPr>
      <w:i/>
    </w:rPr>
  </w:style>
  <w:style w:type="character" w:styleId="18">
    <w:name w:val="Hyperlink"/>
    <w:basedOn w:val="16"/>
    <w:qFormat/>
    <w:uiPriority w:val="0"/>
    <w:rPr>
      <w:color w:val="0000FF"/>
      <w:u w:val="single"/>
    </w:rPr>
  </w:style>
  <w:style w:type="character" w:styleId="19">
    <w:name w:val="annotation reference"/>
    <w:basedOn w:val="16"/>
    <w:semiHidden/>
    <w:unhideWhenUsed/>
    <w:qFormat/>
    <w:uiPriority w:val="0"/>
    <w:rPr>
      <w:sz w:val="21"/>
      <w:szCs w:val="21"/>
    </w:rPr>
  </w:style>
  <w:style w:type="character" w:customStyle="1" w:styleId="20">
    <w:name w:val="标题 1 字符"/>
    <w:qFormat/>
    <w:uiPriority w:val="0"/>
    <w:rPr>
      <w:rFonts w:ascii="宋体" w:hAnsi="宋体" w:eastAsia="黑体" w:cs="宋体"/>
      <w:bCs/>
      <w:kern w:val="44"/>
      <w:sz w:val="32"/>
      <w:szCs w:val="44"/>
    </w:rPr>
  </w:style>
  <w:style w:type="character" w:customStyle="1" w:styleId="21">
    <w:name w:val="标题 2 字符"/>
    <w:link w:val="4"/>
    <w:qFormat/>
    <w:uiPriority w:val="0"/>
    <w:rPr>
      <w:rFonts w:ascii="Calibri Light" w:hAnsi="Calibri Light" w:eastAsia="楷体_GB2312" w:cs="Times New Roman"/>
      <w:bCs/>
      <w:szCs w:val="32"/>
    </w:rPr>
  </w:style>
  <w:style w:type="character" w:customStyle="1" w:styleId="22">
    <w:name w:val="标题 字符"/>
    <w:basedOn w:val="16"/>
    <w:link w:val="13"/>
    <w:qFormat/>
    <w:uiPriority w:val="10"/>
    <w:rPr>
      <w:rFonts w:eastAsia="黑体" w:asciiTheme="majorHAnsi" w:hAnsiTheme="majorHAnsi" w:cstheme="majorBidi"/>
      <w:b/>
      <w:bCs/>
      <w:sz w:val="32"/>
      <w:szCs w:val="32"/>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25">
    <w:name w:val="List Paragraph"/>
    <w:basedOn w:val="1"/>
    <w:qFormat/>
    <w:uiPriority w:val="99"/>
    <w:pPr>
      <w:ind w:firstLine="420"/>
    </w:pPr>
  </w:style>
  <w:style w:type="character" w:customStyle="1" w:styleId="26">
    <w:name w:val="页眉 字符"/>
    <w:basedOn w:val="16"/>
    <w:link w:val="10"/>
    <w:qFormat/>
    <w:uiPriority w:val="99"/>
    <w:rPr>
      <w:rFonts w:eastAsia="仿宋_GB2312"/>
      <w:kern w:val="2"/>
      <w:sz w:val="18"/>
      <w:szCs w:val="18"/>
    </w:rPr>
  </w:style>
  <w:style w:type="character" w:customStyle="1" w:styleId="27">
    <w:name w:val="页脚 字符"/>
    <w:basedOn w:val="16"/>
    <w:link w:val="9"/>
    <w:qFormat/>
    <w:uiPriority w:val="99"/>
    <w:rPr>
      <w:rFonts w:eastAsia="仿宋_GB2312"/>
      <w:kern w:val="2"/>
      <w:sz w:val="18"/>
      <w:szCs w:val="18"/>
    </w:rPr>
  </w:style>
  <w:style w:type="character" w:customStyle="1" w:styleId="28">
    <w:name w:val="标题 1 字符1"/>
    <w:link w:val="3"/>
    <w:qFormat/>
    <w:uiPriority w:val="0"/>
    <w:rPr>
      <w:rFonts w:ascii="宋体" w:hAnsi="宋体" w:eastAsia="黑体"/>
      <w:bCs/>
      <w:kern w:val="44"/>
      <w:sz w:val="32"/>
      <w:szCs w:val="44"/>
    </w:rPr>
  </w:style>
  <w:style w:type="character" w:customStyle="1" w:styleId="29">
    <w:name w:val="批注框文本 字符"/>
    <w:basedOn w:val="16"/>
    <w:link w:val="8"/>
    <w:semiHidden/>
    <w:qFormat/>
    <w:uiPriority w:val="0"/>
    <w:rPr>
      <w:rFonts w:ascii="Calibri" w:hAnsi="Calibri" w:eastAsia="仿宋_GB2312"/>
      <w:kern w:val="2"/>
      <w:sz w:val="18"/>
      <w:szCs w:val="18"/>
    </w:rPr>
  </w:style>
  <w:style w:type="character" w:customStyle="1" w:styleId="30">
    <w:name w:val="批注文字 字符"/>
    <w:basedOn w:val="16"/>
    <w:link w:val="6"/>
    <w:semiHidden/>
    <w:qFormat/>
    <w:uiPriority w:val="0"/>
    <w:rPr>
      <w:rFonts w:ascii="Calibri" w:hAnsi="Calibri" w:eastAsia="仿宋_GB2312"/>
      <w:kern w:val="2"/>
      <w:sz w:val="32"/>
      <w:szCs w:val="24"/>
    </w:rPr>
  </w:style>
  <w:style w:type="character" w:customStyle="1" w:styleId="31">
    <w:name w:val="批注主题 字符"/>
    <w:basedOn w:val="30"/>
    <w:link w:val="14"/>
    <w:semiHidden/>
    <w:qFormat/>
    <w:uiPriority w:val="0"/>
    <w:rPr>
      <w:rFonts w:ascii="Calibri" w:hAnsi="Calibri" w:eastAsia="仿宋_GB2312"/>
      <w:b/>
      <w:bCs/>
      <w:kern w:val="2"/>
      <w:sz w:val="32"/>
      <w:szCs w:val="24"/>
    </w:rPr>
  </w:style>
  <w:style w:type="paragraph" w:customStyle="1" w:styleId="32">
    <w:name w:val="Revision"/>
    <w:hidden/>
    <w:semiHidden/>
    <w:qFormat/>
    <w:uiPriority w:val="99"/>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37B3E-4BE0-4488-8887-36A5329A7DD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8889</Words>
  <Characters>50672</Characters>
  <Lines>422</Lines>
  <Paragraphs>118</Paragraphs>
  <TotalTime>0</TotalTime>
  <ScaleCrop>false</ScaleCrop>
  <LinksUpToDate>false</LinksUpToDate>
  <CharactersWithSpaces>59443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2021-07-01T09:43:00Z</dcterms:created>
  <dc:creator>86155</dc:creator>
  <cp:lastModifiedBy>Administrator</cp:lastModifiedBy>
  <cp:lastPrinted>2021-07-01T07:27:00Z</cp:lastPrinted>
  <dcterms:modified xsi:type="dcterms:W3CDTF">2023-09-04T06:29:39Z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901E896CB5CA42F0921A482E68BE0A5A_12</vt:lpwstr>
  </property>
</Properties>
</file>