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bookmarkStart w:id="0" w:name="_Toc155861768"/>
      <w:bookmarkStart w:id="188" w:name="_GoBack"/>
      <w:bookmarkEnd w:id="188"/>
      <w:r>
        <mc:AlternateContent>
          <mc:Choice Requires="wps">
            <w:drawing>
              <wp:anchor distT="0" distB="0" distL="114300" distR="114300" simplePos="0" relativeHeight="251660288" behindDoc="0" locked="0" layoutInCell="1" allowOverlap="1">
                <wp:simplePos x="0" y="0"/>
                <wp:positionH relativeFrom="column">
                  <wp:posOffset>1567180</wp:posOffset>
                </wp:positionH>
                <wp:positionV relativeFrom="paragraph">
                  <wp:posOffset>269240</wp:posOffset>
                </wp:positionV>
                <wp:extent cx="4206875" cy="1060450"/>
                <wp:effectExtent l="4445" t="4445" r="17780" b="20955"/>
                <wp:wrapNone/>
                <wp:docPr id="5" name="文本框 4"/>
                <wp:cNvGraphicFramePr/>
                <a:graphic xmlns:a="http://schemas.openxmlformats.org/drawingml/2006/main">
                  <a:graphicData uri="http://schemas.microsoft.com/office/word/2010/wordprocessingShape">
                    <wps:wsp>
                      <wps:cNvSpPr txBox="1"/>
                      <wps:spPr>
                        <a:xfrm>
                          <a:off x="0" y="0"/>
                          <a:ext cx="4206875" cy="106045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jc w:val="center"/>
                              <w:rPr>
                                <w:rFonts w:ascii="方正小标宋简体" w:eastAsia="方正小标宋简体"/>
                                <w:color w:val="FF0000"/>
                                <w:w w:val="59"/>
                                <w:sz w:val="114"/>
                                <w:szCs w:val="114"/>
                              </w:rPr>
                            </w:pPr>
                            <w:r>
                              <w:rPr>
                                <w:rFonts w:hint="eastAsia" w:ascii="方正小标宋简体" w:eastAsia="方正小标宋简体"/>
                                <w:color w:val="FF0000"/>
                                <w:w w:val="59"/>
                                <w:sz w:val="114"/>
                                <w:szCs w:val="114"/>
                              </w:rPr>
                              <w:t>唐王街道办事处文件</w:t>
                            </w:r>
                          </w:p>
                          <w:p>
                            <w:pPr>
                              <w:rPr>
                                <w:rFonts w:ascii="方正小标宋简体" w:eastAsia="方正小标宋简体"/>
                                <w:color w:val="FF0000"/>
                                <w:w w:val="60"/>
                                <w:sz w:val="110"/>
                                <w:szCs w:val="110"/>
                              </w:rPr>
                            </w:pPr>
                          </w:p>
                          <w:p>
                            <w:pPr>
                              <w:rPr>
                                <w:rFonts w:ascii="方正小标宋简体" w:eastAsia="方正小标宋简体"/>
                                <w:color w:val="FF0000"/>
                                <w:w w:val="60"/>
                                <w:sz w:val="110"/>
                                <w:szCs w:val="110"/>
                              </w:rPr>
                            </w:pPr>
                          </w:p>
                        </w:txbxContent>
                      </wps:txbx>
                      <wps:bodyPr upright="1"/>
                    </wps:wsp>
                  </a:graphicData>
                </a:graphic>
              </wp:anchor>
            </w:drawing>
          </mc:Choice>
          <mc:Fallback>
            <w:pict>
              <v:shape id="文本框 4" o:spid="_x0000_s1026" o:spt="202" type="#_x0000_t202" style="position:absolute;left:0pt;margin-left:123.4pt;margin-top:21.2pt;height:83.5pt;width:331.25pt;z-index:251660288;mso-width-relative:page;mso-height-relative:page;" fillcolor="#FFFFFF" filled="t" stroked="t" coordsize="21600,21600" o:gfxdata="UEsDBAoAAAAAAIdO4kAAAAAAAAAAAAAAAAAEAAAAZHJzL1BLAwQUAAAACACHTuJArza0GNgAAAAK&#10;AQAADwAAAGRycy9kb3ducmV2LnhtbE2PwU7DMBBE70j8g7VIXBC1a6KKhDgVqkCcW7hwc+NtEhGv&#10;k9htWr6e5QTH0Yxm3pTrs+/FCafYBTKwXCgQSHVwHTUGPt5f7x9BxGTJ2T4QGrhghHV1fVXawoWZ&#10;tnjapUZwCcXCGmhTGgopY92it3ERBiT2DmHyNrGcGukmO3O576VWaiW97YgXWjvgpsX6a3f0BsL8&#10;cvEBR6XvPr/92+Z53B70aMztzVI9gUh4Tn9h+MVndKiYaR+O5KLoDehsxejJQKYzEBzIVf4AYs+O&#10;yjOQVSn/X6h+AFBLAwQUAAAACACHTuJA8MAxLQkCAAA3BAAADgAAAGRycy9lMm9Eb2MueG1srVNL&#10;jhMxEN0jcQfLe9KdKAlDK52RIIQNAqSBAzi2u9uSf3I56c4F4Aas2LDnXDnHlN2ZDDNssiCLTtku&#10;v3rvVXl1OxhNDjKAcram00lJibTcCWXbmn77un11QwlEZgXTzsqaHiXQ2/XLF6veV3LmOqeFDARB&#10;LFS9r2kXo6+KAngnDYOJ89LiYeOCYRGXoS1EYD2iG13MynJZ9C4IHxyXALi7GQ/pGTFcA+iaRnG5&#10;cXxvpI0japCaRZQEnfJA15lt00gePzcNyEh0TVFpzF8sgvEufYv1ilVtYL5T/EyBXUPhmSbDlMWi&#10;F6gNi4zsg/oHyigeHLgmTrgzxSgkO4IqpuUzb+465mXWglaDv5gO/w+Wfzp8CUSJmi4oscxgw08/&#10;f5x+/Tn9/k7myZ7eQ4VZdx7z4vDWDTg0D/uAm0n10AST/lEPwXM093gxVw6RcNycz8rlzWuswvFs&#10;Wi7L+SLbXzxe9wHiB+kMSUFNA3Yvm8oOHyEiFUx9SEnVwGkltkrrvAjt7p0O5MCw09v8SyzxypM0&#10;bUlf0zeLWSLCcHwbHBsMjUcLwLa53pMbcB1wIrZh0I0EMsI4XEZFGfKYdZKJ91aQePRos8XXRRMZ&#10;IwUlWuJjTFHOjEzpazJRnbYoMvVo7EWK4rAbECaFOyeO2Le9D6rt0NLcuZyO85TdOc9+Gti/1xn0&#10;8b2v7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vNrQY2AAAAAoBAAAPAAAAAAAAAAEAIAAAACIA&#10;AABkcnMvZG93bnJldi54bWxQSwECFAAUAAAACACHTuJA8MAxLQkCAAA3BAAADgAAAAAAAAABACAA&#10;AAAnAQAAZHJzL2Uyb0RvYy54bWxQSwUGAAAAAAYABgBZAQAAogUAAAAA&#10;">
                <v:fill on="t" focussize="0,0"/>
                <v:stroke color="#FFFFFF" joinstyle="miter"/>
                <v:imagedata o:title=""/>
                <o:lock v:ext="edit" aspectratio="f"/>
                <v:textbox>
                  <w:txbxContent>
                    <w:p>
                      <w:pPr>
                        <w:jc w:val="center"/>
                        <w:rPr>
                          <w:rFonts w:ascii="方正小标宋简体" w:eastAsia="方正小标宋简体"/>
                          <w:color w:val="FF0000"/>
                          <w:w w:val="59"/>
                          <w:sz w:val="114"/>
                          <w:szCs w:val="114"/>
                        </w:rPr>
                      </w:pPr>
                      <w:r>
                        <w:rPr>
                          <w:rFonts w:hint="eastAsia" w:ascii="方正小标宋简体" w:eastAsia="方正小标宋简体"/>
                          <w:color w:val="FF0000"/>
                          <w:w w:val="59"/>
                          <w:sz w:val="114"/>
                          <w:szCs w:val="114"/>
                        </w:rPr>
                        <w:t>唐王街道办事处文件</w:t>
                      </w:r>
                    </w:p>
                    <w:p>
                      <w:pPr>
                        <w:rPr>
                          <w:rFonts w:ascii="方正小标宋简体" w:eastAsia="方正小标宋简体"/>
                          <w:color w:val="FF0000"/>
                          <w:w w:val="60"/>
                          <w:sz w:val="110"/>
                          <w:szCs w:val="110"/>
                        </w:rPr>
                      </w:pPr>
                    </w:p>
                    <w:p>
                      <w:pPr>
                        <w:rPr>
                          <w:rFonts w:ascii="方正小标宋简体" w:eastAsia="方正小标宋简体"/>
                          <w:color w:val="FF0000"/>
                          <w:w w:val="60"/>
                          <w:sz w:val="110"/>
                          <w:szCs w:val="110"/>
                        </w:rPr>
                      </w:pPr>
                    </w:p>
                  </w:txbxContent>
                </v:textbox>
              </v:shape>
            </w:pict>
          </mc:Fallback>
        </mc:AlternateContent>
      </w:r>
    </w:p>
    <w:p>
      <w:r>
        <mc:AlternateContent>
          <mc:Choice Requires="wps">
            <w:drawing>
              <wp:anchor distT="0" distB="0" distL="114300" distR="114300" simplePos="0" relativeHeight="251659264" behindDoc="0" locked="0" layoutInCell="1" allowOverlap="1">
                <wp:simplePos x="0" y="0"/>
                <wp:positionH relativeFrom="column">
                  <wp:posOffset>112395</wp:posOffset>
                </wp:positionH>
                <wp:positionV relativeFrom="paragraph">
                  <wp:posOffset>66675</wp:posOffset>
                </wp:positionV>
                <wp:extent cx="1435735" cy="857250"/>
                <wp:effectExtent l="4445" t="5080" r="7620" b="13970"/>
                <wp:wrapNone/>
                <wp:docPr id="7" name="文本框 2"/>
                <wp:cNvGraphicFramePr/>
                <a:graphic xmlns:a="http://schemas.openxmlformats.org/drawingml/2006/main">
                  <a:graphicData uri="http://schemas.microsoft.com/office/word/2010/wordprocessingShape">
                    <wps:wsp>
                      <wps:cNvSpPr txBox="1"/>
                      <wps:spPr>
                        <a:xfrm>
                          <a:off x="0" y="0"/>
                          <a:ext cx="1435735" cy="85725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600" w:lineRule="exact"/>
                              <w:jc w:val="distribute"/>
                              <w:rPr>
                                <w:rFonts w:ascii="方正小标宋简体" w:eastAsia="方正小标宋简体"/>
                                <w:color w:val="FF0000"/>
                                <w:w w:val="66"/>
                                <w:sz w:val="52"/>
                                <w:szCs w:val="52"/>
                              </w:rPr>
                            </w:pPr>
                            <w:r>
                              <w:rPr>
                                <w:rFonts w:hint="eastAsia" w:ascii="方正小标宋简体" w:eastAsia="方正小标宋简体"/>
                                <w:color w:val="FF0000"/>
                                <w:w w:val="66"/>
                                <w:sz w:val="52"/>
                                <w:szCs w:val="52"/>
                              </w:rPr>
                              <w:t>济南市历城区</w:t>
                            </w:r>
                          </w:p>
                          <w:p>
                            <w:pPr>
                              <w:spacing w:line="600" w:lineRule="exact"/>
                              <w:jc w:val="distribute"/>
                              <w:rPr>
                                <w:rFonts w:ascii="方正小标宋简体" w:eastAsia="方正小标宋简体"/>
                                <w:color w:val="FF0000"/>
                                <w:w w:val="66"/>
                                <w:sz w:val="52"/>
                                <w:szCs w:val="52"/>
                              </w:rPr>
                            </w:pPr>
                            <w:r>
                              <w:rPr>
                                <w:rFonts w:hint="eastAsia" w:ascii="方正小标宋简体" w:eastAsia="方正小标宋简体"/>
                                <w:color w:val="FF0000"/>
                                <w:w w:val="66"/>
                                <w:sz w:val="52"/>
                                <w:szCs w:val="52"/>
                              </w:rPr>
                              <w:t>人民政府</w:t>
                            </w:r>
                          </w:p>
                        </w:txbxContent>
                      </wps:txbx>
                      <wps:bodyPr lIns="0" tIns="0" rIns="0" bIns="0" anchor="ctr" anchorCtr="0" upright="1"/>
                    </wps:wsp>
                  </a:graphicData>
                </a:graphic>
              </wp:anchor>
            </w:drawing>
          </mc:Choice>
          <mc:Fallback>
            <w:pict>
              <v:shape id="文本框 2" o:spid="_x0000_s1026" o:spt="202" type="#_x0000_t202" style="position:absolute;left:0pt;margin-left:8.85pt;margin-top:5.25pt;height:67.5pt;width:113.05pt;z-index:251659264;v-text-anchor:middle;mso-width-relative:page;mso-height-relative:page;" fillcolor="#FFFFFF" filled="t" stroked="t" coordsize="21600,21600" o:gfxdata="UEsDBAoAAAAAAIdO4kAAAAAAAAAAAAAAAAAEAAAAZHJzL1BLAwQUAAAACACHTuJALXSaBdcAAAAJ&#10;AQAADwAAAGRycy9kb3ducmV2LnhtbE1Py07DMBC8I/EP1iJxqajd0rQoxOmhghMCqQV6duMliRKv&#10;o9hp0r9nOZXTanZG88i2k2vFGftQe9KwmCsQSIW3NZUavj5fH55AhGjImtYTarhggG1+e5OZ1PqR&#10;9ng+xFKwCYXUaKhi7FIpQ1GhM2HuOyTmfnzvTGTYl9L2ZmRz18qlUmvpTE2cUJkOdxUWzWFwGorZ&#10;+7iTH7O3aX9Z183QHL/9y1Hr+7uFegYRcYpXMfzV5+qQc6eTH8gG0TLebFjJVyUgmF+uHnnKiR+r&#10;JAGZZ/L/gvwXUEsDBBQAAAAIAIdO4kAWBMoTJQIAAHUEAAAOAAAAZHJzL2Uyb0RvYy54bWytVM2O&#10;0zAQviPxDpbvNN0upUvVdCW2FCEhQFp4ANdxEkv+04zbpC8Ab8CJC3eeq8/B2Gm77HLpgRySsT3+&#10;5ptvZrK47a1hOwWovSv51WjMmXLSV9o1Jf/6Zf3ihjOMwlXCeKdKvlfIb5fPny26MFcT33pTKWAE&#10;4nDehZK3MYZ5UaBslRU48kE5Oqw9WBFpCU1RgegI3ZpiMh6/KjoPVQAvFSLtroZDfkSESwB9XWup&#10;Vl5urXJxQAVlRKSUsNUB+TKzrWsl46e6RhWZKTllGvObgpC9Se9iuRDzBkRotTxSEJdQeJKTFdpR&#10;0DPUSkTBtqD/gbJagkdfx5H0thgSyYpQFlfjJ9rctyKonAtJjeEsOv4/WPlx9xmYrko+48wJSwU/&#10;/Ph++Pn78OsbmyR5uoBz8roP5Bf7N76npjntI22mrPsabPpSPozOSdz9WVzVRybTpZfX09n1lDNJ&#10;ZzfT2WSa1S8ebgfA+E55y5JRcqDiZU3F7gNGYkKuJ5cUDL3R1VobkxfQbO4MsJ2gQq/zk0jSlUdu&#10;xrGu5K+nk8RDUPfW1DVk2kAKoGtyvEc38DLgRGwlsB0IZISht6yOCnKXtUpUb13F4j6Qyo6Giycy&#10;VlWcGUWzmKzsGYU2l3hSdsZRkqlEQymSFftNTzDJ3PhqT2Uz7x21TGr/kwEnY3MyhJOtp8GQETgb&#10;FndxGJRtAN20VJFc9xyNujGLe5yc1O5/rzOnh7/F8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t&#10;dJoF1wAAAAkBAAAPAAAAAAAAAAEAIAAAACIAAABkcnMvZG93bnJldi54bWxQSwECFAAUAAAACACH&#10;TuJAFgTKEyUCAAB1BAAADgAAAAAAAAABACAAAAAmAQAAZHJzL2Uyb0RvYy54bWxQSwUGAAAAAAYA&#10;BgBZAQAAvQUAAAAA&#10;">
                <v:fill on="t" focussize="0,0"/>
                <v:stroke color="#FFFFFF" joinstyle="miter"/>
                <v:imagedata o:title=""/>
                <o:lock v:ext="edit" aspectratio="f"/>
                <v:textbox inset="0mm,0mm,0mm,0mm">
                  <w:txbxContent>
                    <w:p>
                      <w:pPr>
                        <w:spacing w:line="600" w:lineRule="exact"/>
                        <w:jc w:val="distribute"/>
                        <w:rPr>
                          <w:rFonts w:ascii="方正小标宋简体" w:eastAsia="方正小标宋简体"/>
                          <w:color w:val="FF0000"/>
                          <w:w w:val="66"/>
                          <w:sz w:val="52"/>
                          <w:szCs w:val="52"/>
                        </w:rPr>
                      </w:pPr>
                      <w:r>
                        <w:rPr>
                          <w:rFonts w:hint="eastAsia" w:ascii="方正小标宋简体" w:eastAsia="方正小标宋简体"/>
                          <w:color w:val="FF0000"/>
                          <w:w w:val="66"/>
                          <w:sz w:val="52"/>
                          <w:szCs w:val="52"/>
                        </w:rPr>
                        <w:t>济南市历城区</w:t>
                      </w:r>
                    </w:p>
                    <w:p>
                      <w:pPr>
                        <w:spacing w:line="600" w:lineRule="exact"/>
                        <w:jc w:val="distribute"/>
                        <w:rPr>
                          <w:rFonts w:ascii="方正小标宋简体" w:eastAsia="方正小标宋简体"/>
                          <w:color w:val="FF0000"/>
                          <w:w w:val="66"/>
                          <w:sz w:val="52"/>
                          <w:szCs w:val="52"/>
                        </w:rPr>
                      </w:pPr>
                      <w:r>
                        <w:rPr>
                          <w:rFonts w:hint="eastAsia" w:ascii="方正小标宋简体" w:eastAsia="方正小标宋简体"/>
                          <w:color w:val="FF0000"/>
                          <w:w w:val="66"/>
                          <w:sz w:val="52"/>
                          <w:szCs w:val="52"/>
                        </w:rPr>
                        <w:t>人民政府</w:t>
                      </w:r>
                    </w:p>
                  </w:txbxContent>
                </v:textbox>
              </v:shape>
            </w:pict>
          </mc:Fallback>
        </mc:AlternateContent>
      </w:r>
    </w:p>
    <w:p/>
    <w:p/>
    <w:p>
      <w:pPr>
        <w:keepNext w:val="0"/>
        <w:keepLines w:val="0"/>
        <w:pageBreakBefore w:val="0"/>
        <w:widowControl/>
        <w:kinsoku/>
        <w:wordWrap/>
        <w:overflowPunct/>
        <w:topLinePunct w:val="0"/>
        <w:autoSpaceDE/>
        <w:autoSpaceDN/>
        <w:bidi w:val="0"/>
        <w:adjustRightInd w:val="0"/>
        <w:snapToGrid w:val="0"/>
        <w:spacing w:after="0" w:line="540" w:lineRule="exact"/>
        <w:ind w:firstLine="540"/>
        <w:jc w:val="center"/>
        <w:textAlignment w:val="auto"/>
        <w:rPr>
          <w:rFonts w:ascii="黑体" w:eastAsia="黑体"/>
          <w:sz w:val="36"/>
          <w:szCs w:val="36"/>
        </w:rPr>
      </w:pPr>
      <w:r>
        <w:rPr>
          <w:rFonts w:hint="eastAsia" w:ascii="方正小标宋简体" w:eastAsia="方正小标宋简体"/>
          <w:sz w:val="44"/>
          <w:szCs w:val="44"/>
        </w:rPr>
        <w:t xml:space="preserve"> </w:t>
      </w:r>
      <w:r>
        <w:rPr>
          <w:rFonts w:hint="eastAsia" w:ascii="仿宋" w:hAnsi="仿宋" w:eastAsia="仿宋" w:cs="仿宋"/>
          <w:b/>
          <w:sz w:val="44"/>
          <w:szCs w:val="44"/>
          <w:lang w:val="en-US" w:eastAsia="zh-CN"/>
        </w:rPr>
        <w:t xml:space="preserve"> </w:t>
      </w:r>
      <w:r>
        <w:rPr>
          <w:rFonts w:hint="eastAsia"/>
          <w:b/>
          <w:sz w:val="36"/>
          <w:szCs w:val="36"/>
        </w:rPr>
        <w:t xml:space="preserve"> </w:t>
      </w:r>
    </w:p>
    <w:p>
      <w:pPr>
        <w:keepNext w:val="0"/>
        <w:keepLines w:val="0"/>
        <w:pageBreakBefore w:val="0"/>
        <w:widowControl/>
        <w:kinsoku/>
        <w:wordWrap/>
        <w:overflowPunct/>
        <w:topLinePunct w:val="0"/>
        <w:autoSpaceDE/>
        <w:autoSpaceDN/>
        <w:bidi w:val="0"/>
        <w:adjustRightInd w:val="0"/>
        <w:snapToGrid w:val="0"/>
        <w:spacing w:after="0" w:line="540" w:lineRule="exact"/>
        <w:jc w:val="center"/>
        <w:textAlignment w:val="auto"/>
        <w:rPr>
          <w:rFonts w:ascii="黑体" w:eastAsia="黑体"/>
          <w:sz w:val="36"/>
          <w:szCs w:val="36"/>
        </w:rPr>
      </w:pPr>
      <w:r>
        <w:rPr>
          <w:rFonts w:hint="eastAsia" w:ascii="仿宋_GB2312" w:eastAsia="仿宋_GB2312"/>
          <w:sz w:val="32"/>
          <w:szCs w:val="32"/>
        </w:rPr>
        <w:t>济历城唐办发〔202</w:t>
      </w:r>
      <w:r>
        <w:rPr>
          <w:rFonts w:hint="eastAsia" w:ascii="仿宋_GB2312" w:eastAsia="仿宋_GB2312"/>
          <w:sz w:val="32"/>
          <w:szCs w:val="32"/>
          <w:lang w:val="en-US" w:eastAsia="zh-CN"/>
        </w:rPr>
        <w:t>3</w:t>
      </w:r>
      <w:r>
        <w:rPr>
          <w:rFonts w:hint="eastAsia" w:ascii="仿宋_GB2312" w:eastAsia="仿宋_GB2312"/>
          <w:sz w:val="32"/>
          <w:szCs w:val="32"/>
        </w:rPr>
        <w:t>〕</w:t>
      </w:r>
      <w:r>
        <w:rPr>
          <w:rFonts w:hint="eastAsia" w:ascii="仿宋_GB2312" w:eastAsia="仿宋_GB2312"/>
          <w:sz w:val="32"/>
          <w:szCs w:val="32"/>
          <w:lang w:val="en-US" w:eastAsia="zh-CN"/>
        </w:rPr>
        <w:t>40</w:t>
      </w:r>
      <w:r>
        <w:rPr>
          <w:rFonts w:hint="eastAsia" w:ascii="仿宋_GB2312" w:eastAsia="仿宋_GB2312"/>
          <w:sz w:val="32"/>
          <w:szCs w:val="32"/>
        </w:rPr>
        <w:t>号</w:t>
      </w:r>
    </w:p>
    <w:p>
      <w:pPr>
        <w:keepNext w:val="0"/>
        <w:keepLines w:val="0"/>
        <w:pageBreakBefore w:val="0"/>
        <w:widowControl/>
        <w:kinsoku/>
        <w:wordWrap/>
        <w:overflowPunct/>
        <w:topLinePunct w:val="0"/>
        <w:autoSpaceDE/>
        <w:autoSpaceDN/>
        <w:bidi w:val="0"/>
        <w:adjustRightInd w:val="0"/>
        <w:snapToGrid w:val="0"/>
        <w:spacing w:after="0" w:line="440" w:lineRule="exact"/>
        <w:ind w:firstLine="540"/>
        <w:jc w:val="center"/>
        <w:textAlignment w:val="auto"/>
        <w:rPr>
          <w:rFonts w:ascii="黑体" w:eastAsia="黑体"/>
          <w:sz w:val="36"/>
          <w:szCs w:val="36"/>
        </w:rPr>
      </w:pPr>
      <w:r>
        <w:rPr>
          <w:sz w:val="36"/>
          <w:szCs w:val="36"/>
        </w:rPr>
        <mc:AlternateContent>
          <mc:Choice Requires="wps">
            <w:drawing>
              <wp:anchor distT="0" distB="0" distL="114300" distR="114300" simplePos="0" relativeHeight="251661312" behindDoc="0" locked="0" layoutInCell="1" allowOverlap="1">
                <wp:simplePos x="0" y="0"/>
                <wp:positionH relativeFrom="column">
                  <wp:posOffset>33020</wp:posOffset>
                </wp:positionH>
                <wp:positionV relativeFrom="paragraph">
                  <wp:posOffset>41275</wp:posOffset>
                </wp:positionV>
                <wp:extent cx="5699125" cy="1905"/>
                <wp:effectExtent l="0" t="0" r="0" b="0"/>
                <wp:wrapNone/>
                <wp:docPr id="8" name="自选图形 6"/>
                <wp:cNvGraphicFramePr/>
                <a:graphic xmlns:a="http://schemas.openxmlformats.org/drawingml/2006/main">
                  <a:graphicData uri="http://schemas.microsoft.com/office/word/2010/wordprocessingShape">
                    <wps:wsp>
                      <wps:cNvCnPr/>
                      <wps:spPr>
                        <a:xfrm flipV="1">
                          <a:off x="0" y="0"/>
                          <a:ext cx="5699125" cy="1905"/>
                        </a:xfrm>
                        <a:prstGeom prst="straightConnector1">
                          <a:avLst/>
                        </a:prstGeom>
                        <a:ln w="19050" cap="flat" cmpd="sng">
                          <a:solidFill>
                            <a:srgbClr val="FF0000"/>
                          </a:solidFill>
                          <a:prstDash val="solid"/>
                          <a:headEnd type="none" w="med" len="med"/>
                          <a:tailEnd type="none" w="med" len="med"/>
                        </a:ln>
                      </wps:spPr>
                      <wps:bodyPr/>
                    </wps:wsp>
                  </a:graphicData>
                </a:graphic>
              </wp:anchor>
            </w:drawing>
          </mc:Choice>
          <mc:Fallback>
            <w:pict>
              <v:shape id="自选图形 6" o:spid="_x0000_s1026" o:spt="32" type="#_x0000_t32" style="position:absolute;left:0pt;flip:y;margin-left:2.6pt;margin-top:3.25pt;height:0.15pt;width:448.75pt;z-index:251661312;mso-width-relative:page;mso-height-relative:page;" filled="f" stroked="t" coordsize="21600,21600" o:gfxdata="UEsDBAoAAAAAAIdO4kAAAAAAAAAAAAAAAAAEAAAAZHJzL1BLAwQUAAAACACHTuJAaZyJjdQAAAAF&#10;AQAADwAAAGRycy9kb3ducmV2LnhtbE2OwU7DMBBE70j8g7VI3KjdiIY2xKlUEBKIE2k/wI2XOBCv&#10;o9htWr6e5VSOoxm9eeX65HtxxDF2gTTMZwoEUhNsR62G3fblbgkiJkPW9IFQwxkjrKvrq9IUNkz0&#10;gcc6tYIhFAujwaU0FFLGxqE3cRYGJO4+w+hN4ji20o5mYrjvZaZULr3piB+cGfDJYfNdH7yGaZXs&#10;8+Yrf/25P9dpfKfN9m3ntL69matHEAlP6TKGP31Wh4qd9uFANopewyLjoYZ8AYLblcoeQOw5L0FW&#10;pfxvX/0CUEsDBBQAAAAIAIdO4kA3EsIW/AEAAPEDAAAOAAAAZHJzL2Uyb0RvYy54bWytU7uuEzEQ&#10;7ZH4B8s92U2kRNxVNrdICA2CSDx6x49dS37J45tNOjrEN9BR8g/wN1eCv2DsDQEuTQq2WI09M2fm&#10;nBkvb4/WkIOMoL1r6XRSUyId90K7rqVv32yfPKUEEnOCGe9kS08S6O3q8aPlEBo58703QkaCIA6a&#10;IbS0Tyk0VQW8l5bBxAfp0Kl8tCzhMXaViGxAdGuqWV0vqsFHEaLnEgBvN6OTnhHjNYBeKc3lxvM7&#10;K10aUaM0LCEl6HUAuirdKiV5eqUUyERMS5FpKn8sgvY+/6vVkjVdZKHX/NwCu6aFB5ws0w6LXqA2&#10;LDFyF/U/UFbz6MGrNOHeViORogiymNYPtHndsyALF5QawkV0+H+w/OVhF4kWLcWxO2Zx4N8/fPnx&#10;/uP9p2/3Xz+TRVZoCNBg4Nrt4vkEYRcz3aOKliijwztcpSIAUiLHou/poq88JsLxcr64uZnO5pRw&#10;9E1v6nkGr0aUjBYipOfSW5KNlkKKTHd9WnvncJA+jhXY4QWkMfFXQk42jgwjKs6WM9xMhRuBpg3I&#10;DlxX2gNvtNhqY3IKxG6/NpEcGG7Hdlvjd+7or7BcZcOgH+OKK4exppdMPHOCpFNA3Rw+F5p7sFJQ&#10;YiS+rmyVyMS0uSYSxTAONcmKjxpna+/FqUhf7nETimrnrc2r9ue5ZP9+qa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aZyJjdQAAAAFAQAADwAAAAAAAAABACAAAAAiAAAAZHJzL2Rvd25yZXYueG1s&#10;UEsBAhQAFAAAAAgAh07iQDcSwhb8AQAA8QMAAA4AAAAAAAAAAQAgAAAAIwEAAGRycy9lMm9Eb2Mu&#10;eG1sUEsFBgAAAAAGAAYAWQEAAJEFAAAAAA==&#10;">
                <v:fill on="f" focussize="0,0"/>
                <v:stroke weight="1.5pt" color="#FF0000" joinstyle="round"/>
                <v:imagedata o:title=""/>
                <o:lock v:ext="edit" aspectratio="f"/>
              </v:shape>
            </w:pict>
          </mc:Fallback>
        </mc:AlternateContent>
      </w:r>
    </w:p>
    <w:p>
      <w:pPr>
        <w:widowControl/>
        <w:adjustRightInd w:val="0"/>
        <w:snapToGrid w:val="0"/>
        <w:spacing w:line="440" w:lineRule="exact"/>
        <w:ind w:firstLine="540"/>
        <w:jc w:val="center"/>
        <w:rPr>
          <w:rFonts w:hint="eastAsia"/>
        </w:rPr>
      </w:pPr>
      <w:r>
        <w:rPr>
          <w:rFonts w:hint="eastAsia" w:ascii="黑体" w:eastAsia="黑体"/>
          <w:sz w:val="36"/>
          <w:szCs w:val="36"/>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济南市历城区人民政府唐王街道办事处</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关于印发《唐王街道防灭火与疏散应急预案》的通</w:t>
      </w:r>
      <w:r>
        <w:rPr>
          <w:rFonts w:hint="eastAsia" w:ascii="方正小标宋简体" w:hAnsi="方正小标宋简体" w:eastAsia="方正小标宋简体" w:cs="方正小标宋简体"/>
          <w:sz w:val="44"/>
          <w:szCs w:val="44"/>
          <w:lang w:val="en-US" w:eastAsia="zh-CN"/>
        </w:rPr>
        <w:t xml:space="preserve">    </w:t>
      </w:r>
      <w:r>
        <w:rPr>
          <w:rFonts w:hint="eastAsia" w:ascii="方正小标宋简体" w:hAnsi="方正小标宋简体" w:eastAsia="方正小标宋简体" w:cs="方正小标宋简体"/>
          <w:sz w:val="44"/>
          <w:szCs w:val="44"/>
          <w:lang w:eastAsia="zh-CN"/>
        </w:rPr>
        <w:t>知</w:t>
      </w:r>
    </w:p>
    <w:p>
      <w:pPr>
        <w:rPr>
          <w:rFonts w:hint="eastAsia" w:ascii="仿宋_GB2312" w:hAnsi="仿宋_GB2312" w:eastAsia="仿宋_GB2312" w:cs="仿宋_GB2312"/>
          <w:sz w:val="32"/>
          <w:szCs w:val="32"/>
          <w:lang w:eastAsia="zh-CN"/>
        </w:rPr>
      </w:pPr>
    </w:p>
    <w:p>
      <w:pP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各管理区、村，各相关部门：</w:t>
      </w:r>
    </w:p>
    <w:p>
      <w:pPr>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现将《唐王街道防灭火与疏散应急预案》印发给你们，请结合实际，认真组织实施。</w:t>
      </w:r>
    </w:p>
    <w:p>
      <w:pPr>
        <w:rPr>
          <w:rFonts w:hint="eastAsia" w:ascii="仿宋_GB2312" w:hAnsi="仿宋_GB2312" w:eastAsia="仿宋_GB2312" w:cs="仿宋_GB2312"/>
          <w:sz w:val="32"/>
          <w:szCs w:val="32"/>
          <w:lang w:eastAsia="zh-CN"/>
        </w:rPr>
      </w:pPr>
    </w:p>
    <w:p>
      <w:pPr>
        <w:rPr>
          <w:rFonts w:hint="eastAsia" w:ascii="仿宋_GB2312" w:hAnsi="仿宋_GB2312" w:eastAsia="仿宋_GB2312" w:cs="仿宋_GB2312"/>
          <w:sz w:val="32"/>
          <w:szCs w:val="32"/>
          <w:lang w:eastAsia="zh-CN"/>
        </w:rPr>
      </w:pPr>
    </w:p>
    <w:p>
      <w:pPr>
        <w:ind w:firstLine="320" w:firstLineChars="100"/>
        <w:jc w:val="righ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济南市历城区人民政府唐王街道办事处</w:t>
      </w:r>
    </w:p>
    <w:p>
      <w:pPr>
        <w:ind w:firstLine="5120" w:firstLineChars="16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2023年12月29日</w:t>
      </w:r>
    </w:p>
    <w:p>
      <w:pPr>
        <w:pStyle w:val="2"/>
        <w:overflowPunct w:val="0"/>
        <w:topLinePunct/>
        <w:adjustRightInd w:val="0"/>
        <w:snapToGrid w:val="0"/>
        <w:spacing w:before="0" w:after="156" w:afterLines="50" w:line="360" w:lineRule="auto"/>
        <w:jc w:val="center"/>
        <w:textAlignment w:val="top"/>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唐王街道防灭火与疏散应急预案</w:t>
      </w:r>
    </w:p>
    <w:p>
      <w:pPr>
        <w:pStyle w:val="2"/>
        <w:overflowPunct w:val="0"/>
        <w:topLinePunct/>
        <w:adjustRightInd w:val="0"/>
        <w:snapToGrid w:val="0"/>
        <w:spacing w:before="0" w:after="156" w:afterLines="50" w:line="360" w:lineRule="auto"/>
        <w:jc w:val="center"/>
        <w:textAlignment w:val="top"/>
        <w:rPr>
          <w:rFonts w:hint="eastAsia" w:ascii="仿宋_GB2312" w:hAnsi="仿宋_GB2312" w:eastAsia="仿宋_GB2312" w:cs="仿宋_GB2312"/>
          <w:color w:val="auto"/>
          <w:sz w:val="36"/>
          <w:szCs w:val="36"/>
        </w:rPr>
      </w:pPr>
      <w:r>
        <w:rPr>
          <w:rFonts w:hint="eastAsia" w:ascii="仿宋_GB2312" w:hAnsi="仿宋_GB2312" w:eastAsia="仿宋_GB2312" w:cs="仿宋_GB2312"/>
          <w:color w:val="auto"/>
          <w:sz w:val="36"/>
          <w:szCs w:val="36"/>
        </w:rPr>
        <w:t>1  总则</w:t>
      </w:r>
      <w:bookmarkEnd w:id="0"/>
    </w:p>
    <w:p>
      <w:pPr>
        <w:pStyle w:val="3"/>
        <w:overflowPunct w:val="0"/>
        <w:topLinePunct/>
        <w:adjustRightInd w:val="0"/>
        <w:snapToGrid w:val="0"/>
        <w:spacing w:before="0" w:after="0" w:line="360" w:lineRule="auto"/>
        <w:textAlignment w:val="top"/>
        <w:rPr>
          <w:rFonts w:hint="eastAsia" w:ascii="仿宋_GB2312" w:hAnsi="仿宋_GB2312" w:eastAsia="仿宋_GB2312" w:cs="仿宋_GB2312"/>
          <w:color w:val="auto"/>
          <w:sz w:val="30"/>
          <w:szCs w:val="30"/>
        </w:rPr>
      </w:pPr>
      <w:bookmarkStart w:id="1" w:name="_Toc155861769"/>
      <w:r>
        <w:rPr>
          <w:rFonts w:hint="eastAsia" w:ascii="仿宋_GB2312" w:hAnsi="仿宋_GB2312" w:eastAsia="仿宋_GB2312" w:cs="仿宋_GB2312"/>
          <w:color w:val="auto"/>
          <w:sz w:val="30"/>
          <w:szCs w:val="30"/>
        </w:rPr>
        <w:t>1.1  编制目的</w:t>
      </w:r>
      <w:bookmarkEnd w:id="1"/>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规范街道辖区的火灾事故应急管理、应急响应和应急处置工作，科学合理、及时有效地实施应急救援，全面做好火灾事故的应急救援工作，加强应对火灾事故风险的能力，快速实施灭火救援行动，最大限度地减少事故造成的人员伤亡和财产损失，维护辖区人民群众的生命安全和社会稳定。</w:t>
      </w:r>
    </w:p>
    <w:p>
      <w:pPr>
        <w:pStyle w:val="3"/>
        <w:overflowPunct w:val="0"/>
        <w:topLinePunct/>
        <w:adjustRightInd w:val="0"/>
        <w:snapToGrid w:val="0"/>
        <w:spacing w:before="0" w:after="0" w:line="360" w:lineRule="auto"/>
        <w:textAlignment w:val="top"/>
        <w:rPr>
          <w:rFonts w:hint="eastAsia" w:ascii="仿宋_GB2312" w:hAnsi="仿宋_GB2312" w:eastAsia="仿宋_GB2312" w:cs="仿宋_GB2312"/>
          <w:color w:val="auto"/>
          <w:sz w:val="30"/>
          <w:szCs w:val="30"/>
        </w:rPr>
      </w:pPr>
      <w:bookmarkStart w:id="2" w:name="_Toc155861770"/>
      <w:r>
        <w:rPr>
          <w:rFonts w:hint="eastAsia" w:ascii="仿宋_GB2312" w:hAnsi="仿宋_GB2312" w:eastAsia="仿宋_GB2312" w:cs="仿宋_GB2312"/>
          <w:color w:val="auto"/>
          <w:sz w:val="30"/>
          <w:szCs w:val="30"/>
        </w:rPr>
        <w:t>1.2  编制依据</w:t>
      </w:r>
      <w:bookmarkEnd w:id="2"/>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本预案主要依据以下有关法律、法规、规章及文件的规定进行编制：</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《中华人民共和国突发事件应对法》（十届国家主席令第六十九号）；</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《中华人民共和国消防法》（十三届主席令第八十一号修订）</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《中华人民共和国安全生产法》（十三届主席令第八十八号）；</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《生产安全事故报告和调查处理条例》（国务院令第493号）；</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《生产安全事故应急条例》（国务院令第708号）；</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《善社会单位灭火和应急疏散预案编制及实施导则》（GB∕T 38315-2019）</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《国家突发公共事件总体应急预案》（国务院第79次常务会议通过）；</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《山东省突发事件总体应急预案》（鲁政发〔2021〕14号）；</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《济南市突发事件总体应急预案》（济政发〔2022〕6号）；</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《济南市历城区突发事件总体应急预案》（济历城政发〔2022〕4号）。</w:t>
      </w:r>
    </w:p>
    <w:p>
      <w:pPr>
        <w:pStyle w:val="3"/>
        <w:overflowPunct w:val="0"/>
        <w:topLinePunct/>
        <w:adjustRightInd w:val="0"/>
        <w:snapToGrid w:val="0"/>
        <w:spacing w:before="0" w:after="0" w:line="360" w:lineRule="auto"/>
        <w:textAlignment w:val="top"/>
        <w:rPr>
          <w:rFonts w:hint="eastAsia" w:ascii="仿宋_GB2312" w:hAnsi="仿宋_GB2312" w:eastAsia="仿宋_GB2312" w:cs="仿宋_GB2312"/>
          <w:color w:val="auto"/>
          <w:sz w:val="30"/>
          <w:szCs w:val="30"/>
        </w:rPr>
      </w:pPr>
      <w:bookmarkStart w:id="3" w:name="_Toc155861771"/>
      <w:bookmarkStart w:id="4" w:name="_Hlk153874568"/>
      <w:r>
        <w:rPr>
          <w:rFonts w:hint="eastAsia" w:ascii="仿宋_GB2312" w:hAnsi="仿宋_GB2312" w:eastAsia="仿宋_GB2312" w:cs="仿宋_GB2312"/>
          <w:color w:val="auto"/>
          <w:sz w:val="30"/>
          <w:szCs w:val="30"/>
        </w:rPr>
        <w:t>1.3  适用范围</w:t>
      </w:r>
      <w:bookmarkEnd w:id="3"/>
    </w:p>
    <w:bookmarkEnd w:id="4"/>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本预案适用于唐王街道辖区发生的火灾事故的应急处置工作。</w:t>
      </w:r>
    </w:p>
    <w:p>
      <w:pPr>
        <w:pStyle w:val="3"/>
        <w:overflowPunct w:val="0"/>
        <w:topLinePunct/>
        <w:adjustRightInd w:val="0"/>
        <w:snapToGrid w:val="0"/>
        <w:spacing w:before="0" w:after="0" w:line="360" w:lineRule="auto"/>
        <w:textAlignment w:val="top"/>
        <w:rPr>
          <w:rFonts w:hint="eastAsia" w:ascii="仿宋_GB2312" w:hAnsi="仿宋_GB2312" w:eastAsia="仿宋_GB2312" w:cs="仿宋_GB2312"/>
          <w:color w:val="auto"/>
          <w:sz w:val="30"/>
          <w:szCs w:val="30"/>
        </w:rPr>
      </w:pPr>
      <w:bookmarkStart w:id="5" w:name="_Toc155861772"/>
      <w:bookmarkStart w:id="6" w:name="_Hlk153905225"/>
      <w:r>
        <w:rPr>
          <w:rFonts w:hint="eastAsia" w:ascii="仿宋_GB2312" w:hAnsi="仿宋_GB2312" w:eastAsia="仿宋_GB2312" w:cs="仿宋_GB2312"/>
          <w:color w:val="auto"/>
          <w:sz w:val="30"/>
          <w:szCs w:val="30"/>
        </w:rPr>
        <w:t>1.4  工作原则</w:t>
      </w:r>
      <w:bookmarkEnd w:id="5"/>
    </w:p>
    <w:bookmarkEnd w:id="6"/>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1. 以人为本，减少损失。在处置火灾事故时，始终把保护人民群众生命安全放在首位，保障人民群众财产和公共设施的安全，把火灾损失降到最低限度。</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2. 预防为主，防消结合。各单位、各村（社区）要开展经常性的防火宣传教育，加强防火基础设施建设，整改、消除各类火灾隐患，从源头上预防火灾事故发生。</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3. 统一领导，协同作战。在街道的统一领导下，各部门尽职尽责，密切协作，协调有序地开展火灾扑救、人员救治和善后处理工作。</w:t>
      </w:r>
    </w:p>
    <w:p>
      <w:pPr>
        <w:pStyle w:val="2"/>
        <w:overflowPunct w:val="0"/>
        <w:topLinePunct/>
        <w:adjustRightInd w:val="0"/>
        <w:snapToGrid w:val="0"/>
        <w:spacing w:before="156" w:beforeLines="50" w:after="156" w:afterLines="50" w:line="360" w:lineRule="auto"/>
        <w:jc w:val="center"/>
        <w:textAlignment w:val="top"/>
        <w:rPr>
          <w:rFonts w:hint="eastAsia" w:ascii="仿宋_GB2312" w:hAnsi="仿宋_GB2312" w:eastAsia="仿宋_GB2312" w:cs="仿宋_GB2312"/>
          <w:color w:val="auto"/>
          <w:sz w:val="36"/>
          <w:szCs w:val="36"/>
        </w:rPr>
      </w:pPr>
      <w:bookmarkStart w:id="7" w:name="_Hlk153835044"/>
      <w:bookmarkStart w:id="8" w:name="_Toc155861773"/>
      <w:bookmarkStart w:id="9" w:name="_Hlk153905592"/>
      <w:bookmarkStart w:id="10" w:name="_Hlk154119432"/>
      <w:r>
        <w:rPr>
          <w:rFonts w:hint="eastAsia" w:ascii="仿宋_GB2312" w:hAnsi="仿宋_GB2312" w:eastAsia="仿宋_GB2312" w:cs="仿宋_GB2312"/>
          <w:color w:val="auto"/>
          <w:sz w:val="36"/>
          <w:szCs w:val="36"/>
        </w:rPr>
        <w:t xml:space="preserve">2  </w:t>
      </w:r>
      <w:bookmarkEnd w:id="7"/>
      <w:r>
        <w:rPr>
          <w:rFonts w:hint="eastAsia" w:ascii="仿宋_GB2312" w:hAnsi="仿宋_GB2312" w:eastAsia="仿宋_GB2312" w:cs="仿宋_GB2312"/>
          <w:color w:val="auto"/>
          <w:sz w:val="36"/>
          <w:szCs w:val="36"/>
        </w:rPr>
        <w:t>应急组织体系</w:t>
      </w:r>
      <w:bookmarkEnd w:id="8"/>
    </w:p>
    <w:bookmarkEnd w:id="9"/>
    <w:p>
      <w:pPr>
        <w:pStyle w:val="3"/>
        <w:overflowPunct w:val="0"/>
        <w:topLinePunct/>
        <w:adjustRightInd w:val="0"/>
        <w:snapToGrid w:val="0"/>
        <w:spacing w:before="0" w:after="0" w:line="360" w:lineRule="auto"/>
        <w:textAlignment w:val="top"/>
        <w:rPr>
          <w:rFonts w:hint="eastAsia" w:ascii="仿宋_GB2312" w:hAnsi="仿宋_GB2312" w:eastAsia="仿宋_GB2312" w:cs="仿宋_GB2312"/>
          <w:color w:val="auto"/>
          <w:sz w:val="30"/>
          <w:szCs w:val="30"/>
        </w:rPr>
      </w:pPr>
      <w:bookmarkStart w:id="11" w:name="_Toc155861774"/>
      <w:bookmarkStart w:id="12" w:name="_Hlk153905298"/>
      <w:r>
        <w:rPr>
          <w:rFonts w:hint="eastAsia" w:ascii="仿宋_GB2312" w:hAnsi="仿宋_GB2312" w:eastAsia="仿宋_GB2312" w:cs="仿宋_GB2312"/>
          <w:color w:val="auto"/>
          <w:sz w:val="30"/>
          <w:szCs w:val="30"/>
        </w:rPr>
        <w:t>2.1  组织机构</w:t>
      </w:r>
      <w:bookmarkEnd w:id="11"/>
    </w:p>
    <w:bookmarkEnd w:id="12"/>
    <w:p>
      <w:pPr>
        <w:keepNext/>
        <w:keepLines/>
        <w:overflowPunct w:val="0"/>
        <w:topLinePunct/>
        <w:adjustRightInd w:val="0"/>
        <w:snapToGrid w:val="0"/>
        <w:spacing w:line="360" w:lineRule="auto"/>
        <w:textAlignment w:val="top"/>
        <w:outlineLvl w:val="2"/>
        <w:rPr>
          <w:rFonts w:hint="eastAsia" w:ascii="仿宋_GB2312" w:hAnsi="仿宋_GB2312" w:eastAsia="仿宋_GB2312" w:cs="仿宋_GB2312"/>
          <w:b/>
          <w:bCs/>
          <w:color w:val="auto"/>
        </w:rPr>
      </w:pPr>
      <w:bookmarkStart w:id="13" w:name="_Toc155861775"/>
      <w:bookmarkStart w:id="14" w:name="_Hlk154114380"/>
      <w:r>
        <w:rPr>
          <w:rFonts w:hint="eastAsia" w:ascii="仿宋_GB2312" w:hAnsi="仿宋_GB2312" w:eastAsia="仿宋_GB2312" w:cs="仿宋_GB2312"/>
          <w:b/>
          <w:bCs/>
          <w:color w:val="auto"/>
        </w:rPr>
        <w:t>2.1.1  街道应急组织组成</w:t>
      </w:r>
      <w:bookmarkEnd w:id="13"/>
    </w:p>
    <w:bookmarkEnd w:id="14"/>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bookmarkStart w:id="15" w:name="_Hlk154375046"/>
      <w:r>
        <w:rPr>
          <w:rFonts w:hint="eastAsia" w:ascii="仿宋_GB2312" w:hAnsi="仿宋_GB2312" w:eastAsia="仿宋_GB2312" w:cs="仿宋_GB2312"/>
          <w:color w:val="auto"/>
        </w:rPr>
        <w:t>济南市历城区唐王街道</w:t>
      </w:r>
      <w:bookmarkEnd w:id="15"/>
      <w:r>
        <w:rPr>
          <w:rFonts w:hint="eastAsia" w:ascii="仿宋_GB2312" w:hAnsi="仿宋_GB2312" w:eastAsia="仿宋_GB2312" w:cs="仿宋_GB2312"/>
          <w:color w:val="auto"/>
        </w:rPr>
        <w:t>火灾事故应急救援组织体系，与济南市历城区唐王街道突发事故总体预案应急组织体系一致，由应急指挥组织、应急工作小组及成员单位组成。</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应急指挥组织由应急指挥机构和应急办公机构组成</w:t>
      </w:r>
      <w:bookmarkStart w:id="16" w:name="_Hlk17572189"/>
      <w:r>
        <w:rPr>
          <w:rFonts w:hint="eastAsia" w:ascii="仿宋_GB2312" w:hAnsi="仿宋_GB2312" w:eastAsia="仿宋_GB2312" w:cs="仿宋_GB2312"/>
          <w:color w:val="auto"/>
        </w:rPr>
        <w:t>。唐王街道成立</w:t>
      </w:r>
      <w:bookmarkStart w:id="17" w:name="_Hlk154113467"/>
      <w:r>
        <w:rPr>
          <w:rFonts w:hint="eastAsia" w:ascii="仿宋_GB2312" w:hAnsi="仿宋_GB2312" w:eastAsia="仿宋_GB2312" w:cs="仿宋_GB2312"/>
          <w:color w:val="auto"/>
        </w:rPr>
        <w:t>应急管理委员会</w:t>
      </w:r>
      <w:bookmarkEnd w:id="17"/>
      <w:r>
        <w:rPr>
          <w:rFonts w:hint="eastAsia" w:ascii="仿宋_GB2312" w:hAnsi="仿宋_GB2312" w:eastAsia="仿宋_GB2312" w:cs="仿宋_GB2312"/>
          <w:color w:val="auto"/>
        </w:rPr>
        <w:t>作为街道的应急管理机构，</w:t>
      </w:r>
      <w:bookmarkStart w:id="18" w:name="_Hlk154113525"/>
      <w:r>
        <w:rPr>
          <w:rFonts w:hint="eastAsia" w:ascii="仿宋_GB2312" w:hAnsi="仿宋_GB2312" w:eastAsia="仿宋_GB2312" w:cs="仿宋_GB2312"/>
          <w:color w:val="auto"/>
        </w:rPr>
        <w:t>在火灾事故应急期间</w:t>
      </w:r>
      <w:bookmarkEnd w:id="18"/>
      <w:r>
        <w:rPr>
          <w:rFonts w:hint="eastAsia" w:ascii="仿宋_GB2312" w:hAnsi="仿宋_GB2312" w:eastAsia="仿宋_GB2312" w:cs="仿宋_GB2312"/>
          <w:color w:val="auto"/>
        </w:rPr>
        <w:t>，自动成为火灾事故的应急指挥机构。</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街道应急管理委员会由主任、副主任及成员组成，在火灾事故应急期间自动成为应急指挥部总指挥、副指挥及成员；应急管理委员会下设应急办公室作为街道的常设应急办公机构</w:t>
      </w:r>
      <w:bookmarkStart w:id="19" w:name="_Hlk17574347"/>
      <w:r>
        <w:rPr>
          <w:rFonts w:hint="eastAsia" w:ascii="仿宋_GB2312" w:hAnsi="仿宋_GB2312" w:eastAsia="仿宋_GB2312" w:cs="仿宋_GB2312"/>
          <w:color w:val="auto"/>
        </w:rPr>
        <w:t>。</w:t>
      </w:r>
      <w:bookmarkEnd w:id="19"/>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bookmarkStart w:id="20" w:name="_Hlk154113870"/>
      <w:bookmarkStart w:id="21" w:name="_Hlk154117870"/>
      <w:r>
        <w:rPr>
          <w:rFonts w:hint="eastAsia" w:ascii="仿宋_GB2312" w:hAnsi="仿宋_GB2312" w:eastAsia="仿宋_GB2312" w:cs="仿宋_GB2312"/>
          <w:color w:val="auto"/>
        </w:rPr>
        <w:t>唐王街道根据火灾事故应急救援的需要，成立应急工作小组。</w:t>
      </w:r>
      <w:bookmarkEnd w:id="20"/>
      <w:r>
        <w:rPr>
          <w:rFonts w:hint="eastAsia" w:ascii="仿宋_GB2312" w:hAnsi="仿宋_GB2312" w:eastAsia="仿宋_GB2312" w:cs="仿宋_GB2312"/>
          <w:color w:val="auto"/>
        </w:rPr>
        <w:t>应急工作小组由综合协调组、抢险救灾组、通信联络组、治安疏导组、医疗救护组、后勤保障组、环境保护组、新闻发布组、技术保障组、调查评估组、善后工作组组成。</w:t>
      </w:r>
    </w:p>
    <w:bookmarkEnd w:id="21"/>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bookmarkStart w:id="22" w:name="_Hlk154117525"/>
      <w:r>
        <w:rPr>
          <w:rFonts w:hint="eastAsia" w:ascii="仿宋_GB2312" w:hAnsi="仿宋_GB2312" w:eastAsia="仿宋_GB2312" w:cs="仿宋_GB2312"/>
          <w:color w:val="auto"/>
        </w:rPr>
        <w:t>为配合应急救援的需要，唐王街道将街道政府有关部门、辖区公安派出所、辖区供电部门、辖区内邮政、街道下属各管区、主要企事业单位、各行政村等列为成员单位，以便火灾事故应急期间提供相关应急职能。</w:t>
      </w:r>
    </w:p>
    <w:bookmarkEnd w:id="16"/>
    <w:bookmarkEnd w:id="22"/>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街道应急办公室、各应急工作小组、相关成员单位，在火灾事故应急期间，在唐王街道应急管理委员会的统一领导和指挥下，按照各自的分工和职责范围，进行火灾事故预防、现场施救及其他应急事项。</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唐王街道应急组织机构的组织体系架构，如图2.1-1所示。</w:t>
      </w:r>
    </w:p>
    <w:p>
      <w:pPr>
        <w:overflowPunct w:val="0"/>
        <w:topLinePunct/>
        <w:adjustRightInd w:val="0"/>
        <w:snapToGrid w:val="0"/>
        <w:spacing w:line="360" w:lineRule="auto"/>
        <w:textAlignment w:val="top"/>
        <w:rPr>
          <w:rFonts w:hint="eastAsia" w:ascii="仿宋_GB2312" w:hAnsi="仿宋_GB2312" w:eastAsia="仿宋_GB2312" w:cs="仿宋_GB2312"/>
          <w:color w:val="auto"/>
        </w:rPr>
      </w:pPr>
    </w:p>
    <w:p>
      <w:pPr>
        <w:overflowPunct w:val="0"/>
        <w:topLinePunct/>
        <w:adjustRightInd w:val="0"/>
        <w:snapToGrid w:val="0"/>
        <w:spacing w:line="360" w:lineRule="auto"/>
        <w:jc w:val="center"/>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drawing>
          <wp:inline distT="0" distB="0" distL="0" distR="0">
            <wp:extent cx="5039995" cy="3959860"/>
            <wp:effectExtent l="0" t="0" r="8255" b="2540"/>
            <wp:docPr id="2" name="图片 2"/>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5"/>
                    <a:srcRect l="17176" t="19757" r="20472" b="6602"/>
                    <a:stretch>
                      <a:fillRect/>
                    </a:stretch>
                  </pic:blipFill>
                  <pic:spPr>
                    <a:xfrm>
                      <a:off x="0" y="0"/>
                      <a:ext cx="5040000" cy="3960000"/>
                    </a:xfrm>
                    <a:prstGeom prst="rect">
                      <a:avLst/>
                    </a:prstGeom>
                    <a:ln>
                      <a:noFill/>
                    </a:ln>
                  </pic:spPr>
                </pic:pic>
              </a:graphicData>
            </a:graphic>
          </wp:inline>
        </w:drawing>
      </w:r>
    </w:p>
    <w:p>
      <w:pPr>
        <w:widowControl/>
        <w:overflowPunct w:val="0"/>
        <w:topLinePunct/>
        <w:adjustRightInd w:val="0"/>
        <w:snapToGrid w:val="0"/>
        <w:spacing w:after="156" w:afterLines="50" w:line="360" w:lineRule="auto"/>
        <w:jc w:val="center"/>
        <w:textAlignment w:val="top"/>
        <w:rPr>
          <w:rFonts w:hint="eastAsia" w:ascii="仿宋_GB2312" w:hAnsi="仿宋_GB2312" w:eastAsia="仿宋_GB2312" w:cs="仿宋_GB2312"/>
          <w:b/>
          <w:color w:val="auto"/>
          <w:sz w:val="24"/>
          <w:szCs w:val="24"/>
        </w:rPr>
      </w:pPr>
      <w:r>
        <w:rPr>
          <w:rFonts w:hint="eastAsia" w:ascii="仿宋_GB2312" w:hAnsi="仿宋_GB2312" w:eastAsia="仿宋_GB2312" w:cs="仿宋_GB2312"/>
          <w:b/>
          <w:color w:val="auto"/>
          <w:sz w:val="24"/>
          <w:szCs w:val="24"/>
        </w:rPr>
        <w:t>图 2.1-1  济南市历城区唐王街道火灾事故应急救援组织体系图</w:t>
      </w:r>
    </w:p>
    <w:p>
      <w:pPr>
        <w:keepNext/>
        <w:keepLines/>
        <w:overflowPunct w:val="0"/>
        <w:topLinePunct/>
        <w:adjustRightInd w:val="0"/>
        <w:snapToGrid w:val="0"/>
        <w:spacing w:line="360" w:lineRule="auto"/>
        <w:textAlignment w:val="top"/>
        <w:outlineLvl w:val="2"/>
        <w:rPr>
          <w:rFonts w:hint="eastAsia" w:ascii="仿宋_GB2312" w:hAnsi="仿宋_GB2312" w:eastAsia="仿宋_GB2312" w:cs="仿宋_GB2312"/>
          <w:b/>
          <w:bCs/>
          <w:color w:val="auto"/>
        </w:rPr>
      </w:pPr>
      <w:bookmarkStart w:id="23" w:name="_Toc155861776"/>
      <w:r>
        <w:rPr>
          <w:rFonts w:hint="eastAsia" w:ascii="仿宋_GB2312" w:hAnsi="仿宋_GB2312" w:eastAsia="仿宋_GB2312" w:cs="仿宋_GB2312"/>
          <w:b/>
          <w:bCs/>
          <w:color w:val="auto"/>
        </w:rPr>
        <w:t>2.1.2  各机构设置及职责</w:t>
      </w:r>
      <w:bookmarkEnd w:id="23"/>
    </w:p>
    <w:p>
      <w:pPr>
        <w:tabs>
          <w:tab w:val="left" w:pos="1080"/>
        </w:tabs>
        <w:overflowPunct w:val="0"/>
        <w:topLinePunct/>
        <w:adjustRightInd w:val="0"/>
        <w:snapToGrid w:val="0"/>
        <w:spacing w:line="360" w:lineRule="auto"/>
        <w:textAlignment w:val="top"/>
        <w:rPr>
          <w:rFonts w:hint="eastAsia" w:ascii="仿宋_GB2312" w:hAnsi="仿宋_GB2312" w:eastAsia="仿宋_GB2312" w:cs="仿宋_GB2312"/>
          <w:bCs/>
          <w:color w:val="auto"/>
        </w:rPr>
      </w:pPr>
      <w:bookmarkStart w:id="24" w:name="_Hlk154116589"/>
      <w:r>
        <w:rPr>
          <w:rFonts w:hint="eastAsia" w:ascii="仿宋_GB2312" w:hAnsi="仿宋_GB2312" w:eastAsia="仿宋_GB2312" w:cs="仿宋_GB2312"/>
          <w:bCs/>
          <w:color w:val="auto"/>
        </w:rPr>
        <w:t xml:space="preserve">1.3.1.1  </w:t>
      </w:r>
      <w:bookmarkStart w:id="25" w:name="_Hlk154115151"/>
      <w:r>
        <w:rPr>
          <w:rFonts w:hint="eastAsia" w:ascii="仿宋_GB2312" w:hAnsi="仿宋_GB2312" w:eastAsia="仿宋_GB2312" w:cs="仿宋_GB2312"/>
          <w:bCs/>
          <w:color w:val="auto"/>
        </w:rPr>
        <w:t>街道</w:t>
      </w:r>
      <w:bookmarkStart w:id="26" w:name="_Hlk154115018"/>
      <w:r>
        <w:rPr>
          <w:rFonts w:hint="eastAsia" w:ascii="仿宋_GB2312" w:hAnsi="仿宋_GB2312" w:eastAsia="仿宋_GB2312" w:cs="仿宋_GB2312"/>
          <w:bCs/>
          <w:color w:val="auto"/>
        </w:rPr>
        <w:t>应急管理委员会</w:t>
      </w:r>
      <w:bookmarkEnd w:id="26"/>
    </w:p>
    <w:bookmarkEnd w:id="25"/>
    <w:p>
      <w:pPr>
        <w:tabs>
          <w:tab w:val="left" w:pos="1080"/>
        </w:tabs>
        <w:overflowPunct w:val="0"/>
        <w:topLinePunct/>
        <w:adjustRightInd w:val="0"/>
        <w:snapToGrid w:val="0"/>
        <w:spacing w:line="360" w:lineRule="auto"/>
        <w:ind w:firstLine="560" w:firstLineChars="200"/>
        <w:textAlignment w:val="top"/>
        <w:rPr>
          <w:rFonts w:hint="eastAsia" w:ascii="仿宋_GB2312" w:hAnsi="仿宋_GB2312" w:eastAsia="仿宋_GB2312" w:cs="仿宋_GB2312"/>
          <w:bCs/>
          <w:color w:val="auto"/>
        </w:rPr>
      </w:pPr>
      <w:bookmarkStart w:id="27" w:name="_Hlk69700782"/>
      <w:r>
        <w:rPr>
          <w:rFonts w:hint="eastAsia" w:ascii="仿宋_GB2312" w:hAnsi="仿宋_GB2312" w:eastAsia="仿宋_GB2312" w:cs="仿宋_GB2312"/>
          <w:bCs/>
          <w:color w:val="auto"/>
        </w:rPr>
        <w:t>1. 组成</w:t>
      </w:r>
      <w:bookmarkEnd w:id="24"/>
    </w:p>
    <w:bookmarkEnd w:id="27"/>
    <w:p>
      <w:pPr>
        <w:tabs>
          <w:tab w:val="left" w:pos="1080"/>
        </w:tabs>
        <w:overflowPunct w:val="0"/>
        <w:topLinePunct/>
        <w:adjustRightInd w:val="0"/>
        <w:snapToGrid w:val="0"/>
        <w:spacing w:line="360" w:lineRule="auto"/>
        <w:ind w:firstLine="560" w:firstLineChars="200"/>
        <w:textAlignment w:val="top"/>
        <w:rPr>
          <w:rFonts w:hint="eastAsia" w:ascii="仿宋_GB2312" w:hAnsi="仿宋_GB2312" w:eastAsia="仿宋_GB2312" w:cs="仿宋_GB2312"/>
          <w:bCs/>
          <w:color w:val="auto"/>
        </w:rPr>
      </w:pPr>
      <w:bookmarkStart w:id="28" w:name="_Hlk73156614"/>
      <w:r>
        <w:rPr>
          <w:rFonts w:hint="eastAsia" w:ascii="仿宋_GB2312" w:hAnsi="仿宋_GB2312" w:eastAsia="仿宋_GB2312" w:cs="仿宋_GB2312"/>
          <w:bCs/>
          <w:color w:val="auto"/>
        </w:rPr>
        <w:t>唐王街道设立突发事故应急管理委员会，负责街道火灾事故应急处置的统一领导和指挥工作。</w:t>
      </w:r>
      <w:bookmarkEnd w:id="28"/>
    </w:p>
    <w:p>
      <w:pPr>
        <w:tabs>
          <w:tab w:val="left" w:pos="1080"/>
        </w:tabs>
        <w:overflowPunct w:val="0"/>
        <w:topLinePunct/>
        <w:adjustRightInd w:val="0"/>
        <w:snapToGrid w:val="0"/>
        <w:spacing w:line="360" w:lineRule="auto"/>
        <w:ind w:firstLine="560" w:firstLineChars="200"/>
        <w:textAlignment w:val="top"/>
        <w:rPr>
          <w:rFonts w:hint="eastAsia" w:ascii="仿宋_GB2312" w:hAnsi="仿宋_GB2312" w:eastAsia="仿宋_GB2312" w:cs="仿宋_GB2312"/>
          <w:bCs/>
          <w:color w:val="auto"/>
        </w:rPr>
      </w:pPr>
      <w:r>
        <w:rPr>
          <w:rFonts w:hint="eastAsia" w:ascii="仿宋_GB2312" w:hAnsi="仿宋_GB2312" w:eastAsia="仿宋_GB2312" w:cs="仿宋_GB2312"/>
          <w:bCs/>
          <w:color w:val="auto"/>
        </w:rPr>
        <w:t>唐王街道应急管理委员会的组成如下：</w:t>
      </w:r>
    </w:p>
    <w:p>
      <w:pPr>
        <w:widowControl/>
        <w:overflowPunct w:val="0"/>
        <w:topLinePunct/>
        <w:adjustRightInd w:val="0"/>
        <w:snapToGrid w:val="0"/>
        <w:spacing w:line="360" w:lineRule="auto"/>
        <w:ind w:left="560" w:leftChars="200"/>
        <w:jc w:val="left"/>
        <w:textAlignment w:val="top"/>
        <w:rPr>
          <w:rFonts w:hint="eastAsia" w:ascii="仿宋_GB2312" w:hAnsi="仿宋_GB2312" w:eastAsia="仿宋_GB2312" w:cs="仿宋_GB2312"/>
          <w:color w:val="auto"/>
          <w:kern w:val="0"/>
        </w:rPr>
      </w:pPr>
      <w:r>
        <w:rPr>
          <w:rFonts w:hint="eastAsia" w:ascii="仿宋_GB2312" w:hAnsi="仿宋_GB2312" w:eastAsia="仿宋_GB2312" w:cs="仿宋_GB2312"/>
          <w:color w:val="auto"/>
          <w:kern w:val="0"/>
        </w:rPr>
        <w:t>主  任：王  勇    党工委副书记、主任</w:t>
      </w:r>
    </w:p>
    <w:p>
      <w:pPr>
        <w:widowControl/>
        <w:overflowPunct w:val="0"/>
        <w:topLinePunct/>
        <w:adjustRightInd w:val="0"/>
        <w:snapToGrid w:val="0"/>
        <w:spacing w:line="360" w:lineRule="auto"/>
        <w:ind w:left="560" w:leftChars="200"/>
        <w:jc w:val="left"/>
        <w:textAlignment w:val="top"/>
        <w:rPr>
          <w:rFonts w:hint="eastAsia" w:ascii="仿宋_GB2312" w:hAnsi="仿宋_GB2312" w:eastAsia="仿宋_GB2312" w:cs="仿宋_GB2312"/>
          <w:color w:val="auto"/>
          <w:kern w:val="0"/>
        </w:rPr>
      </w:pPr>
      <w:r>
        <w:rPr>
          <w:rFonts w:hint="eastAsia" w:ascii="仿宋_GB2312" w:hAnsi="仿宋_GB2312" w:eastAsia="仿宋_GB2312" w:cs="仿宋_GB2312"/>
          <w:color w:val="auto"/>
          <w:kern w:val="0"/>
        </w:rPr>
        <w:t>副主任：刘  波    党工委副书记</w:t>
      </w:r>
    </w:p>
    <w:p>
      <w:pPr>
        <w:widowControl/>
        <w:overflowPunct w:val="0"/>
        <w:topLinePunct/>
        <w:adjustRightInd w:val="0"/>
        <w:snapToGrid w:val="0"/>
        <w:spacing w:line="360" w:lineRule="auto"/>
        <w:ind w:left="560" w:leftChars="200" w:firstLine="1120" w:firstLineChars="400"/>
        <w:jc w:val="left"/>
        <w:textAlignment w:val="top"/>
        <w:rPr>
          <w:rFonts w:hint="eastAsia" w:ascii="仿宋_GB2312" w:hAnsi="仿宋_GB2312" w:eastAsia="仿宋_GB2312" w:cs="仿宋_GB2312"/>
          <w:color w:val="auto"/>
          <w:kern w:val="0"/>
        </w:rPr>
      </w:pPr>
      <w:r>
        <w:rPr>
          <w:rFonts w:hint="eastAsia" w:ascii="仿宋_GB2312" w:hAnsi="仿宋_GB2312" w:eastAsia="仿宋_GB2312" w:cs="仿宋_GB2312"/>
          <w:color w:val="auto"/>
          <w:kern w:val="0"/>
        </w:rPr>
        <w:t>周  杰    党工委委员、纪工委书记</w:t>
      </w:r>
    </w:p>
    <w:p>
      <w:pPr>
        <w:widowControl/>
        <w:overflowPunct w:val="0"/>
        <w:topLinePunct/>
        <w:adjustRightInd w:val="0"/>
        <w:snapToGrid w:val="0"/>
        <w:spacing w:line="360" w:lineRule="auto"/>
        <w:ind w:left="560" w:leftChars="200" w:firstLine="1120" w:firstLineChars="400"/>
        <w:jc w:val="left"/>
        <w:textAlignment w:val="top"/>
        <w:rPr>
          <w:rFonts w:hint="eastAsia" w:ascii="仿宋_GB2312" w:hAnsi="仿宋_GB2312" w:eastAsia="仿宋_GB2312" w:cs="仿宋_GB2312"/>
          <w:color w:val="auto"/>
          <w:kern w:val="0"/>
        </w:rPr>
      </w:pPr>
      <w:r>
        <w:rPr>
          <w:rFonts w:hint="eastAsia" w:ascii="仿宋_GB2312" w:hAnsi="仿宋_GB2312" w:eastAsia="仿宋_GB2312" w:cs="仿宋_GB2312"/>
          <w:color w:val="auto"/>
          <w:kern w:val="0"/>
        </w:rPr>
        <w:t>张延国    党工委委员、副主任</w:t>
      </w:r>
    </w:p>
    <w:p>
      <w:pPr>
        <w:widowControl/>
        <w:overflowPunct w:val="0"/>
        <w:topLinePunct/>
        <w:adjustRightInd w:val="0"/>
        <w:snapToGrid w:val="0"/>
        <w:spacing w:line="360" w:lineRule="auto"/>
        <w:ind w:left="560" w:leftChars="200" w:firstLine="1120" w:firstLineChars="400"/>
        <w:jc w:val="left"/>
        <w:textAlignment w:val="top"/>
        <w:rPr>
          <w:rFonts w:hint="eastAsia" w:ascii="仿宋_GB2312" w:hAnsi="仿宋_GB2312" w:eastAsia="仿宋_GB2312" w:cs="仿宋_GB2312"/>
          <w:color w:val="auto"/>
          <w:kern w:val="0"/>
        </w:rPr>
      </w:pPr>
      <w:r>
        <w:rPr>
          <w:rFonts w:hint="eastAsia" w:ascii="仿宋_GB2312" w:hAnsi="仿宋_GB2312" w:eastAsia="仿宋_GB2312" w:cs="仿宋_GB2312"/>
          <w:color w:val="auto"/>
          <w:kern w:val="0"/>
        </w:rPr>
        <w:t>王  民    党工委委员、副主任</w:t>
      </w:r>
    </w:p>
    <w:p>
      <w:pPr>
        <w:widowControl/>
        <w:overflowPunct w:val="0"/>
        <w:topLinePunct/>
        <w:adjustRightInd w:val="0"/>
        <w:snapToGrid w:val="0"/>
        <w:spacing w:line="360" w:lineRule="auto"/>
        <w:ind w:left="560" w:leftChars="200" w:firstLine="1120" w:firstLineChars="400"/>
        <w:jc w:val="left"/>
        <w:textAlignment w:val="top"/>
        <w:rPr>
          <w:rFonts w:hint="eastAsia" w:ascii="仿宋_GB2312" w:hAnsi="仿宋_GB2312" w:eastAsia="仿宋_GB2312" w:cs="仿宋_GB2312"/>
          <w:color w:val="auto"/>
          <w:kern w:val="0"/>
        </w:rPr>
      </w:pPr>
      <w:r>
        <w:rPr>
          <w:rFonts w:hint="eastAsia" w:ascii="仿宋_GB2312" w:hAnsi="仿宋_GB2312" w:eastAsia="仿宋_GB2312" w:cs="仿宋_GB2312"/>
          <w:color w:val="auto"/>
          <w:kern w:val="0"/>
        </w:rPr>
        <w:t>赵  芸    党工委委员、副主任</w:t>
      </w:r>
    </w:p>
    <w:p>
      <w:pPr>
        <w:widowControl/>
        <w:overflowPunct w:val="0"/>
        <w:topLinePunct/>
        <w:adjustRightInd w:val="0"/>
        <w:snapToGrid w:val="0"/>
        <w:spacing w:line="360" w:lineRule="auto"/>
        <w:ind w:left="560" w:leftChars="200" w:firstLine="1120" w:firstLineChars="400"/>
        <w:jc w:val="left"/>
        <w:textAlignment w:val="top"/>
        <w:rPr>
          <w:rFonts w:hint="eastAsia" w:ascii="仿宋_GB2312" w:hAnsi="仿宋_GB2312" w:eastAsia="仿宋_GB2312" w:cs="仿宋_GB2312"/>
          <w:color w:val="auto"/>
          <w:kern w:val="0"/>
        </w:rPr>
      </w:pPr>
      <w:r>
        <w:rPr>
          <w:rFonts w:hint="eastAsia" w:ascii="仿宋_GB2312" w:hAnsi="仿宋_GB2312" w:eastAsia="仿宋_GB2312" w:cs="仿宋_GB2312"/>
          <w:color w:val="auto"/>
          <w:kern w:val="0"/>
        </w:rPr>
        <w:t>刘  滨    党工委委员、副主任</w:t>
      </w:r>
    </w:p>
    <w:p>
      <w:pPr>
        <w:widowControl/>
        <w:overflowPunct w:val="0"/>
        <w:topLinePunct/>
        <w:adjustRightInd w:val="0"/>
        <w:snapToGrid w:val="0"/>
        <w:spacing w:line="360" w:lineRule="auto"/>
        <w:ind w:left="560" w:leftChars="200" w:firstLine="1120" w:firstLineChars="400"/>
        <w:jc w:val="left"/>
        <w:textAlignment w:val="top"/>
        <w:rPr>
          <w:rFonts w:hint="eastAsia" w:ascii="仿宋_GB2312" w:hAnsi="仿宋_GB2312" w:eastAsia="仿宋_GB2312" w:cs="仿宋_GB2312"/>
          <w:color w:val="auto"/>
          <w:kern w:val="0"/>
        </w:rPr>
      </w:pPr>
      <w:r>
        <w:rPr>
          <w:rFonts w:hint="eastAsia" w:ascii="仿宋_GB2312" w:hAnsi="仿宋_GB2312" w:eastAsia="仿宋_GB2312" w:cs="仿宋_GB2312"/>
          <w:color w:val="auto"/>
          <w:kern w:val="0"/>
        </w:rPr>
        <w:t>柳  坤    综合治理服务中心主任</w:t>
      </w:r>
    </w:p>
    <w:p>
      <w:pPr>
        <w:widowControl/>
        <w:overflowPunct w:val="0"/>
        <w:topLinePunct/>
        <w:adjustRightInd w:val="0"/>
        <w:snapToGrid w:val="0"/>
        <w:spacing w:line="360" w:lineRule="auto"/>
        <w:ind w:left="560" w:leftChars="200" w:firstLine="1120" w:firstLineChars="400"/>
        <w:jc w:val="left"/>
        <w:textAlignment w:val="top"/>
        <w:rPr>
          <w:rFonts w:hint="eastAsia" w:ascii="仿宋_GB2312" w:hAnsi="仿宋_GB2312" w:eastAsia="仿宋_GB2312" w:cs="仿宋_GB2312"/>
          <w:color w:val="auto"/>
          <w:kern w:val="0"/>
        </w:rPr>
      </w:pPr>
      <w:r>
        <w:rPr>
          <w:rFonts w:hint="eastAsia" w:ascii="仿宋_GB2312" w:hAnsi="仿宋_GB2312" w:eastAsia="仿宋_GB2312" w:cs="仿宋_GB2312"/>
          <w:color w:val="auto"/>
          <w:kern w:val="0"/>
        </w:rPr>
        <w:t>李成国    公共文化服务中心主任</w:t>
      </w:r>
    </w:p>
    <w:p>
      <w:pPr>
        <w:widowControl/>
        <w:overflowPunct w:val="0"/>
        <w:topLinePunct/>
        <w:adjustRightInd w:val="0"/>
        <w:snapToGrid w:val="0"/>
        <w:spacing w:line="360" w:lineRule="auto"/>
        <w:ind w:left="560" w:leftChars="200" w:firstLine="1120" w:firstLineChars="400"/>
        <w:jc w:val="left"/>
        <w:textAlignment w:val="top"/>
        <w:rPr>
          <w:rFonts w:hint="eastAsia" w:ascii="仿宋_GB2312" w:hAnsi="仿宋_GB2312" w:eastAsia="仿宋_GB2312" w:cs="仿宋_GB2312"/>
          <w:color w:val="auto"/>
          <w:kern w:val="0"/>
        </w:rPr>
      </w:pPr>
      <w:r>
        <w:rPr>
          <w:rFonts w:hint="eastAsia" w:ascii="仿宋_GB2312" w:hAnsi="仿宋_GB2312" w:eastAsia="仿宋_GB2312" w:cs="仿宋_GB2312"/>
          <w:color w:val="auto"/>
          <w:kern w:val="0"/>
        </w:rPr>
        <w:t xml:space="preserve">李长庚    民生保障服务中心主任 </w:t>
      </w:r>
    </w:p>
    <w:p>
      <w:pPr>
        <w:widowControl/>
        <w:overflowPunct w:val="0"/>
        <w:topLinePunct/>
        <w:adjustRightInd w:val="0"/>
        <w:snapToGrid w:val="0"/>
        <w:spacing w:line="360" w:lineRule="auto"/>
        <w:ind w:left="560" w:leftChars="200"/>
        <w:jc w:val="left"/>
        <w:textAlignment w:val="top"/>
        <w:rPr>
          <w:rFonts w:hint="eastAsia" w:ascii="仿宋_GB2312" w:hAnsi="仿宋_GB2312" w:eastAsia="仿宋_GB2312" w:cs="仿宋_GB2312"/>
          <w:color w:val="auto"/>
          <w:kern w:val="0"/>
        </w:rPr>
      </w:pPr>
      <w:r>
        <w:rPr>
          <w:rFonts w:hint="eastAsia" w:ascii="仿宋_GB2312" w:hAnsi="仿宋_GB2312" w:eastAsia="仿宋_GB2312" w:cs="仿宋_GB2312"/>
          <w:color w:val="auto"/>
          <w:kern w:val="0"/>
        </w:rPr>
        <w:t>成  员：张  明    应急办主任</w:t>
      </w:r>
    </w:p>
    <w:p>
      <w:pPr>
        <w:widowControl/>
        <w:overflowPunct w:val="0"/>
        <w:topLinePunct/>
        <w:adjustRightInd w:val="0"/>
        <w:snapToGrid w:val="0"/>
        <w:spacing w:line="360" w:lineRule="auto"/>
        <w:ind w:left="560" w:leftChars="200" w:firstLine="1120" w:firstLineChars="400"/>
        <w:jc w:val="left"/>
        <w:textAlignment w:val="top"/>
        <w:rPr>
          <w:rFonts w:hint="eastAsia" w:ascii="仿宋_GB2312" w:hAnsi="仿宋_GB2312" w:eastAsia="仿宋_GB2312" w:cs="仿宋_GB2312"/>
          <w:color w:val="auto"/>
          <w:kern w:val="0"/>
        </w:rPr>
      </w:pPr>
      <w:r>
        <w:rPr>
          <w:rFonts w:hint="eastAsia" w:ascii="仿宋_GB2312" w:hAnsi="仿宋_GB2312" w:eastAsia="仿宋_GB2312" w:cs="仿宋_GB2312"/>
          <w:color w:val="auto"/>
          <w:kern w:val="0"/>
        </w:rPr>
        <w:t>刘  涛    党政办公室主任</w:t>
      </w:r>
    </w:p>
    <w:p>
      <w:pPr>
        <w:widowControl/>
        <w:overflowPunct w:val="0"/>
        <w:topLinePunct/>
        <w:adjustRightInd w:val="0"/>
        <w:snapToGrid w:val="0"/>
        <w:spacing w:line="360" w:lineRule="auto"/>
        <w:ind w:left="560" w:leftChars="200" w:firstLine="1120" w:firstLineChars="400"/>
        <w:jc w:val="left"/>
        <w:textAlignment w:val="top"/>
        <w:rPr>
          <w:rFonts w:hint="eastAsia" w:ascii="仿宋_GB2312" w:hAnsi="仿宋_GB2312" w:eastAsia="仿宋_GB2312" w:cs="仿宋_GB2312"/>
          <w:color w:val="auto"/>
          <w:kern w:val="0"/>
        </w:rPr>
      </w:pPr>
      <w:r>
        <w:rPr>
          <w:rFonts w:hint="eastAsia" w:ascii="仿宋_GB2312" w:hAnsi="仿宋_GB2312" w:eastAsia="仿宋_GB2312" w:cs="仿宋_GB2312"/>
          <w:color w:val="auto"/>
          <w:kern w:val="0"/>
        </w:rPr>
        <w:t>张  伟    教育办主任</w:t>
      </w:r>
    </w:p>
    <w:p>
      <w:pPr>
        <w:widowControl/>
        <w:overflowPunct w:val="0"/>
        <w:topLinePunct/>
        <w:adjustRightInd w:val="0"/>
        <w:snapToGrid w:val="0"/>
        <w:spacing w:line="360" w:lineRule="auto"/>
        <w:ind w:left="560" w:leftChars="200" w:firstLine="1120" w:firstLineChars="400"/>
        <w:jc w:val="left"/>
        <w:textAlignment w:val="top"/>
        <w:rPr>
          <w:rFonts w:hint="eastAsia" w:ascii="仿宋_GB2312" w:hAnsi="仿宋_GB2312" w:eastAsia="仿宋_GB2312" w:cs="仿宋_GB2312"/>
          <w:color w:val="auto"/>
          <w:kern w:val="0"/>
        </w:rPr>
      </w:pPr>
      <w:r>
        <w:rPr>
          <w:rFonts w:hint="eastAsia" w:ascii="仿宋_GB2312" w:hAnsi="仿宋_GB2312" w:eastAsia="仿宋_GB2312" w:cs="仿宋_GB2312"/>
          <w:color w:val="auto"/>
          <w:kern w:val="0"/>
        </w:rPr>
        <w:t>林永建    城管科副科长</w:t>
      </w:r>
    </w:p>
    <w:p>
      <w:pPr>
        <w:widowControl/>
        <w:overflowPunct w:val="0"/>
        <w:topLinePunct/>
        <w:adjustRightInd w:val="0"/>
        <w:snapToGrid w:val="0"/>
        <w:spacing w:line="360" w:lineRule="auto"/>
        <w:ind w:left="560" w:leftChars="200" w:firstLine="1120" w:firstLineChars="400"/>
        <w:jc w:val="left"/>
        <w:textAlignment w:val="top"/>
        <w:rPr>
          <w:rFonts w:hint="eastAsia" w:ascii="仿宋_GB2312" w:hAnsi="仿宋_GB2312" w:eastAsia="仿宋_GB2312" w:cs="仿宋_GB2312"/>
          <w:color w:val="auto"/>
          <w:kern w:val="0"/>
        </w:rPr>
      </w:pPr>
      <w:r>
        <w:rPr>
          <w:rFonts w:hint="eastAsia" w:ascii="仿宋_GB2312" w:hAnsi="仿宋_GB2312" w:eastAsia="仿宋_GB2312" w:cs="仿宋_GB2312"/>
          <w:color w:val="auto"/>
          <w:kern w:val="0"/>
        </w:rPr>
        <w:t>张育闽    综合执法中队队长</w:t>
      </w:r>
    </w:p>
    <w:p>
      <w:pPr>
        <w:widowControl/>
        <w:overflowPunct w:val="0"/>
        <w:topLinePunct/>
        <w:adjustRightInd w:val="0"/>
        <w:snapToGrid w:val="0"/>
        <w:spacing w:line="360" w:lineRule="auto"/>
        <w:ind w:left="560" w:leftChars="200" w:firstLine="1120" w:firstLineChars="400"/>
        <w:jc w:val="left"/>
        <w:textAlignment w:val="top"/>
        <w:rPr>
          <w:rFonts w:hint="eastAsia" w:ascii="仿宋_GB2312" w:hAnsi="仿宋_GB2312" w:eastAsia="仿宋_GB2312" w:cs="仿宋_GB2312"/>
          <w:color w:val="auto"/>
          <w:kern w:val="0"/>
        </w:rPr>
      </w:pPr>
      <w:r>
        <w:rPr>
          <w:rFonts w:hint="eastAsia" w:ascii="仿宋_GB2312" w:hAnsi="仿宋_GB2312" w:eastAsia="仿宋_GB2312" w:cs="仿宋_GB2312"/>
          <w:color w:val="auto"/>
          <w:kern w:val="0"/>
        </w:rPr>
        <w:t>李庆江    济钢交警中队长</w:t>
      </w:r>
    </w:p>
    <w:p>
      <w:pPr>
        <w:widowControl/>
        <w:overflowPunct w:val="0"/>
        <w:topLinePunct/>
        <w:adjustRightInd w:val="0"/>
        <w:snapToGrid w:val="0"/>
        <w:spacing w:line="360" w:lineRule="auto"/>
        <w:ind w:left="560" w:leftChars="200" w:firstLine="1120" w:firstLineChars="400"/>
        <w:jc w:val="left"/>
        <w:textAlignment w:val="top"/>
        <w:rPr>
          <w:rFonts w:hint="eastAsia" w:ascii="仿宋_GB2312" w:hAnsi="仿宋_GB2312" w:eastAsia="仿宋_GB2312" w:cs="仿宋_GB2312"/>
          <w:color w:val="auto"/>
          <w:kern w:val="0"/>
        </w:rPr>
      </w:pPr>
      <w:r>
        <w:rPr>
          <w:rFonts w:hint="eastAsia" w:ascii="仿宋_GB2312" w:hAnsi="仿宋_GB2312" w:eastAsia="仿宋_GB2312" w:cs="仿宋_GB2312"/>
          <w:color w:val="auto"/>
          <w:kern w:val="0"/>
        </w:rPr>
        <w:t>朱家伟    供电所所长</w:t>
      </w:r>
    </w:p>
    <w:p>
      <w:pPr>
        <w:widowControl/>
        <w:overflowPunct w:val="0"/>
        <w:topLinePunct/>
        <w:adjustRightInd w:val="0"/>
        <w:snapToGrid w:val="0"/>
        <w:spacing w:line="360" w:lineRule="auto"/>
        <w:ind w:left="560" w:leftChars="200" w:firstLine="1120" w:firstLineChars="400"/>
        <w:jc w:val="left"/>
        <w:textAlignment w:val="top"/>
        <w:rPr>
          <w:rFonts w:hint="eastAsia" w:ascii="仿宋_GB2312" w:hAnsi="仿宋_GB2312" w:eastAsia="仿宋_GB2312" w:cs="仿宋_GB2312"/>
          <w:color w:val="auto"/>
          <w:kern w:val="0"/>
        </w:rPr>
      </w:pPr>
      <w:r>
        <w:rPr>
          <w:rFonts w:hint="eastAsia" w:ascii="仿宋_GB2312" w:hAnsi="仿宋_GB2312" w:eastAsia="仿宋_GB2312" w:cs="仿宋_GB2312"/>
          <w:color w:val="auto"/>
          <w:kern w:val="0"/>
        </w:rPr>
        <w:t>韩  平    卫生院院长</w:t>
      </w:r>
    </w:p>
    <w:p>
      <w:pPr>
        <w:widowControl/>
        <w:overflowPunct w:val="0"/>
        <w:topLinePunct/>
        <w:adjustRightInd w:val="0"/>
        <w:snapToGrid w:val="0"/>
        <w:spacing w:line="360" w:lineRule="auto"/>
        <w:ind w:left="560" w:leftChars="200" w:firstLine="1120" w:firstLineChars="400"/>
        <w:jc w:val="left"/>
        <w:textAlignment w:val="top"/>
        <w:rPr>
          <w:rFonts w:hint="eastAsia" w:ascii="仿宋_GB2312" w:hAnsi="仿宋_GB2312" w:eastAsia="仿宋_GB2312" w:cs="仿宋_GB2312"/>
          <w:color w:val="auto"/>
          <w:kern w:val="0"/>
        </w:rPr>
      </w:pPr>
      <w:r>
        <w:rPr>
          <w:rFonts w:hint="eastAsia" w:ascii="仿宋_GB2312" w:hAnsi="仿宋_GB2312" w:eastAsia="仿宋_GB2312" w:cs="仿宋_GB2312"/>
          <w:color w:val="auto"/>
          <w:kern w:val="0"/>
        </w:rPr>
        <w:t>腾  宝    市场监管所所长</w:t>
      </w:r>
    </w:p>
    <w:p>
      <w:pPr>
        <w:widowControl/>
        <w:overflowPunct w:val="0"/>
        <w:topLinePunct/>
        <w:adjustRightInd w:val="0"/>
        <w:snapToGrid w:val="0"/>
        <w:spacing w:line="360" w:lineRule="auto"/>
        <w:ind w:left="560" w:leftChars="200" w:firstLine="1120" w:firstLineChars="400"/>
        <w:jc w:val="left"/>
        <w:textAlignment w:val="top"/>
        <w:rPr>
          <w:rFonts w:hint="eastAsia" w:ascii="仿宋_GB2312" w:hAnsi="仿宋_GB2312" w:eastAsia="仿宋_GB2312" w:cs="仿宋_GB2312"/>
          <w:color w:val="auto"/>
          <w:kern w:val="0"/>
        </w:rPr>
      </w:pPr>
      <w:r>
        <w:rPr>
          <w:rFonts w:hint="eastAsia" w:ascii="仿宋_GB2312" w:hAnsi="仿宋_GB2312" w:eastAsia="仿宋_GB2312" w:cs="仿宋_GB2312"/>
          <w:color w:val="auto"/>
          <w:kern w:val="0"/>
        </w:rPr>
        <w:t>陈继星    畜牧站站长</w:t>
      </w:r>
    </w:p>
    <w:p>
      <w:pPr>
        <w:widowControl/>
        <w:overflowPunct w:val="0"/>
        <w:topLinePunct/>
        <w:adjustRightInd w:val="0"/>
        <w:snapToGrid w:val="0"/>
        <w:spacing w:line="360" w:lineRule="auto"/>
        <w:ind w:left="560" w:leftChars="200" w:firstLine="1120" w:firstLineChars="400"/>
        <w:jc w:val="left"/>
        <w:textAlignment w:val="top"/>
        <w:rPr>
          <w:rFonts w:hint="eastAsia" w:ascii="仿宋_GB2312" w:hAnsi="仿宋_GB2312" w:eastAsia="仿宋_GB2312" w:cs="仿宋_GB2312"/>
          <w:color w:val="auto"/>
          <w:kern w:val="0"/>
        </w:rPr>
      </w:pPr>
      <w:r>
        <w:rPr>
          <w:rFonts w:hint="eastAsia" w:ascii="仿宋_GB2312" w:hAnsi="仿宋_GB2312" w:eastAsia="仿宋_GB2312" w:cs="仿宋_GB2312"/>
          <w:color w:val="auto"/>
          <w:kern w:val="0"/>
        </w:rPr>
        <w:t>张乃谅    渔场总经理</w:t>
      </w:r>
    </w:p>
    <w:p>
      <w:pPr>
        <w:widowControl/>
        <w:overflowPunct w:val="0"/>
        <w:topLinePunct/>
        <w:adjustRightInd w:val="0"/>
        <w:snapToGrid w:val="0"/>
        <w:spacing w:line="360" w:lineRule="auto"/>
        <w:ind w:left="560" w:leftChars="200" w:firstLine="1120" w:firstLineChars="400"/>
        <w:jc w:val="left"/>
        <w:textAlignment w:val="top"/>
        <w:rPr>
          <w:rFonts w:hint="eastAsia" w:ascii="仿宋_GB2312" w:hAnsi="仿宋_GB2312" w:eastAsia="仿宋_GB2312" w:cs="仿宋_GB2312"/>
          <w:color w:val="auto"/>
          <w:kern w:val="0"/>
        </w:rPr>
      </w:pPr>
      <w:r>
        <w:rPr>
          <w:rFonts w:hint="eastAsia" w:ascii="仿宋_GB2312" w:hAnsi="仿宋_GB2312" w:eastAsia="仿宋_GB2312" w:cs="仿宋_GB2312"/>
          <w:color w:val="auto"/>
          <w:kern w:val="0"/>
        </w:rPr>
        <w:t>范小刚    国土所所长</w:t>
      </w:r>
    </w:p>
    <w:p>
      <w:pPr>
        <w:widowControl/>
        <w:overflowPunct w:val="0"/>
        <w:topLinePunct/>
        <w:adjustRightInd w:val="0"/>
        <w:snapToGrid w:val="0"/>
        <w:spacing w:line="360" w:lineRule="auto"/>
        <w:ind w:left="560" w:leftChars="200" w:firstLine="1120" w:firstLineChars="400"/>
        <w:jc w:val="left"/>
        <w:textAlignment w:val="top"/>
        <w:rPr>
          <w:rFonts w:hint="eastAsia" w:ascii="仿宋_GB2312" w:hAnsi="仿宋_GB2312" w:eastAsia="仿宋_GB2312" w:cs="仿宋_GB2312"/>
          <w:color w:val="auto"/>
          <w:kern w:val="0"/>
        </w:rPr>
      </w:pPr>
      <w:r>
        <w:rPr>
          <w:rFonts w:hint="eastAsia" w:ascii="仿宋_GB2312" w:hAnsi="仿宋_GB2312" w:eastAsia="仿宋_GB2312" w:cs="仿宋_GB2312"/>
          <w:color w:val="auto"/>
          <w:kern w:val="0"/>
        </w:rPr>
        <w:t>徐高鹏    中国联通唐王营服中心主任</w:t>
      </w:r>
    </w:p>
    <w:p>
      <w:pPr>
        <w:widowControl/>
        <w:overflowPunct w:val="0"/>
        <w:topLinePunct/>
        <w:adjustRightInd w:val="0"/>
        <w:snapToGrid w:val="0"/>
        <w:spacing w:line="360" w:lineRule="auto"/>
        <w:ind w:left="560" w:leftChars="200" w:firstLine="1120" w:firstLineChars="400"/>
        <w:jc w:val="left"/>
        <w:textAlignment w:val="top"/>
        <w:rPr>
          <w:rFonts w:hint="eastAsia" w:ascii="仿宋_GB2312" w:hAnsi="仿宋_GB2312" w:eastAsia="仿宋_GB2312" w:cs="仿宋_GB2312"/>
          <w:color w:val="auto"/>
          <w:kern w:val="0"/>
        </w:rPr>
      </w:pPr>
      <w:r>
        <w:rPr>
          <w:rFonts w:hint="eastAsia" w:ascii="仿宋_GB2312" w:hAnsi="仿宋_GB2312" w:eastAsia="仿宋_GB2312" w:cs="仿宋_GB2312"/>
          <w:color w:val="auto"/>
          <w:kern w:val="0"/>
        </w:rPr>
        <w:t>邱继富    农业发展服务中心主任</w:t>
      </w:r>
    </w:p>
    <w:p>
      <w:pPr>
        <w:widowControl/>
        <w:overflowPunct w:val="0"/>
        <w:topLinePunct/>
        <w:adjustRightInd w:val="0"/>
        <w:snapToGrid w:val="0"/>
        <w:spacing w:line="360" w:lineRule="auto"/>
        <w:ind w:left="560" w:leftChars="200" w:firstLine="1120" w:firstLineChars="400"/>
        <w:jc w:val="left"/>
        <w:textAlignment w:val="top"/>
        <w:rPr>
          <w:rFonts w:hint="eastAsia" w:ascii="仿宋_GB2312" w:hAnsi="仿宋_GB2312" w:eastAsia="仿宋_GB2312" w:cs="仿宋_GB2312"/>
          <w:color w:val="auto"/>
          <w:kern w:val="0"/>
        </w:rPr>
      </w:pPr>
      <w:r>
        <w:rPr>
          <w:rFonts w:hint="eastAsia" w:ascii="仿宋_GB2312" w:hAnsi="仿宋_GB2312" w:eastAsia="仿宋_GB2312" w:cs="仿宋_GB2312"/>
          <w:color w:val="auto"/>
          <w:kern w:val="0"/>
        </w:rPr>
        <w:t>卢念进    经发科科长</w:t>
      </w:r>
    </w:p>
    <w:p>
      <w:pPr>
        <w:widowControl/>
        <w:overflowPunct w:val="0"/>
        <w:topLinePunct/>
        <w:adjustRightInd w:val="0"/>
        <w:snapToGrid w:val="0"/>
        <w:spacing w:line="360" w:lineRule="auto"/>
        <w:ind w:left="560" w:leftChars="200" w:firstLine="1120" w:firstLineChars="400"/>
        <w:jc w:val="left"/>
        <w:textAlignment w:val="top"/>
        <w:rPr>
          <w:rFonts w:hint="eastAsia" w:ascii="仿宋_GB2312" w:hAnsi="仿宋_GB2312" w:eastAsia="仿宋_GB2312" w:cs="仿宋_GB2312"/>
          <w:color w:val="auto"/>
          <w:kern w:val="0"/>
        </w:rPr>
      </w:pPr>
      <w:r>
        <w:rPr>
          <w:rFonts w:hint="eastAsia" w:ascii="仿宋_GB2312" w:hAnsi="仿宋_GB2312" w:eastAsia="仿宋_GB2312" w:cs="仿宋_GB2312"/>
          <w:color w:val="auto"/>
          <w:kern w:val="0"/>
        </w:rPr>
        <w:t>郭盈含    宣传科科长</w:t>
      </w:r>
    </w:p>
    <w:p>
      <w:pPr>
        <w:widowControl/>
        <w:overflowPunct w:val="0"/>
        <w:topLinePunct/>
        <w:adjustRightInd w:val="0"/>
        <w:snapToGrid w:val="0"/>
        <w:spacing w:line="360" w:lineRule="auto"/>
        <w:ind w:left="560" w:leftChars="200" w:firstLine="1120" w:firstLineChars="400"/>
        <w:jc w:val="left"/>
        <w:textAlignment w:val="top"/>
        <w:rPr>
          <w:rFonts w:hint="eastAsia" w:ascii="仿宋_GB2312" w:hAnsi="仿宋_GB2312" w:eastAsia="仿宋_GB2312" w:cs="仿宋_GB2312"/>
          <w:color w:val="auto"/>
          <w:kern w:val="0"/>
        </w:rPr>
      </w:pPr>
      <w:r>
        <w:rPr>
          <w:rFonts w:hint="eastAsia" w:ascii="仿宋_GB2312" w:hAnsi="仿宋_GB2312" w:eastAsia="仿宋_GB2312" w:cs="仿宋_GB2312"/>
          <w:color w:val="auto"/>
          <w:kern w:val="0"/>
        </w:rPr>
        <w:t>周广东    文化站站长</w:t>
      </w:r>
    </w:p>
    <w:p>
      <w:pPr>
        <w:widowControl/>
        <w:overflowPunct w:val="0"/>
        <w:topLinePunct/>
        <w:adjustRightInd w:val="0"/>
        <w:snapToGrid w:val="0"/>
        <w:spacing w:line="360" w:lineRule="auto"/>
        <w:ind w:left="560" w:leftChars="200" w:firstLine="1120" w:firstLineChars="400"/>
        <w:jc w:val="left"/>
        <w:textAlignment w:val="top"/>
        <w:rPr>
          <w:rFonts w:hint="eastAsia" w:ascii="仿宋_GB2312" w:hAnsi="仿宋_GB2312" w:eastAsia="仿宋_GB2312" w:cs="仿宋_GB2312"/>
          <w:color w:val="auto"/>
          <w:kern w:val="0"/>
        </w:rPr>
      </w:pPr>
      <w:r>
        <w:rPr>
          <w:rFonts w:hint="eastAsia" w:ascii="仿宋_GB2312" w:hAnsi="仿宋_GB2312" w:eastAsia="仿宋_GB2312" w:cs="仿宋_GB2312"/>
          <w:color w:val="auto"/>
          <w:kern w:val="0"/>
        </w:rPr>
        <w:t xml:space="preserve">李丕娟    社会事务科科长 </w:t>
      </w:r>
    </w:p>
    <w:p>
      <w:pPr>
        <w:widowControl/>
        <w:overflowPunct w:val="0"/>
        <w:topLinePunct/>
        <w:adjustRightInd w:val="0"/>
        <w:snapToGrid w:val="0"/>
        <w:spacing w:line="360" w:lineRule="auto"/>
        <w:ind w:left="560" w:leftChars="200" w:firstLine="1120" w:firstLineChars="400"/>
        <w:jc w:val="left"/>
        <w:textAlignment w:val="top"/>
        <w:rPr>
          <w:rFonts w:hint="eastAsia" w:ascii="仿宋_GB2312" w:hAnsi="仿宋_GB2312" w:eastAsia="仿宋_GB2312" w:cs="仿宋_GB2312"/>
          <w:color w:val="auto"/>
          <w:kern w:val="0"/>
        </w:rPr>
      </w:pPr>
      <w:r>
        <w:rPr>
          <w:rFonts w:hint="eastAsia" w:ascii="仿宋_GB2312" w:hAnsi="仿宋_GB2312" w:eastAsia="仿宋_GB2312" w:cs="仿宋_GB2312"/>
          <w:color w:val="auto"/>
          <w:kern w:val="0"/>
        </w:rPr>
        <w:t>陈延杰    唐王管区主任</w:t>
      </w:r>
    </w:p>
    <w:p>
      <w:pPr>
        <w:widowControl/>
        <w:overflowPunct w:val="0"/>
        <w:topLinePunct/>
        <w:adjustRightInd w:val="0"/>
        <w:snapToGrid w:val="0"/>
        <w:spacing w:line="360" w:lineRule="auto"/>
        <w:ind w:left="560" w:leftChars="200" w:firstLine="1120" w:firstLineChars="400"/>
        <w:jc w:val="left"/>
        <w:textAlignment w:val="top"/>
        <w:rPr>
          <w:rFonts w:hint="eastAsia" w:ascii="仿宋_GB2312" w:hAnsi="仿宋_GB2312" w:eastAsia="仿宋_GB2312" w:cs="仿宋_GB2312"/>
          <w:color w:val="auto"/>
          <w:kern w:val="0"/>
        </w:rPr>
      </w:pPr>
      <w:r>
        <w:rPr>
          <w:rFonts w:hint="eastAsia" w:ascii="仿宋_GB2312" w:hAnsi="仿宋_GB2312" w:eastAsia="仿宋_GB2312" w:cs="仿宋_GB2312"/>
          <w:color w:val="auto"/>
          <w:kern w:val="0"/>
        </w:rPr>
        <w:t>彭  蔚    纸坊管区主任</w:t>
      </w:r>
    </w:p>
    <w:p>
      <w:pPr>
        <w:widowControl/>
        <w:overflowPunct w:val="0"/>
        <w:topLinePunct/>
        <w:adjustRightInd w:val="0"/>
        <w:snapToGrid w:val="0"/>
        <w:spacing w:line="360" w:lineRule="auto"/>
        <w:ind w:left="560" w:leftChars="200" w:firstLine="1120" w:firstLineChars="400"/>
        <w:jc w:val="left"/>
        <w:textAlignment w:val="top"/>
        <w:rPr>
          <w:rFonts w:hint="eastAsia" w:ascii="仿宋_GB2312" w:hAnsi="仿宋_GB2312" w:eastAsia="仿宋_GB2312" w:cs="仿宋_GB2312"/>
          <w:color w:val="auto"/>
          <w:kern w:val="0"/>
        </w:rPr>
      </w:pPr>
      <w:r>
        <w:rPr>
          <w:rFonts w:hint="eastAsia" w:ascii="仿宋_GB2312" w:hAnsi="仿宋_GB2312" w:eastAsia="仿宋_GB2312" w:cs="仿宋_GB2312"/>
          <w:color w:val="auto"/>
          <w:kern w:val="0"/>
        </w:rPr>
        <w:t>韩春梅    崔家管区主任</w:t>
      </w:r>
    </w:p>
    <w:p>
      <w:pPr>
        <w:widowControl/>
        <w:overflowPunct w:val="0"/>
        <w:topLinePunct/>
        <w:adjustRightInd w:val="0"/>
        <w:snapToGrid w:val="0"/>
        <w:spacing w:line="360" w:lineRule="auto"/>
        <w:ind w:left="560" w:leftChars="200" w:firstLine="1120" w:firstLineChars="400"/>
        <w:jc w:val="left"/>
        <w:textAlignment w:val="top"/>
        <w:rPr>
          <w:rFonts w:hint="eastAsia" w:ascii="仿宋_GB2312" w:hAnsi="仿宋_GB2312" w:eastAsia="仿宋_GB2312" w:cs="仿宋_GB2312"/>
          <w:color w:val="auto"/>
          <w:kern w:val="0"/>
        </w:rPr>
      </w:pPr>
      <w:r>
        <w:rPr>
          <w:rFonts w:hint="eastAsia" w:ascii="仿宋_GB2312" w:hAnsi="仿宋_GB2312" w:eastAsia="仿宋_GB2312" w:cs="仿宋_GB2312"/>
          <w:color w:val="auto"/>
          <w:kern w:val="0"/>
        </w:rPr>
        <w:t>邱  霞    娄家管区主任</w:t>
      </w:r>
    </w:p>
    <w:p>
      <w:pPr>
        <w:widowControl/>
        <w:overflowPunct w:val="0"/>
        <w:topLinePunct/>
        <w:adjustRightInd w:val="0"/>
        <w:snapToGrid w:val="0"/>
        <w:spacing w:line="360" w:lineRule="auto"/>
        <w:ind w:left="560" w:leftChars="200" w:firstLine="1120" w:firstLineChars="400"/>
        <w:jc w:val="left"/>
        <w:textAlignment w:val="top"/>
        <w:rPr>
          <w:rFonts w:hint="eastAsia" w:ascii="仿宋_GB2312" w:hAnsi="仿宋_GB2312" w:eastAsia="仿宋_GB2312" w:cs="仿宋_GB2312"/>
          <w:color w:val="auto"/>
          <w:kern w:val="0"/>
        </w:rPr>
      </w:pPr>
      <w:r>
        <w:rPr>
          <w:rFonts w:hint="eastAsia" w:ascii="仿宋_GB2312" w:hAnsi="仿宋_GB2312" w:eastAsia="仿宋_GB2312" w:cs="仿宋_GB2312"/>
          <w:color w:val="auto"/>
          <w:kern w:val="0"/>
        </w:rPr>
        <w:t>王为政    老僧口管区主任</w:t>
      </w:r>
    </w:p>
    <w:p>
      <w:pPr>
        <w:widowControl/>
        <w:overflowPunct w:val="0"/>
        <w:topLinePunct/>
        <w:adjustRightInd w:val="0"/>
        <w:snapToGrid w:val="0"/>
        <w:spacing w:line="360" w:lineRule="auto"/>
        <w:ind w:left="560" w:leftChars="200" w:firstLine="1120" w:firstLineChars="400"/>
        <w:jc w:val="left"/>
        <w:textAlignment w:val="top"/>
        <w:rPr>
          <w:rFonts w:hint="eastAsia" w:ascii="仿宋_GB2312" w:hAnsi="仿宋_GB2312" w:eastAsia="仿宋_GB2312" w:cs="仿宋_GB2312"/>
          <w:color w:val="auto"/>
          <w:kern w:val="0"/>
        </w:rPr>
      </w:pPr>
      <w:r>
        <w:rPr>
          <w:rFonts w:hint="eastAsia" w:ascii="仿宋_GB2312" w:hAnsi="仿宋_GB2312" w:eastAsia="仿宋_GB2312" w:cs="仿宋_GB2312"/>
          <w:color w:val="auto"/>
          <w:kern w:val="0"/>
        </w:rPr>
        <w:t>郑元宝    派出所教导员</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2. 职责</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bCs/>
          <w:color w:val="auto"/>
        </w:rPr>
      </w:pPr>
      <w:bookmarkStart w:id="29" w:name="_Hlk155797343"/>
      <w:r>
        <w:rPr>
          <w:rFonts w:hint="eastAsia" w:ascii="仿宋_GB2312" w:hAnsi="仿宋_GB2312" w:eastAsia="仿宋_GB2312" w:cs="仿宋_GB2312"/>
          <w:color w:val="auto"/>
        </w:rPr>
        <w:t>（1）</w:t>
      </w:r>
      <w:bookmarkStart w:id="30" w:name="_Hlk155792786"/>
      <w:r>
        <w:rPr>
          <w:rFonts w:hint="eastAsia" w:ascii="仿宋_GB2312" w:hAnsi="仿宋_GB2312" w:eastAsia="仿宋_GB2312" w:cs="仿宋_GB2312"/>
          <w:bCs/>
          <w:color w:val="auto"/>
        </w:rPr>
        <w:t>街道</w:t>
      </w:r>
      <w:bookmarkStart w:id="31" w:name="_Hlk155797278"/>
      <w:r>
        <w:rPr>
          <w:rFonts w:hint="eastAsia" w:ascii="仿宋_GB2312" w:hAnsi="仿宋_GB2312" w:eastAsia="仿宋_GB2312" w:cs="仿宋_GB2312"/>
          <w:bCs/>
          <w:color w:val="auto"/>
        </w:rPr>
        <w:t>应急管理委员会职责</w:t>
      </w:r>
      <w:bookmarkEnd w:id="30"/>
      <w:bookmarkEnd w:id="31"/>
    </w:p>
    <w:bookmarkEnd w:id="29"/>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bCs/>
          <w:color w:val="auto"/>
        </w:rPr>
        <w:t>唐王街道应急管理委员会的职责，如表2.1-1所示。</w:t>
      </w:r>
    </w:p>
    <w:p>
      <w:pPr>
        <w:tabs>
          <w:tab w:val="left" w:pos="1080"/>
        </w:tabs>
        <w:overflowPunct w:val="0"/>
        <w:topLinePunct/>
        <w:adjustRightInd w:val="0"/>
        <w:snapToGrid w:val="0"/>
        <w:spacing w:before="78" w:beforeLines="25" w:after="78" w:afterLines="25"/>
        <w:jc w:val="center"/>
        <w:textAlignment w:val="top"/>
        <w:rPr>
          <w:rFonts w:hint="eastAsia" w:ascii="仿宋_GB2312" w:hAnsi="仿宋_GB2312" w:eastAsia="仿宋_GB2312" w:cs="仿宋_GB2312"/>
          <w:b/>
          <w:color w:val="auto"/>
          <w:sz w:val="24"/>
          <w:szCs w:val="24"/>
        </w:rPr>
      </w:pPr>
      <w:r>
        <w:rPr>
          <w:rFonts w:hint="eastAsia" w:ascii="仿宋_GB2312" w:hAnsi="仿宋_GB2312" w:eastAsia="仿宋_GB2312" w:cs="仿宋_GB2312"/>
          <w:b/>
          <w:color w:val="auto"/>
          <w:sz w:val="24"/>
          <w:szCs w:val="24"/>
        </w:rPr>
        <w:t>表 2.1-1  街道应急管理委员会职责一览表</w:t>
      </w:r>
    </w:p>
    <w:tbl>
      <w:tblPr>
        <w:tblStyle w:val="33"/>
        <w:tblW w:w="89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79"/>
        <w:gridCol w:w="4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479" w:type="dxa"/>
            <w:tcMar>
              <w:top w:w="113" w:type="dxa"/>
              <w:left w:w="57" w:type="dxa"/>
              <w:bottom w:w="113" w:type="dxa"/>
              <w:right w:w="57" w:type="dxa"/>
            </w:tcMa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日常应急职责</w:t>
            </w:r>
          </w:p>
        </w:tc>
        <w:tc>
          <w:tcPr>
            <w:tcW w:w="4480" w:type="dxa"/>
            <w:tcMar>
              <w:top w:w="113" w:type="dxa"/>
              <w:left w:w="57" w:type="dxa"/>
              <w:bottom w:w="113" w:type="dxa"/>
              <w:right w:w="57" w:type="dxa"/>
            </w:tcMa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事故期间职责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tcMar>
              <w:top w:w="113" w:type="dxa"/>
              <w:left w:w="57" w:type="dxa"/>
              <w:bottom w:w="113" w:type="dxa"/>
              <w:right w:w="57" w:type="dxa"/>
            </w:tcMar>
            <w:vAlign w:val="center"/>
          </w:tcPr>
          <w:p>
            <w:pPr>
              <w:overflowPunct w:val="0"/>
              <w:topLinePunct/>
              <w:contextualSpacing/>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（1）负责本街道的应急救援队伍建设工作；</w:t>
            </w:r>
          </w:p>
          <w:p>
            <w:pPr>
              <w:overflowPunct w:val="0"/>
              <w:topLinePunct/>
              <w:contextualSpacing/>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（2）负责本街道的应急保障系统建设工作；</w:t>
            </w:r>
          </w:p>
          <w:p>
            <w:pPr>
              <w:overflowPunct w:val="0"/>
              <w:topLinePunct/>
              <w:contextualSpacing/>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（3）定期组织应急预案的修编工作；</w:t>
            </w:r>
          </w:p>
          <w:p>
            <w:pPr>
              <w:overflowPunct w:val="0"/>
              <w:topLinePunct/>
              <w:contextualSpacing/>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（4）负责应急预案的贯彻落实情况，定期或不定期对本街道应急队伍建设、应急保障系统、应急预案演练等情况进行检查；</w:t>
            </w:r>
          </w:p>
          <w:p>
            <w:pPr>
              <w:overflowPunct w:val="0"/>
              <w:topLinePunct/>
              <w:contextualSpacing/>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（4）落实国家相关的应急管理政策，执行和落实上级下达的应急任务。</w:t>
            </w:r>
          </w:p>
        </w:tc>
        <w:tc>
          <w:tcPr>
            <w:tcW w:w="4480" w:type="dxa"/>
            <w:tcMar>
              <w:top w:w="113" w:type="dxa"/>
              <w:left w:w="57" w:type="dxa"/>
              <w:bottom w:w="113" w:type="dxa"/>
              <w:right w:w="57" w:type="dxa"/>
            </w:tcMar>
            <w:vAlign w:val="center"/>
          </w:tcPr>
          <w:p>
            <w:pPr>
              <w:overflowPunct w:val="0"/>
              <w:topLinePunct/>
              <w:contextualSpacing/>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1）火灾事故发生后，对属于上级政府或部门负责处理的，在上级政府或部门组织的应急组织到达事故现场前，本街道在应急能力范围内先期处置，在上级政府或部门组织的应急组织到达事故现场后，本街道应急组织的指令配合处置。</w:t>
            </w:r>
          </w:p>
          <w:p>
            <w:pPr>
              <w:overflowPunct w:val="0"/>
              <w:topLinePunct/>
              <w:contextualSpacing/>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（2）火灾事故发生后，对属于本街道负责处理的，本街道</w:t>
            </w:r>
            <w:r>
              <w:rPr>
                <w:rFonts w:hint="eastAsia" w:ascii="仿宋_GB2312" w:hAnsi="仿宋_GB2312" w:eastAsia="仿宋_GB2312" w:cs="仿宋_GB2312"/>
                <w:bCs/>
                <w:color w:val="auto"/>
                <w:kern w:val="0"/>
                <w:sz w:val="21"/>
                <w:szCs w:val="21"/>
              </w:rPr>
              <w:t>在应急总指挥的统一领导下，组织、指挥、协调各应急工作小组进行应急处置。</w:t>
            </w:r>
          </w:p>
        </w:tc>
      </w:tr>
    </w:tbl>
    <w:p>
      <w:pPr>
        <w:tabs>
          <w:tab w:val="left" w:pos="1080"/>
        </w:tabs>
        <w:overflowPunct w:val="0"/>
        <w:topLinePunct/>
        <w:adjustRightInd w:val="0"/>
        <w:snapToGrid w:val="0"/>
        <w:spacing w:before="156" w:beforeLines="50" w:line="360" w:lineRule="auto"/>
        <w:ind w:firstLine="560" w:firstLineChars="200"/>
        <w:textAlignment w:val="top"/>
        <w:rPr>
          <w:rFonts w:hint="eastAsia" w:ascii="仿宋_GB2312" w:hAnsi="仿宋_GB2312" w:eastAsia="仿宋_GB2312" w:cs="仿宋_GB2312"/>
          <w:bCs/>
          <w:color w:val="auto"/>
        </w:rPr>
      </w:pPr>
      <w:bookmarkStart w:id="32" w:name="_Hlk72795074"/>
      <w:bookmarkStart w:id="33" w:name="_Hlk17571421"/>
      <w:bookmarkStart w:id="34" w:name="_Hlk155810083"/>
      <w:r>
        <w:rPr>
          <w:rFonts w:hint="eastAsia" w:ascii="仿宋_GB2312" w:hAnsi="仿宋_GB2312" w:eastAsia="仿宋_GB2312" w:cs="仿宋_GB2312"/>
          <w:bCs/>
          <w:color w:val="auto"/>
        </w:rPr>
        <w:t>（2）应急管理委员会总指挥、副指挥及成员职责</w:t>
      </w:r>
      <w:bookmarkEnd w:id="32"/>
    </w:p>
    <w:bookmarkEnd w:id="33"/>
    <w:p>
      <w:pPr>
        <w:tabs>
          <w:tab w:val="left" w:pos="1080"/>
        </w:tabs>
        <w:overflowPunct w:val="0"/>
        <w:topLinePunct/>
        <w:adjustRightInd w:val="0"/>
        <w:snapToGrid w:val="0"/>
        <w:spacing w:line="360" w:lineRule="auto"/>
        <w:ind w:firstLine="560" w:firstLineChars="200"/>
        <w:textAlignment w:val="top"/>
        <w:rPr>
          <w:rFonts w:hint="eastAsia" w:ascii="仿宋_GB2312" w:hAnsi="仿宋_GB2312" w:eastAsia="仿宋_GB2312" w:cs="仿宋_GB2312"/>
          <w:bCs/>
          <w:color w:val="auto"/>
        </w:rPr>
      </w:pPr>
      <w:r>
        <w:rPr>
          <w:rFonts w:hint="eastAsia" w:ascii="仿宋_GB2312" w:hAnsi="仿宋_GB2312" w:eastAsia="仿宋_GB2312" w:cs="仿宋_GB2312"/>
          <w:bCs/>
          <w:color w:val="auto"/>
        </w:rPr>
        <w:t>街道应急管理委员会总指挥、副指挥及成员的职责，如表2.1-2所示。</w:t>
      </w:r>
    </w:p>
    <w:p>
      <w:pPr>
        <w:tabs>
          <w:tab w:val="left" w:pos="1080"/>
        </w:tabs>
        <w:overflowPunct w:val="0"/>
        <w:topLinePunct/>
        <w:adjustRightInd w:val="0"/>
        <w:snapToGrid w:val="0"/>
        <w:spacing w:before="78" w:beforeLines="25" w:after="78" w:afterLines="25"/>
        <w:jc w:val="center"/>
        <w:textAlignment w:val="top"/>
        <w:rPr>
          <w:rFonts w:hint="eastAsia" w:ascii="仿宋_GB2312" w:hAnsi="仿宋_GB2312" w:eastAsia="仿宋_GB2312" w:cs="仿宋_GB2312"/>
          <w:b/>
          <w:color w:val="auto"/>
          <w:sz w:val="24"/>
          <w:szCs w:val="24"/>
        </w:rPr>
      </w:pPr>
      <w:bookmarkStart w:id="35" w:name="_Hlk155809793"/>
      <w:r>
        <w:rPr>
          <w:rFonts w:hint="eastAsia" w:ascii="仿宋_GB2312" w:hAnsi="仿宋_GB2312" w:eastAsia="仿宋_GB2312" w:cs="仿宋_GB2312"/>
          <w:b/>
          <w:color w:val="auto"/>
          <w:sz w:val="24"/>
          <w:szCs w:val="24"/>
        </w:rPr>
        <w:t>表 2.1-2  街道应急领导小组总指挥、副指挥及成员职责一览表</w:t>
      </w:r>
    </w:p>
    <w:bookmarkEnd w:id="35"/>
    <w:tbl>
      <w:tblPr>
        <w:tblStyle w:val="20"/>
        <w:tblW w:w="89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3915"/>
        <w:gridCol w:w="39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129" w:type="dxa"/>
            <w:tcMar>
              <w:top w:w="113" w:type="dxa"/>
              <w:left w:w="57" w:type="dxa"/>
              <w:bottom w:w="113" w:type="dxa"/>
              <w:right w:w="57" w:type="dxa"/>
            </w:tcMar>
            <w:vAlign w:val="center"/>
          </w:tcPr>
          <w:p>
            <w:pPr>
              <w:tabs>
                <w:tab w:val="left" w:pos="1080"/>
              </w:tabs>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应急职务</w:t>
            </w:r>
          </w:p>
        </w:tc>
        <w:tc>
          <w:tcPr>
            <w:tcW w:w="3915" w:type="dxa"/>
            <w:tcMar>
              <w:top w:w="113" w:type="dxa"/>
              <w:left w:w="57" w:type="dxa"/>
              <w:bottom w:w="113" w:type="dxa"/>
              <w:right w:w="57" w:type="dxa"/>
            </w:tcMar>
            <w:vAlign w:val="center"/>
          </w:tcPr>
          <w:p>
            <w:pPr>
              <w:tabs>
                <w:tab w:val="left" w:pos="1080"/>
              </w:tabs>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日常应急职责</w:t>
            </w:r>
          </w:p>
        </w:tc>
        <w:tc>
          <w:tcPr>
            <w:tcW w:w="3915" w:type="dxa"/>
            <w:tcMar>
              <w:top w:w="113" w:type="dxa"/>
              <w:left w:w="57" w:type="dxa"/>
              <w:bottom w:w="113" w:type="dxa"/>
              <w:right w:w="57" w:type="dxa"/>
            </w:tcMar>
            <w:vAlign w:val="center"/>
          </w:tcPr>
          <w:p>
            <w:pPr>
              <w:tabs>
                <w:tab w:val="left" w:pos="1080"/>
              </w:tabs>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事故期间职责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tcMar>
              <w:top w:w="113" w:type="dxa"/>
              <w:left w:w="57" w:type="dxa"/>
              <w:bottom w:w="113" w:type="dxa"/>
              <w:right w:w="57" w:type="dxa"/>
            </w:tcMar>
            <w:vAlign w:val="center"/>
          </w:tcPr>
          <w:p>
            <w:pPr>
              <w:tabs>
                <w:tab w:val="left" w:pos="1080"/>
              </w:tabs>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总指挥</w:t>
            </w:r>
          </w:p>
        </w:tc>
        <w:tc>
          <w:tcPr>
            <w:tcW w:w="3915" w:type="dxa"/>
            <w:tcMar>
              <w:top w:w="113" w:type="dxa"/>
              <w:left w:w="57" w:type="dxa"/>
              <w:bottom w:w="113" w:type="dxa"/>
              <w:right w:w="57" w:type="dxa"/>
            </w:tcMar>
            <w:vAlign w:val="center"/>
          </w:tcPr>
          <w:p>
            <w:pPr>
              <w:tabs>
                <w:tab w:val="left" w:pos="1080"/>
              </w:tabs>
              <w:overflowPunct w:val="0"/>
              <w:topLinePunct/>
              <w:contextualSpacing/>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（1）组织制定并实施本街道火灾事故应急救援预案，配备应急救援装备和物资；</w:t>
            </w:r>
          </w:p>
          <w:p>
            <w:pPr>
              <w:tabs>
                <w:tab w:val="left" w:pos="1080"/>
              </w:tabs>
              <w:overflowPunct w:val="0"/>
              <w:topLinePunct/>
              <w:contextualSpacing/>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（2）法律、法规、规章及政府有关部门文件规定的其他应急职责。</w:t>
            </w:r>
          </w:p>
        </w:tc>
        <w:tc>
          <w:tcPr>
            <w:tcW w:w="3915" w:type="dxa"/>
            <w:tcMar>
              <w:top w:w="113" w:type="dxa"/>
              <w:left w:w="57" w:type="dxa"/>
              <w:bottom w:w="113" w:type="dxa"/>
              <w:right w:w="57" w:type="dxa"/>
            </w:tcMar>
            <w:vAlign w:val="center"/>
          </w:tcPr>
          <w:p>
            <w:pPr>
              <w:tabs>
                <w:tab w:val="left" w:pos="1080"/>
              </w:tabs>
              <w:overflowPunct w:val="0"/>
              <w:topLinePunct/>
              <w:contextualSpacing/>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（1）下达预警和预警解除指令；下达应急预案启动和终止指令；</w:t>
            </w:r>
          </w:p>
          <w:p>
            <w:pPr>
              <w:tabs>
                <w:tab w:val="left" w:pos="1080"/>
              </w:tabs>
              <w:overflowPunct w:val="0"/>
              <w:topLinePunct/>
              <w:contextualSpacing/>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（2）事故应急过程中下达应急指令；接受和落实政府或部门的应急指示。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29" w:type="dxa"/>
            <w:tcMar>
              <w:top w:w="113" w:type="dxa"/>
              <w:left w:w="57" w:type="dxa"/>
              <w:bottom w:w="113" w:type="dxa"/>
              <w:right w:w="57" w:type="dxa"/>
            </w:tcMar>
            <w:vAlign w:val="center"/>
          </w:tcPr>
          <w:p>
            <w:pPr>
              <w:tabs>
                <w:tab w:val="left" w:pos="1080"/>
              </w:tabs>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副指挥</w:t>
            </w:r>
          </w:p>
        </w:tc>
        <w:tc>
          <w:tcPr>
            <w:tcW w:w="3915" w:type="dxa"/>
            <w:tcMar>
              <w:top w:w="113" w:type="dxa"/>
              <w:left w:w="57" w:type="dxa"/>
              <w:bottom w:w="113" w:type="dxa"/>
              <w:right w:w="57" w:type="dxa"/>
            </w:tcMar>
            <w:vAlign w:val="center"/>
          </w:tcPr>
          <w:p>
            <w:pPr>
              <w:tabs>
                <w:tab w:val="left" w:pos="1080"/>
              </w:tabs>
              <w:overflowPunct w:val="0"/>
              <w:topLinePunct/>
              <w:contextualSpacing/>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（1）协助总指挥做好火灾事故的处置工作。</w:t>
            </w:r>
          </w:p>
          <w:p>
            <w:pPr>
              <w:tabs>
                <w:tab w:val="left" w:pos="1080"/>
              </w:tabs>
              <w:overflowPunct w:val="0"/>
              <w:topLinePunct/>
              <w:contextualSpacing/>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（2）总指挥交办的其他应急事项。</w:t>
            </w:r>
          </w:p>
        </w:tc>
        <w:tc>
          <w:tcPr>
            <w:tcW w:w="3915" w:type="dxa"/>
            <w:tcMar>
              <w:top w:w="113" w:type="dxa"/>
              <w:left w:w="57" w:type="dxa"/>
              <w:bottom w:w="113" w:type="dxa"/>
              <w:right w:w="57" w:type="dxa"/>
            </w:tcMar>
            <w:vAlign w:val="center"/>
          </w:tcPr>
          <w:p>
            <w:pPr>
              <w:tabs>
                <w:tab w:val="left" w:pos="1080"/>
              </w:tabs>
              <w:overflowPunct w:val="0"/>
              <w:topLinePunct/>
              <w:contextualSpacing/>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（1）负责落实总指挥交办的应急事项。</w:t>
            </w:r>
          </w:p>
          <w:p>
            <w:pPr>
              <w:tabs>
                <w:tab w:val="left" w:pos="1080"/>
              </w:tabs>
              <w:overflowPunct w:val="0"/>
              <w:topLinePunct/>
              <w:contextualSpacing/>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（2）遇总指挥因故不能到任时，代理总指挥全面指挥应急救援工作。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29" w:type="dxa"/>
            <w:tcMar>
              <w:top w:w="113" w:type="dxa"/>
              <w:left w:w="57" w:type="dxa"/>
              <w:bottom w:w="113" w:type="dxa"/>
              <w:right w:w="57" w:type="dxa"/>
            </w:tcMar>
            <w:vAlign w:val="center"/>
          </w:tcPr>
          <w:p>
            <w:pPr>
              <w:tabs>
                <w:tab w:val="left" w:pos="1080"/>
              </w:tabs>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成  员</w:t>
            </w:r>
          </w:p>
        </w:tc>
        <w:tc>
          <w:tcPr>
            <w:tcW w:w="3915" w:type="dxa"/>
            <w:tcMar>
              <w:top w:w="113" w:type="dxa"/>
              <w:left w:w="57" w:type="dxa"/>
              <w:bottom w:w="113" w:type="dxa"/>
              <w:right w:w="57" w:type="dxa"/>
            </w:tcMar>
            <w:vAlign w:val="center"/>
          </w:tcPr>
          <w:p>
            <w:pPr>
              <w:tabs>
                <w:tab w:val="left" w:pos="1080"/>
              </w:tabs>
              <w:overflowPunct w:val="0"/>
              <w:topLinePunct/>
              <w:contextualSpacing/>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（1）根据总指挥或者副指挥的安排，组织隐患排查治理工作；</w:t>
            </w:r>
          </w:p>
          <w:p>
            <w:pPr>
              <w:tabs>
                <w:tab w:val="left" w:pos="1080"/>
              </w:tabs>
              <w:overflowPunct w:val="0"/>
              <w:topLinePunct/>
              <w:contextualSpacing/>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（2）总指挥、副指挥交办的其他应急事项。</w:t>
            </w:r>
          </w:p>
        </w:tc>
        <w:tc>
          <w:tcPr>
            <w:tcW w:w="3915" w:type="dxa"/>
            <w:tcMar>
              <w:top w:w="113" w:type="dxa"/>
              <w:left w:w="57" w:type="dxa"/>
              <w:bottom w:w="113" w:type="dxa"/>
              <w:right w:w="57" w:type="dxa"/>
            </w:tcMar>
            <w:vAlign w:val="center"/>
          </w:tcPr>
          <w:p>
            <w:pPr>
              <w:tabs>
                <w:tab w:val="left" w:pos="1080"/>
              </w:tabs>
              <w:overflowPunct w:val="0"/>
              <w:topLinePunct/>
              <w:contextualSpacing/>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（1）落实总指挥或副指挥交办的应急事项；（2）当总指挥与副指挥都不在现场时，按排名顺序自动承担总指挥或副指挥职责。</w:t>
            </w:r>
          </w:p>
        </w:tc>
      </w:tr>
      <w:bookmarkEnd w:id="34"/>
    </w:tbl>
    <w:p>
      <w:pPr>
        <w:tabs>
          <w:tab w:val="left" w:pos="1080"/>
        </w:tabs>
        <w:overflowPunct w:val="0"/>
        <w:topLinePunct/>
        <w:adjustRightInd w:val="0"/>
        <w:snapToGrid w:val="0"/>
        <w:spacing w:before="156" w:beforeLines="50" w:line="360" w:lineRule="auto"/>
        <w:textAlignment w:val="top"/>
        <w:rPr>
          <w:rFonts w:hint="eastAsia" w:ascii="仿宋_GB2312" w:hAnsi="仿宋_GB2312" w:eastAsia="仿宋_GB2312" w:cs="仿宋_GB2312"/>
          <w:bCs/>
          <w:color w:val="auto"/>
        </w:rPr>
      </w:pPr>
      <w:r>
        <w:rPr>
          <w:rFonts w:hint="eastAsia" w:ascii="仿宋_GB2312" w:hAnsi="仿宋_GB2312" w:eastAsia="仿宋_GB2312" w:cs="仿宋_GB2312"/>
          <w:bCs/>
          <w:color w:val="auto"/>
        </w:rPr>
        <w:t>1.3.1.2  街道应急办公室</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bCs/>
          <w:color w:val="auto"/>
        </w:rPr>
      </w:pPr>
      <w:bookmarkStart w:id="36" w:name="_Hlk154116973"/>
      <w:r>
        <w:rPr>
          <w:rFonts w:hint="eastAsia" w:ascii="仿宋_GB2312" w:hAnsi="仿宋_GB2312" w:eastAsia="仿宋_GB2312" w:cs="仿宋_GB2312"/>
          <w:bCs/>
          <w:color w:val="auto"/>
        </w:rPr>
        <w:t>街道设置应急办公室</w:t>
      </w:r>
      <w:bookmarkEnd w:id="36"/>
      <w:r>
        <w:rPr>
          <w:rFonts w:hint="eastAsia" w:ascii="仿宋_GB2312" w:hAnsi="仿宋_GB2312" w:eastAsia="仿宋_GB2312" w:cs="仿宋_GB2312"/>
          <w:bCs/>
          <w:color w:val="auto"/>
        </w:rPr>
        <w:t>。应急办公室是</w:t>
      </w:r>
      <w:bookmarkStart w:id="37" w:name="_Hlk154116952"/>
      <w:r>
        <w:rPr>
          <w:rFonts w:hint="eastAsia" w:ascii="仿宋_GB2312" w:hAnsi="仿宋_GB2312" w:eastAsia="仿宋_GB2312" w:cs="仿宋_GB2312"/>
          <w:bCs/>
          <w:color w:val="auto"/>
        </w:rPr>
        <w:t>街道应急管理委员会</w:t>
      </w:r>
      <w:bookmarkEnd w:id="37"/>
      <w:r>
        <w:rPr>
          <w:rFonts w:hint="eastAsia" w:ascii="仿宋_GB2312" w:hAnsi="仿宋_GB2312" w:eastAsia="仿宋_GB2312" w:cs="仿宋_GB2312"/>
          <w:bCs/>
          <w:color w:val="auto"/>
        </w:rPr>
        <w:t>下属的办公机构，在街道应急管理委员会的领导下进行工作。</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bCs/>
          <w:color w:val="auto"/>
        </w:rPr>
        <w:t>1. 组成</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bCs/>
          <w:color w:val="auto"/>
        </w:rPr>
      </w:pPr>
      <w:r>
        <w:rPr>
          <w:rFonts w:hint="eastAsia" w:ascii="仿宋_GB2312" w:hAnsi="仿宋_GB2312" w:eastAsia="仿宋_GB2312" w:cs="仿宋_GB2312"/>
          <w:bCs/>
          <w:color w:val="auto"/>
        </w:rPr>
        <w:t>唐王街道应急办公室组成如下：</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主  任：张明</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副主任：韩作艳  杜宁</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成  员：彭尉  马兆宇  张吉昌  尚琳</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2. 职责</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bCs/>
          <w:color w:val="auto"/>
        </w:rPr>
      </w:pPr>
      <w:r>
        <w:rPr>
          <w:rFonts w:hint="eastAsia" w:ascii="仿宋_GB2312" w:hAnsi="仿宋_GB2312" w:eastAsia="仿宋_GB2312" w:cs="仿宋_GB2312"/>
          <w:bCs/>
          <w:color w:val="auto"/>
        </w:rPr>
        <w:t>（1）应急办公室职责</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bCs/>
          <w:color w:val="auto"/>
        </w:rPr>
      </w:pPr>
      <w:r>
        <w:rPr>
          <w:rFonts w:hint="eastAsia" w:ascii="仿宋_GB2312" w:hAnsi="仿宋_GB2312" w:eastAsia="仿宋_GB2312" w:cs="仿宋_GB2312"/>
          <w:bCs/>
          <w:color w:val="auto"/>
        </w:rPr>
        <w:t>街道应急办公室的职责，如表2.1-3所示。</w:t>
      </w:r>
    </w:p>
    <w:p>
      <w:pPr>
        <w:tabs>
          <w:tab w:val="left" w:pos="1080"/>
        </w:tabs>
        <w:overflowPunct w:val="0"/>
        <w:topLinePunct/>
        <w:adjustRightInd w:val="0"/>
        <w:snapToGrid w:val="0"/>
        <w:spacing w:before="78" w:beforeLines="25" w:after="78" w:afterLines="25"/>
        <w:jc w:val="center"/>
        <w:textAlignment w:val="top"/>
        <w:rPr>
          <w:rFonts w:hint="eastAsia" w:ascii="仿宋_GB2312" w:hAnsi="仿宋_GB2312" w:eastAsia="仿宋_GB2312" w:cs="仿宋_GB2312"/>
          <w:b/>
          <w:color w:val="auto"/>
          <w:sz w:val="24"/>
          <w:szCs w:val="24"/>
        </w:rPr>
      </w:pPr>
      <w:r>
        <w:rPr>
          <w:rFonts w:hint="eastAsia" w:ascii="仿宋_GB2312" w:hAnsi="仿宋_GB2312" w:eastAsia="仿宋_GB2312" w:cs="仿宋_GB2312"/>
          <w:b/>
          <w:color w:val="auto"/>
          <w:sz w:val="24"/>
          <w:szCs w:val="24"/>
        </w:rPr>
        <w:t>表 2.1-3  街道应急办公室应急职责一览表</w:t>
      </w:r>
    </w:p>
    <w:tbl>
      <w:tblPr>
        <w:tblStyle w:val="34"/>
        <w:tblW w:w="89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79"/>
        <w:gridCol w:w="4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479" w:type="dxa"/>
            <w:tcMar>
              <w:top w:w="113" w:type="dxa"/>
              <w:left w:w="57" w:type="dxa"/>
              <w:bottom w:w="113" w:type="dxa"/>
              <w:right w:w="57" w:type="dxa"/>
            </w:tcMa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日常应急职责</w:t>
            </w:r>
          </w:p>
        </w:tc>
        <w:tc>
          <w:tcPr>
            <w:tcW w:w="4480" w:type="dxa"/>
            <w:tcMar>
              <w:top w:w="113" w:type="dxa"/>
              <w:left w:w="57" w:type="dxa"/>
              <w:bottom w:w="113" w:type="dxa"/>
              <w:right w:w="57" w:type="dxa"/>
            </w:tcMa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事故期间职责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tcMar>
              <w:top w:w="113" w:type="dxa"/>
              <w:left w:w="57" w:type="dxa"/>
              <w:bottom w:w="113" w:type="dxa"/>
              <w:right w:w="57" w:type="dxa"/>
            </w:tcMar>
            <w:vAlign w:val="center"/>
          </w:tcPr>
          <w:p>
            <w:pPr>
              <w:overflowPunct w:val="0"/>
              <w:topLinePunct/>
              <w:contextualSpacing/>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（1）负责日常应急工作管理，确保与上级应急管理机构、相关应急组织的信息畅通。</w:t>
            </w:r>
          </w:p>
          <w:p>
            <w:pPr>
              <w:overflowPunct w:val="0"/>
              <w:topLinePunct/>
              <w:contextualSpacing/>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（2）定期组织应急培训、演练和考核评估。</w:t>
            </w:r>
          </w:p>
          <w:p>
            <w:pPr>
              <w:overflowPunct w:val="0"/>
              <w:topLinePunct/>
              <w:contextualSpacing/>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（3）落实应急所需药品、耗材、器械、设备等物资的储备及日常管理工作；</w:t>
            </w:r>
          </w:p>
          <w:p>
            <w:pPr>
              <w:overflowPunct w:val="0"/>
              <w:topLinePunct/>
              <w:contextualSpacing/>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（4）应急管理委员会交办的其他任务。</w:t>
            </w:r>
          </w:p>
        </w:tc>
        <w:tc>
          <w:tcPr>
            <w:tcW w:w="4480" w:type="dxa"/>
            <w:tcMar>
              <w:top w:w="113" w:type="dxa"/>
              <w:left w:w="57" w:type="dxa"/>
              <w:bottom w:w="113" w:type="dxa"/>
              <w:right w:w="57" w:type="dxa"/>
            </w:tcMar>
            <w:vAlign w:val="center"/>
          </w:tcPr>
          <w:p>
            <w:pPr>
              <w:overflowPunct w:val="0"/>
              <w:topLinePunct/>
              <w:contextualSpacing/>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（1）负责事故接警和事故汇报工作；根据应急总指挥的指示，向各应急施救组织下达指令。</w:t>
            </w:r>
          </w:p>
          <w:p>
            <w:pPr>
              <w:overflowPunct w:val="0"/>
              <w:topLinePunct/>
              <w:contextualSpacing/>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（2）在应急管理委员会的指挥下，调配应急力量和物资，跟踪并了解事故的发展和处置情况。</w:t>
            </w:r>
          </w:p>
          <w:p>
            <w:pPr>
              <w:overflowPunct w:val="0"/>
              <w:topLinePunct/>
              <w:contextualSpacing/>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（3）随时向应急管理委员会和上级有关部门进行汇报；整理、制作相关 的事故报表和材料等。</w:t>
            </w:r>
          </w:p>
        </w:tc>
      </w:tr>
    </w:tbl>
    <w:p>
      <w:pPr>
        <w:tabs>
          <w:tab w:val="left" w:pos="1080"/>
        </w:tabs>
        <w:overflowPunct w:val="0"/>
        <w:topLinePunct/>
        <w:adjustRightInd w:val="0"/>
        <w:snapToGrid w:val="0"/>
        <w:spacing w:before="156" w:beforeLines="50" w:line="360" w:lineRule="auto"/>
        <w:ind w:firstLine="560" w:firstLineChars="200"/>
        <w:textAlignment w:val="top"/>
        <w:rPr>
          <w:rFonts w:hint="eastAsia" w:ascii="仿宋_GB2312" w:hAnsi="仿宋_GB2312" w:eastAsia="仿宋_GB2312" w:cs="仿宋_GB2312"/>
          <w:bCs/>
          <w:color w:val="auto"/>
        </w:rPr>
      </w:pPr>
      <w:r>
        <w:rPr>
          <w:rFonts w:hint="eastAsia" w:ascii="仿宋_GB2312" w:hAnsi="仿宋_GB2312" w:eastAsia="仿宋_GB2312" w:cs="仿宋_GB2312"/>
          <w:bCs/>
          <w:color w:val="auto"/>
        </w:rPr>
        <w:t>（2）应急办公室主任、副主任及成员职责</w:t>
      </w:r>
    </w:p>
    <w:p>
      <w:pPr>
        <w:tabs>
          <w:tab w:val="left" w:pos="1080"/>
        </w:tabs>
        <w:overflowPunct w:val="0"/>
        <w:topLinePunct/>
        <w:adjustRightInd w:val="0"/>
        <w:snapToGrid w:val="0"/>
        <w:spacing w:line="360" w:lineRule="auto"/>
        <w:ind w:firstLine="560" w:firstLineChars="200"/>
        <w:textAlignment w:val="top"/>
        <w:rPr>
          <w:rFonts w:hint="eastAsia" w:ascii="仿宋_GB2312" w:hAnsi="仿宋_GB2312" w:eastAsia="仿宋_GB2312" w:cs="仿宋_GB2312"/>
          <w:bCs/>
          <w:color w:val="auto"/>
        </w:rPr>
      </w:pPr>
      <w:r>
        <w:rPr>
          <w:rFonts w:hint="eastAsia" w:ascii="仿宋_GB2312" w:hAnsi="仿宋_GB2312" w:eastAsia="仿宋_GB2312" w:cs="仿宋_GB2312"/>
          <w:bCs/>
          <w:color w:val="auto"/>
        </w:rPr>
        <w:t>应急办公室主任、副主任及成员职责，如表2.1-4所示。</w:t>
      </w:r>
    </w:p>
    <w:p>
      <w:pPr>
        <w:tabs>
          <w:tab w:val="left" w:pos="1080"/>
        </w:tabs>
        <w:overflowPunct w:val="0"/>
        <w:topLinePunct/>
        <w:adjustRightInd w:val="0"/>
        <w:snapToGrid w:val="0"/>
        <w:spacing w:before="78" w:beforeLines="25" w:after="78" w:afterLines="25"/>
        <w:jc w:val="center"/>
        <w:textAlignment w:val="top"/>
        <w:rPr>
          <w:rFonts w:hint="eastAsia" w:ascii="仿宋_GB2312" w:hAnsi="仿宋_GB2312" w:eastAsia="仿宋_GB2312" w:cs="仿宋_GB2312"/>
          <w:b/>
          <w:color w:val="auto"/>
          <w:sz w:val="24"/>
          <w:szCs w:val="24"/>
        </w:rPr>
      </w:pPr>
      <w:r>
        <w:rPr>
          <w:rFonts w:hint="eastAsia" w:ascii="仿宋_GB2312" w:hAnsi="仿宋_GB2312" w:eastAsia="仿宋_GB2312" w:cs="仿宋_GB2312"/>
          <w:b/>
          <w:color w:val="auto"/>
          <w:sz w:val="24"/>
          <w:szCs w:val="24"/>
        </w:rPr>
        <w:t>表 2.1-4  应急办公室主任、副主任及成员职责一览表</w:t>
      </w:r>
    </w:p>
    <w:tbl>
      <w:tblPr>
        <w:tblStyle w:val="20"/>
        <w:tblW w:w="89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3686"/>
        <w:gridCol w:w="41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129" w:type="dxa"/>
            <w:tcMar>
              <w:top w:w="113" w:type="dxa"/>
              <w:left w:w="57" w:type="dxa"/>
              <w:bottom w:w="113" w:type="dxa"/>
              <w:right w:w="57" w:type="dxa"/>
            </w:tcMar>
            <w:vAlign w:val="center"/>
          </w:tcPr>
          <w:p>
            <w:pPr>
              <w:tabs>
                <w:tab w:val="left" w:pos="1080"/>
              </w:tabs>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应急职务</w:t>
            </w:r>
          </w:p>
        </w:tc>
        <w:tc>
          <w:tcPr>
            <w:tcW w:w="3686" w:type="dxa"/>
            <w:tcMar>
              <w:top w:w="113" w:type="dxa"/>
              <w:left w:w="57" w:type="dxa"/>
              <w:bottom w:w="113" w:type="dxa"/>
              <w:right w:w="57" w:type="dxa"/>
            </w:tcMar>
            <w:vAlign w:val="center"/>
          </w:tcPr>
          <w:p>
            <w:pPr>
              <w:tabs>
                <w:tab w:val="left" w:pos="1080"/>
              </w:tabs>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日常应急职责</w:t>
            </w:r>
          </w:p>
        </w:tc>
        <w:tc>
          <w:tcPr>
            <w:tcW w:w="4144" w:type="dxa"/>
            <w:tcMar>
              <w:top w:w="113" w:type="dxa"/>
              <w:left w:w="57" w:type="dxa"/>
              <w:bottom w:w="113" w:type="dxa"/>
              <w:right w:w="57" w:type="dxa"/>
            </w:tcMar>
            <w:vAlign w:val="center"/>
          </w:tcPr>
          <w:p>
            <w:pPr>
              <w:tabs>
                <w:tab w:val="left" w:pos="1080"/>
              </w:tabs>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事故期间职责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tcMar>
              <w:top w:w="113" w:type="dxa"/>
              <w:left w:w="57" w:type="dxa"/>
              <w:bottom w:w="113" w:type="dxa"/>
              <w:right w:w="57" w:type="dxa"/>
            </w:tcMar>
            <w:vAlign w:val="center"/>
          </w:tcPr>
          <w:p>
            <w:pPr>
              <w:tabs>
                <w:tab w:val="left" w:pos="1080"/>
              </w:tabs>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主  任</w:t>
            </w:r>
          </w:p>
        </w:tc>
        <w:tc>
          <w:tcPr>
            <w:tcW w:w="3686" w:type="dxa"/>
            <w:tcMar>
              <w:top w:w="113" w:type="dxa"/>
              <w:left w:w="57" w:type="dxa"/>
              <w:bottom w:w="113" w:type="dxa"/>
              <w:right w:w="57" w:type="dxa"/>
            </w:tcMar>
            <w:vAlign w:val="center"/>
          </w:tcPr>
          <w:p>
            <w:pPr>
              <w:tabs>
                <w:tab w:val="left" w:pos="1080"/>
              </w:tabs>
              <w:overflowPunct w:val="0"/>
              <w:topLinePunct/>
              <w:contextualSpacing/>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（1）负责统筹应急办公室工作；对副主任、成员的工作情况进行管理、考核。</w:t>
            </w:r>
          </w:p>
          <w:p>
            <w:pPr>
              <w:tabs>
                <w:tab w:val="left" w:pos="1080"/>
              </w:tabs>
              <w:overflowPunct w:val="0"/>
              <w:topLinePunct/>
              <w:contextualSpacing/>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（2）负责火灾事故文资料的建立及管理，确保有关火灾事故的资料规范和有效。</w:t>
            </w:r>
          </w:p>
        </w:tc>
        <w:tc>
          <w:tcPr>
            <w:tcW w:w="4144" w:type="dxa"/>
            <w:tcMar>
              <w:top w:w="113" w:type="dxa"/>
              <w:left w:w="57" w:type="dxa"/>
              <w:bottom w:w="113" w:type="dxa"/>
              <w:right w:w="57" w:type="dxa"/>
            </w:tcMar>
            <w:vAlign w:val="center"/>
          </w:tcPr>
          <w:p>
            <w:pPr>
              <w:tabs>
                <w:tab w:val="left" w:pos="1080"/>
              </w:tabs>
              <w:overflowPunct w:val="0"/>
              <w:topLinePunct/>
              <w:contextualSpacing/>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（1）根据应急管理委员会的安排，贯彻落实应急管理委员会的工作安排。</w:t>
            </w:r>
          </w:p>
          <w:p>
            <w:pPr>
              <w:tabs>
                <w:tab w:val="left" w:pos="1080"/>
              </w:tabs>
              <w:overflowPunct w:val="0"/>
              <w:topLinePunct/>
              <w:contextualSpacing/>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（2）事故应急过程中，及时向办公室副主任及成员传达有关指令。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29" w:type="dxa"/>
            <w:tcMar>
              <w:top w:w="113" w:type="dxa"/>
              <w:left w:w="57" w:type="dxa"/>
              <w:bottom w:w="113" w:type="dxa"/>
              <w:right w:w="57" w:type="dxa"/>
            </w:tcMar>
            <w:vAlign w:val="center"/>
          </w:tcPr>
          <w:p>
            <w:pPr>
              <w:tabs>
                <w:tab w:val="left" w:pos="1080"/>
              </w:tabs>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副主任</w:t>
            </w:r>
          </w:p>
        </w:tc>
        <w:tc>
          <w:tcPr>
            <w:tcW w:w="3686" w:type="dxa"/>
            <w:tcMar>
              <w:top w:w="113" w:type="dxa"/>
              <w:left w:w="57" w:type="dxa"/>
              <w:bottom w:w="113" w:type="dxa"/>
              <w:right w:w="57" w:type="dxa"/>
            </w:tcMar>
            <w:vAlign w:val="center"/>
          </w:tcPr>
          <w:p>
            <w:pPr>
              <w:tabs>
                <w:tab w:val="left" w:pos="1080"/>
              </w:tabs>
              <w:overflowPunct w:val="0"/>
              <w:topLinePunct/>
              <w:contextualSpacing/>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（1）协助主任做好应急办公室的日常管理工作。</w:t>
            </w:r>
          </w:p>
          <w:p>
            <w:pPr>
              <w:tabs>
                <w:tab w:val="left" w:pos="1080"/>
              </w:tabs>
              <w:overflowPunct w:val="0"/>
              <w:topLinePunct/>
              <w:contextualSpacing/>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（2）主任交办的其他应急事项。</w:t>
            </w:r>
          </w:p>
        </w:tc>
        <w:tc>
          <w:tcPr>
            <w:tcW w:w="4144" w:type="dxa"/>
            <w:tcMar>
              <w:top w:w="113" w:type="dxa"/>
              <w:left w:w="57" w:type="dxa"/>
              <w:bottom w:w="113" w:type="dxa"/>
              <w:right w:w="57" w:type="dxa"/>
            </w:tcMar>
            <w:vAlign w:val="center"/>
          </w:tcPr>
          <w:p>
            <w:pPr>
              <w:tabs>
                <w:tab w:val="left" w:pos="1080"/>
              </w:tabs>
              <w:overflowPunct w:val="0"/>
              <w:topLinePunct/>
              <w:contextualSpacing/>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（1）负责落实主任交办的应急事项。</w:t>
            </w:r>
          </w:p>
          <w:p>
            <w:pPr>
              <w:tabs>
                <w:tab w:val="left" w:pos="1080"/>
              </w:tabs>
              <w:overflowPunct w:val="0"/>
              <w:topLinePunct/>
              <w:contextualSpacing/>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（2）遇主任因故不能到任时，负责应急办公室的应急管理职能。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29" w:type="dxa"/>
            <w:tcMar>
              <w:top w:w="113" w:type="dxa"/>
              <w:left w:w="57" w:type="dxa"/>
              <w:bottom w:w="113" w:type="dxa"/>
              <w:right w:w="57" w:type="dxa"/>
            </w:tcMar>
            <w:vAlign w:val="center"/>
          </w:tcPr>
          <w:p>
            <w:pPr>
              <w:tabs>
                <w:tab w:val="left" w:pos="1080"/>
              </w:tabs>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成  员</w:t>
            </w:r>
          </w:p>
        </w:tc>
        <w:tc>
          <w:tcPr>
            <w:tcW w:w="3686" w:type="dxa"/>
            <w:tcMar>
              <w:top w:w="113" w:type="dxa"/>
              <w:left w:w="57" w:type="dxa"/>
              <w:bottom w:w="113" w:type="dxa"/>
              <w:right w:w="57" w:type="dxa"/>
            </w:tcMar>
            <w:vAlign w:val="center"/>
          </w:tcPr>
          <w:p>
            <w:pPr>
              <w:tabs>
                <w:tab w:val="left" w:pos="1080"/>
              </w:tabs>
              <w:overflowPunct w:val="0"/>
              <w:topLinePunct/>
              <w:contextualSpacing/>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（1）根据主任、副主任的安排，组织开展应急预案的演练、培训、宣传等工作；</w:t>
            </w:r>
          </w:p>
          <w:p>
            <w:pPr>
              <w:tabs>
                <w:tab w:val="left" w:pos="1080"/>
              </w:tabs>
              <w:overflowPunct w:val="0"/>
              <w:topLinePunct/>
              <w:contextualSpacing/>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（2）履行岗位职责，具体负责突发事故信息的接收和登记工作。</w:t>
            </w:r>
          </w:p>
        </w:tc>
        <w:tc>
          <w:tcPr>
            <w:tcW w:w="4144" w:type="dxa"/>
            <w:tcMar>
              <w:top w:w="113" w:type="dxa"/>
              <w:left w:w="57" w:type="dxa"/>
              <w:bottom w:w="113" w:type="dxa"/>
              <w:right w:w="57" w:type="dxa"/>
            </w:tcMar>
            <w:vAlign w:val="center"/>
          </w:tcPr>
          <w:p>
            <w:pPr>
              <w:tabs>
                <w:tab w:val="left" w:pos="1080"/>
              </w:tabs>
              <w:overflowPunct w:val="0"/>
              <w:topLinePunct/>
              <w:contextualSpacing/>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（1）落实主任或副主任交办的应急事项。</w:t>
            </w:r>
          </w:p>
          <w:p>
            <w:pPr>
              <w:tabs>
                <w:tab w:val="left" w:pos="1080"/>
              </w:tabs>
              <w:overflowPunct w:val="0"/>
              <w:topLinePunct/>
              <w:contextualSpacing/>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（2）上传下达各种指令及时、准确。</w:t>
            </w:r>
          </w:p>
        </w:tc>
      </w:tr>
    </w:tbl>
    <w:p>
      <w:pPr>
        <w:pStyle w:val="3"/>
        <w:overflowPunct w:val="0"/>
        <w:topLinePunct/>
        <w:adjustRightInd w:val="0"/>
        <w:snapToGrid w:val="0"/>
        <w:spacing w:before="156" w:beforeLines="50" w:after="0" w:line="360" w:lineRule="auto"/>
        <w:textAlignment w:val="top"/>
        <w:rPr>
          <w:rFonts w:hint="eastAsia" w:ascii="仿宋_GB2312" w:hAnsi="仿宋_GB2312" w:eastAsia="仿宋_GB2312" w:cs="仿宋_GB2312"/>
          <w:color w:val="auto"/>
          <w:sz w:val="30"/>
          <w:szCs w:val="30"/>
        </w:rPr>
      </w:pPr>
      <w:bookmarkStart w:id="38" w:name="_Toc155861777"/>
      <w:bookmarkStart w:id="39" w:name="_Hlk153905319"/>
      <w:r>
        <w:rPr>
          <w:rFonts w:hint="eastAsia" w:ascii="仿宋_GB2312" w:hAnsi="仿宋_GB2312" w:eastAsia="仿宋_GB2312" w:cs="仿宋_GB2312"/>
          <w:color w:val="auto"/>
          <w:sz w:val="30"/>
          <w:szCs w:val="30"/>
        </w:rPr>
        <w:t>2.2  成员单位</w:t>
      </w:r>
      <w:bookmarkEnd w:id="38"/>
    </w:p>
    <w:bookmarkEnd w:id="39"/>
    <w:p>
      <w:pPr>
        <w:keepNext/>
        <w:keepLines/>
        <w:overflowPunct w:val="0"/>
        <w:topLinePunct/>
        <w:adjustRightInd w:val="0"/>
        <w:snapToGrid w:val="0"/>
        <w:spacing w:line="360" w:lineRule="auto"/>
        <w:textAlignment w:val="top"/>
        <w:outlineLvl w:val="2"/>
        <w:rPr>
          <w:rFonts w:hint="eastAsia" w:ascii="仿宋_GB2312" w:hAnsi="仿宋_GB2312" w:eastAsia="仿宋_GB2312" w:cs="仿宋_GB2312"/>
          <w:b/>
          <w:bCs/>
          <w:color w:val="auto"/>
        </w:rPr>
      </w:pPr>
      <w:bookmarkStart w:id="40" w:name="_Toc155855464"/>
      <w:bookmarkStart w:id="41" w:name="_Toc155861778"/>
      <w:bookmarkStart w:id="42" w:name="_Toc155859831"/>
      <w:bookmarkStart w:id="43" w:name="_Hlk155852411"/>
      <w:r>
        <w:rPr>
          <w:rFonts w:hint="eastAsia" w:ascii="仿宋_GB2312" w:hAnsi="仿宋_GB2312" w:eastAsia="仿宋_GB2312" w:cs="仿宋_GB2312"/>
          <w:b/>
          <w:bCs/>
          <w:color w:val="auto"/>
        </w:rPr>
        <w:t>2.2.1  主要成员单位</w:t>
      </w:r>
      <w:bookmarkEnd w:id="40"/>
      <w:bookmarkEnd w:id="41"/>
      <w:bookmarkEnd w:id="42"/>
    </w:p>
    <w:bookmarkEnd w:id="43"/>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为配合应急救援的需要，唐王街道将街道政府有关部门、辖区</w:t>
      </w:r>
      <w:bookmarkStart w:id="44" w:name="_Hlk155852533"/>
      <w:r>
        <w:rPr>
          <w:rFonts w:hint="eastAsia" w:ascii="仿宋_GB2312" w:hAnsi="仿宋_GB2312" w:eastAsia="仿宋_GB2312" w:cs="仿宋_GB2312"/>
          <w:color w:val="auto"/>
        </w:rPr>
        <w:t>公安派出所</w:t>
      </w:r>
      <w:bookmarkEnd w:id="44"/>
      <w:r>
        <w:rPr>
          <w:rFonts w:hint="eastAsia" w:ascii="仿宋_GB2312" w:hAnsi="仿宋_GB2312" w:eastAsia="仿宋_GB2312" w:cs="仿宋_GB2312"/>
          <w:color w:val="auto"/>
        </w:rPr>
        <w:t>、供电部门、邮政单位、各管区、主要企事业单位、各行政村等，列为成员单位，以便自然灾害事件应急期间提供相关应急职能。</w:t>
      </w:r>
    </w:p>
    <w:p>
      <w:pPr>
        <w:keepNext/>
        <w:keepLines/>
        <w:overflowPunct w:val="0"/>
        <w:topLinePunct/>
        <w:adjustRightInd w:val="0"/>
        <w:snapToGrid w:val="0"/>
        <w:spacing w:line="360" w:lineRule="auto"/>
        <w:textAlignment w:val="top"/>
        <w:outlineLvl w:val="2"/>
        <w:rPr>
          <w:rFonts w:hint="eastAsia" w:ascii="仿宋_GB2312" w:hAnsi="仿宋_GB2312" w:eastAsia="仿宋_GB2312" w:cs="仿宋_GB2312"/>
          <w:b/>
          <w:bCs/>
          <w:color w:val="auto"/>
        </w:rPr>
      </w:pPr>
      <w:bookmarkStart w:id="45" w:name="_Toc155855465"/>
      <w:bookmarkStart w:id="46" w:name="_Toc155861779"/>
      <w:bookmarkStart w:id="47" w:name="_Toc155859832"/>
      <w:r>
        <w:rPr>
          <w:rFonts w:hint="eastAsia" w:ascii="仿宋_GB2312" w:hAnsi="仿宋_GB2312" w:eastAsia="仿宋_GB2312" w:cs="仿宋_GB2312"/>
          <w:b/>
          <w:bCs/>
          <w:color w:val="auto"/>
        </w:rPr>
        <w:t>2.2.2  成员单位职责</w:t>
      </w:r>
      <w:bookmarkEnd w:id="45"/>
      <w:bookmarkEnd w:id="46"/>
      <w:bookmarkEnd w:id="47"/>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上述成员单位在各类火灾事故应急期间，根据火灾事故救援工作需要，在街道应急指挥部的组织、协调下，在职责范围内做好相关工作。</w:t>
      </w:r>
    </w:p>
    <w:p>
      <w:pPr>
        <w:overflowPunct w:val="0"/>
        <w:topLinePunct/>
        <w:adjustRightInd w:val="0"/>
        <w:snapToGrid w:val="0"/>
        <w:spacing w:line="360" w:lineRule="auto"/>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2.2.2.1  公安派出所</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派出所等公安部门按照有关规定，参与应急处置和治安维护工作。视情况制定灾区应急状态下维护治安、交通秩序的行动方案，依法严厉打击违法犯罪活动。必要时，依法采取有效管制措施，维护社会秩序。</w:t>
      </w:r>
    </w:p>
    <w:p>
      <w:pPr>
        <w:overflowPunct w:val="0"/>
        <w:topLinePunct/>
        <w:adjustRightInd w:val="0"/>
        <w:snapToGrid w:val="0"/>
        <w:spacing w:line="360" w:lineRule="auto"/>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2.2.2.2  供电部门</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按规定权限负责供电区域内电网的运行维护、检修、事故抢修及故障报修工作，确保供电可靠。</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发生火灾事故期间，根据应急指挥部的安排，负责事故抢险与处置，恢复电力供应等工作。</w:t>
      </w:r>
    </w:p>
    <w:p>
      <w:pPr>
        <w:overflowPunct w:val="0"/>
        <w:topLinePunct/>
        <w:adjustRightInd w:val="0"/>
        <w:snapToGrid w:val="0"/>
        <w:spacing w:line="360" w:lineRule="auto"/>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2.2.2.3  邮政部门</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发生气象灾害、地震灾害、地质灾害、安全事故、疫情、恐怖袭击等火灾事故时，确保邮政信息系统畅通，防止邮件、快件积压、丢失或损毁。</w:t>
      </w:r>
    </w:p>
    <w:p>
      <w:pPr>
        <w:overflowPunct w:val="0"/>
        <w:topLinePunct/>
        <w:adjustRightInd w:val="0"/>
        <w:snapToGrid w:val="0"/>
        <w:spacing w:line="360" w:lineRule="auto"/>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2.2.2.4  各管区</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街道各管区，在上级政府及街道应急管理委员会的领导下，负责管区范围内发生的火灾事故的预测、预警、报警、接警、处置、善后等工作。</w:t>
      </w:r>
    </w:p>
    <w:p>
      <w:pPr>
        <w:overflowPunct w:val="0"/>
        <w:topLinePunct/>
        <w:adjustRightInd w:val="0"/>
        <w:snapToGrid w:val="0"/>
        <w:spacing w:line="360" w:lineRule="auto"/>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2.2.2.5  其他</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街道辖区各企事业单位、村委会、其他组织应当加强对火灾事故的预防和处置工作，制定应急预案，储备应急物资，做好应急处置工作。</w:t>
      </w:r>
    </w:p>
    <w:p>
      <w:pPr>
        <w:pStyle w:val="3"/>
        <w:overflowPunct w:val="0"/>
        <w:topLinePunct/>
        <w:adjustRightInd w:val="0"/>
        <w:snapToGrid w:val="0"/>
        <w:spacing w:before="0" w:after="0" w:line="360" w:lineRule="auto"/>
        <w:textAlignment w:val="top"/>
        <w:rPr>
          <w:rFonts w:hint="eastAsia" w:ascii="仿宋_GB2312" w:hAnsi="仿宋_GB2312" w:eastAsia="仿宋_GB2312" w:cs="仿宋_GB2312"/>
          <w:color w:val="auto"/>
          <w:sz w:val="30"/>
          <w:szCs w:val="30"/>
        </w:rPr>
      </w:pPr>
      <w:bookmarkStart w:id="48" w:name="_Toc155861780"/>
      <w:bookmarkStart w:id="49" w:name="_Hlk153905629"/>
      <w:r>
        <w:rPr>
          <w:rFonts w:hint="eastAsia" w:ascii="仿宋_GB2312" w:hAnsi="仿宋_GB2312" w:eastAsia="仿宋_GB2312" w:cs="仿宋_GB2312"/>
          <w:color w:val="auto"/>
          <w:sz w:val="30"/>
          <w:szCs w:val="30"/>
        </w:rPr>
        <w:t>2.3  应急工作组</w:t>
      </w:r>
      <w:bookmarkEnd w:id="48"/>
    </w:p>
    <w:bookmarkEnd w:id="49"/>
    <w:p>
      <w:pPr>
        <w:tabs>
          <w:tab w:val="left" w:pos="1080"/>
        </w:tabs>
        <w:overflowPunct w:val="0"/>
        <w:topLinePunct/>
        <w:adjustRightInd w:val="0"/>
        <w:snapToGrid w:val="0"/>
        <w:spacing w:line="360" w:lineRule="auto"/>
        <w:ind w:firstLine="560" w:firstLineChars="200"/>
        <w:textAlignment w:val="top"/>
        <w:rPr>
          <w:rFonts w:hint="eastAsia" w:ascii="仿宋_GB2312" w:hAnsi="仿宋_GB2312" w:eastAsia="仿宋_GB2312" w:cs="仿宋_GB2312"/>
          <w:bCs/>
          <w:color w:val="auto"/>
        </w:rPr>
      </w:pPr>
      <w:r>
        <w:rPr>
          <w:rFonts w:hint="eastAsia" w:ascii="仿宋_GB2312" w:hAnsi="仿宋_GB2312" w:eastAsia="仿宋_GB2312" w:cs="仿宋_GB2312"/>
          <w:bCs/>
          <w:color w:val="auto"/>
        </w:rPr>
        <w:t>唐王街道根据火灾事故应急救援的需要，成立应急工作小组。应急工作小组由综合协调组、抢险救灾组、通信联络组、治安疏导组、医疗救护组、后勤保障组、环境保护组、新闻发布组、技术保障组、调查评估组、善后工作组组成。上述各应急工作小组在街道应急管理委员会的领导和指挥下，按照各自的职责进行应急救援。</w:t>
      </w:r>
    </w:p>
    <w:p>
      <w:pPr>
        <w:tabs>
          <w:tab w:val="left" w:pos="1080"/>
        </w:tabs>
        <w:overflowPunct w:val="0"/>
        <w:topLinePunct/>
        <w:adjustRightInd w:val="0"/>
        <w:snapToGrid w:val="0"/>
        <w:spacing w:before="78" w:beforeLines="25" w:after="78" w:afterLines="25"/>
        <w:jc w:val="center"/>
        <w:textAlignment w:val="top"/>
        <w:rPr>
          <w:rFonts w:hint="eastAsia" w:ascii="仿宋_GB2312" w:hAnsi="仿宋_GB2312" w:eastAsia="仿宋_GB2312" w:cs="仿宋_GB2312"/>
          <w:b/>
          <w:color w:val="auto"/>
          <w:sz w:val="24"/>
          <w:szCs w:val="24"/>
        </w:rPr>
      </w:pPr>
      <w:bookmarkStart w:id="50" w:name="_Hlk73156173"/>
      <w:r>
        <w:rPr>
          <w:rFonts w:hint="eastAsia" w:ascii="仿宋_GB2312" w:hAnsi="仿宋_GB2312" w:eastAsia="仿宋_GB2312" w:cs="仿宋_GB2312"/>
          <w:b/>
          <w:color w:val="auto"/>
          <w:sz w:val="24"/>
          <w:szCs w:val="24"/>
        </w:rPr>
        <w:t>表 2.3-1  应急工作小组主要职责</w:t>
      </w:r>
    </w:p>
    <w:tbl>
      <w:tblPr>
        <w:tblStyle w:val="20"/>
        <w:tblW w:w="89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9"/>
        <w:gridCol w:w="1218"/>
        <w:gridCol w:w="4101"/>
        <w:gridCol w:w="1428"/>
        <w:gridCol w:w="1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69" w:type="dxa"/>
            <w:tcMar>
              <w:top w:w="113" w:type="dxa"/>
              <w:left w:w="57" w:type="dxa"/>
              <w:bottom w:w="113" w:type="dxa"/>
              <w:right w:w="57" w:type="dxa"/>
            </w:tcMar>
            <w:vAlign w:val="center"/>
          </w:tcPr>
          <w:p>
            <w:pPr>
              <w:tabs>
                <w:tab w:val="left" w:pos="1080"/>
              </w:tabs>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序号</w:t>
            </w:r>
          </w:p>
        </w:tc>
        <w:tc>
          <w:tcPr>
            <w:tcW w:w="1218" w:type="dxa"/>
            <w:tcMar>
              <w:top w:w="113" w:type="dxa"/>
              <w:left w:w="57" w:type="dxa"/>
              <w:bottom w:w="113" w:type="dxa"/>
              <w:right w:w="57" w:type="dxa"/>
            </w:tcMar>
            <w:vAlign w:val="center"/>
          </w:tcPr>
          <w:p>
            <w:pPr>
              <w:tabs>
                <w:tab w:val="left" w:pos="1080"/>
              </w:tabs>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名称</w:t>
            </w:r>
          </w:p>
        </w:tc>
        <w:tc>
          <w:tcPr>
            <w:tcW w:w="4101" w:type="dxa"/>
            <w:tcMar>
              <w:top w:w="113" w:type="dxa"/>
              <w:left w:w="57" w:type="dxa"/>
              <w:bottom w:w="113" w:type="dxa"/>
              <w:right w:w="57" w:type="dxa"/>
            </w:tcMar>
            <w:vAlign w:val="center"/>
          </w:tcPr>
          <w:p>
            <w:pPr>
              <w:tabs>
                <w:tab w:val="left" w:pos="1080"/>
              </w:tabs>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主要职责</w:t>
            </w:r>
          </w:p>
        </w:tc>
        <w:tc>
          <w:tcPr>
            <w:tcW w:w="1428" w:type="dxa"/>
            <w:tcMar>
              <w:top w:w="113" w:type="dxa"/>
              <w:left w:w="57" w:type="dxa"/>
              <w:bottom w:w="113" w:type="dxa"/>
              <w:right w:w="57" w:type="dxa"/>
            </w:tcMar>
            <w:vAlign w:val="center"/>
          </w:tcPr>
          <w:p>
            <w:pPr>
              <w:tabs>
                <w:tab w:val="left" w:pos="1080"/>
              </w:tabs>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牵头部门</w:t>
            </w:r>
          </w:p>
        </w:tc>
        <w:tc>
          <w:tcPr>
            <w:tcW w:w="1643" w:type="dxa"/>
            <w:tcMar>
              <w:top w:w="113" w:type="dxa"/>
              <w:left w:w="57" w:type="dxa"/>
              <w:bottom w:w="113" w:type="dxa"/>
              <w:right w:w="57" w:type="dxa"/>
            </w:tcMar>
            <w:vAlign w:val="center"/>
          </w:tcPr>
          <w:p>
            <w:pPr>
              <w:tabs>
                <w:tab w:val="left" w:pos="1080"/>
              </w:tabs>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配合部门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69" w:type="dxa"/>
            <w:tcMar>
              <w:top w:w="113" w:type="dxa"/>
              <w:left w:w="57" w:type="dxa"/>
              <w:bottom w:w="113" w:type="dxa"/>
              <w:right w:w="57" w:type="dxa"/>
            </w:tcMar>
            <w:vAlign w:val="center"/>
          </w:tcPr>
          <w:p>
            <w:pPr>
              <w:tabs>
                <w:tab w:val="left" w:pos="1080"/>
              </w:tabs>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1</w:t>
            </w:r>
          </w:p>
        </w:tc>
        <w:tc>
          <w:tcPr>
            <w:tcW w:w="1218" w:type="dxa"/>
            <w:tcMar>
              <w:top w:w="113" w:type="dxa"/>
              <w:left w:w="57" w:type="dxa"/>
              <w:bottom w:w="113" w:type="dxa"/>
              <w:right w:w="57" w:type="dxa"/>
            </w:tcMar>
            <w:vAlign w:val="center"/>
          </w:tcPr>
          <w:p>
            <w:pPr>
              <w:tabs>
                <w:tab w:val="left" w:pos="1080"/>
              </w:tabs>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综合协调组</w:t>
            </w:r>
          </w:p>
        </w:tc>
        <w:tc>
          <w:tcPr>
            <w:tcW w:w="4101" w:type="dxa"/>
            <w:tcMar>
              <w:top w:w="113" w:type="dxa"/>
              <w:left w:w="57" w:type="dxa"/>
              <w:bottom w:w="113" w:type="dxa"/>
              <w:right w:w="57" w:type="dxa"/>
            </w:tcMar>
            <w:vAlign w:val="center"/>
          </w:tcPr>
          <w:p>
            <w:pPr>
              <w:tabs>
                <w:tab w:val="left" w:pos="1080"/>
              </w:tabs>
              <w:overflowPunct w:val="0"/>
              <w:topLinePunct/>
              <w:contextualSpacing/>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color w:val="auto"/>
                <w:kern w:val="0"/>
                <w:sz w:val="21"/>
                <w:szCs w:val="21"/>
              </w:rPr>
              <w:t>（1）统筹组织火灾事故现场应急救援的综合协调工作；（2）协助现场指挥人员做好现场指挥部的开设和撤离工作；（3）负责应急领导小组指令的接收与转发，做好现场指挥小组会议管理工作，做好会议记录整理以及对外发布文件的草拟工作；（4）承担现场指挥部的职守工作，收集、汇总现场处置工作情况，编辑应急救援大事记，编制信息简报并上报；（5）负责调配全镇事故应急力量和资源，向上级应急部门请求应急支援；（6）组织做好现场处置工作的总结评估，提出应急预案修改建议；（7）做好应急救援工作文件、影像资料的搜集、整理、保管和归档等工作。</w:t>
            </w:r>
          </w:p>
        </w:tc>
        <w:tc>
          <w:tcPr>
            <w:tcW w:w="1428" w:type="dxa"/>
            <w:tcMar>
              <w:top w:w="113" w:type="dxa"/>
              <w:left w:w="57" w:type="dxa"/>
              <w:bottom w:w="113" w:type="dxa"/>
              <w:right w:w="57" w:type="dxa"/>
            </w:tcMar>
            <w:vAlign w:val="center"/>
          </w:tcPr>
          <w:p>
            <w:pPr>
              <w:tabs>
                <w:tab w:val="left" w:pos="1080"/>
              </w:tabs>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应急办</w:t>
            </w:r>
          </w:p>
        </w:tc>
        <w:tc>
          <w:tcPr>
            <w:tcW w:w="1643" w:type="dxa"/>
            <w:tcMar>
              <w:top w:w="113" w:type="dxa"/>
              <w:left w:w="57" w:type="dxa"/>
              <w:bottom w:w="113" w:type="dxa"/>
              <w:right w:w="57" w:type="dxa"/>
            </w:tcMar>
            <w:vAlign w:val="center"/>
          </w:tcPr>
          <w:p>
            <w:pPr>
              <w:tabs>
                <w:tab w:val="left" w:pos="1080"/>
              </w:tabs>
              <w:overflowPunct w:val="0"/>
              <w:topLinePunct/>
              <w:contextualSpacing/>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党政办、文化站、宣传科、各管区、渔场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69" w:type="dxa"/>
            <w:tcMar>
              <w:top w:w="113" w:type="dxa"/>
              <w:left w:w="57" w:type="dxa"/>
              <w:bottom w:w="113" w:type="dxa"/>
              <w:right w:w="57" w:type="dxa"/>
            </w:tcMar>
            <w:vAlign w:val="center"/>
          </w:tcPr>
          <w:p>
            <w:pPr>
              <w:tabs>
                <w:tab w:val="left" w:pos="1080"/>
              </w:tabs>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2</w:t>
            </w:r>
          </w:p>
        </w:tc>
        <w:tc>
          <w:tcPr>
            <w:tcW w:w="1218" w:type="dxa"/>
            <w:tcMar>
              <w:top w:w="113" w:type="dxa"/>
              <w:left w:w="57" w:type="dxa"/>
              <w:bottom w:w="113" w:type="dxa"/>
              <w:right w:w="57" w:type="dxa"/>
            </w:tcMar>
            <w:vAlign w:val="center"/>
          </w:tcPr>
          <w:p>
            <w:pPr>
              <w:tabs>
                <w:tab w:val="left" w:pos="1080"/>
              </w:tabs>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抢险救灾组</w:t>
            </w:r>
          </w:p>
        </w:tc>
        <w:tc>
          <w:tcPr>
            <w:tcW w:w="4101" w:type="dxa"/>
            <w:tcMar>
              <w:top w:w="113" w:type="dxa"/>
              <w:left w:w="57" w:type="dxa"/>
              <w:bottom w:w="113" w:type="dxa"/>
              <w:right w:w="57" w:type="dxa"/>
            </w:tcMar>
            <w:vAlign w:val="center"/>
          </w:tcPr>
          <w:p>
            <w:pPr>
              <w:tabs>
                <w:tab w:val="left" w:pos="1080"/>
              </w:tabs>
              <w:overflowPunct w:val="0"/>
              <w:topLinePunct/>
              <w:contextualSpacing/>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（1）实施火灾事故现场处置、火灾事故扑救、人员搜救、工程抢险和现场清理等工作；（2）控制危险源，防止次生、衍生事故发生；（3）为火灾事故调查收集有关资料。</w:t>
            </w:r>
          </w:p>
        </w:tc>
        <w:tc>
          <w:tcPr>
            <w:tcW w:w="1428" w:type="dxa"/>
            <w:tcMar>
              <w:top w:w="113" w:type="dxa"/>
              <w:left w:w="57" w:type="dxa"/>
              <w:bottom w:w="113" w:type="dxa"/>
              <w:right w:w="57" w:type="dxa"/>
            </w:tcMar>
            <w:vAlign w:val="center"/>
          </w:tcPr>
          <w:p>
            <w:pPr>
              <w:tabs>
                <w:tab w:val="left" w:pos="1080"/>
              </w:tabs>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应急办</w:t>
            </w:r>
          </w:p>
        </w:tc>
        <w:tc>
          <w:tcPr>
            <w:tcW w:w="1643" w:type="dxa"/>
            <w:tcMar>
              <w:top w:w="113" w:type="dxa"/>
              <w:left w:w="57" w:type="dxa"/>
              <w:bottom w:w="113" w:type="dxa"/>
              <w:right w:w="57" w:type="dxa"/>
            </w:tcMar>
            <w:vAlign w:val="center"/>
          </w:tcPr>
          <w:p>
            <w:pPr>
              <w:tabs>
                <w:tab w:val="left" w:pos="1080"/>
              </w:tabs>
              <w:overflowPunct w:val="0"/>
              <w:topLinePunct/>
              <w:contextualSpacing/>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党政办、教育办、城管科、综合执法中队、供电所、卫生院、农业发展服务中心、经发科、社会事务科、各管区、渔场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69" w:type="dxa"/>
            <w:tcMar>
              <w:top w:w="113" w:type="dxa"/>
              <w:left w:w="57" w:type="dxa"/>
              <w:bottom w:w="113" w:type="dxa"/>
              <w:right w:w="57" w:type="dxa"/>
            </w:tcMar>
            <w:vAlign w:val="center"/>
          </w:tcPr>
          <w:p>
            <w:pPr>
              <w:tabs>
                <w:tab w:val="left" w:pos="1080"/>
              </w:tabs>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3</w:t>
            </w:r>
          </w:p>
        </w:tc>
        <w:tc>
          <w:tcPr>
            <w:tcW w:w="1218" w:type="dxa"/>
            <w:tcMar>
              <w:top w:w="113" w:type="dxa"/>
              <w:left w:w="57" w:type="dxa"/>
              <w:bottom w:w="113" w:type="dxa"/>
              <w:right w:w="57" w:type="dxa"/>
            </w:tcMar>
            <w:vAlign w:val="center"/>
          </w:tcPr>
          <w:p>
            <w:pPr>
              <w:tabs>
                <w:tab w:val="left" w:pos="1080"/>
              </w:tabs>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通信联络组</w:t>
            </w:r>
          </w:p>
        </w:tc>
        <w:tc>
          <w:tcPr>
            <w:tcW w:w="4101" w:type="dxa"/>
            <w:tcMar>
              <w:top w:w="113" w:type="dxa"/>
              <w:left w:w="57" w:type="dxa"/>
              <w:bottom w:w="113" w:type="dxa"/>
              <w:right w:w="57" w:type="dxa"/>
            </w:tcMar>
            <w:vAlign w:val="center"/>
          </w:tcPr>
          <w:p>
            <w:pPr>
              <w:tabs>
                <w:tab w:val="left" w:pos="1080"/>
              </w:tabs>
              <w:overflowPunct w:val="0"/>
              <w:topLinePunct/>
              <w:contextualSpacing/>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对通讯设施和设备进行维护，保证通讯设施和设备处于良好状态。</w:t>
            </w:r>
          </w:p>
        </w:tc>
        <w:tc>
          <w:tcPr>
            <w:tcW w:w="1428" w:type="dxa"/>
            <w:tcMar>
              <w:top w:w="113" w:type="dxa"/>
              <w:left w:w="57" w:type="dxa"/>
              <w:bottom w:w="113" w:type="dxa"/>
              <w:right w:w="57" w:type="dxa"/>
            </w:tcMar>
            <w:vAlign w:val="center"/>
          </w:tcPr>
          <w:p>
            <w:pPr>
              <w:tabs>
                <w:tab w:val="left" w:pos="1080"/>
              </w:tabs>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中国联通唐王营业服务中心</w:t>
            </w:r>
          </w:p>
        </w:tc>
        <w:tc>
          <w:tcPr>
            <w:tcW w:w="1643" w:type="dxa"/>
            <w:tcMar>
              <w:top w:w="113" w:type="dxa"/>
              <w:left w:w="57" w:type="dxa"/>
              <w:bottom w:w="113" w:type="dxa"/>
              <w:right w:w="57" w:type="dxa"/>
            </w:tcMar>
            <w:vAlign w:val="center"/>
          </w:tcPr>
          <w:p>
            <w:pPr>
              <w:tabs>
                <w:tab w:val="left" w:pos="1080"/>
              </w:tabs>
              <w:overflowPunct w:val="0"/>
              <w:topLinePunct/>
              <w:contextualSpacing/>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文化站、宣传科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69" w:type="dxa"/>
            <w:tcMar>
              <w:top w:w="113" w:type="dxa"/>
              <w:left w:w="57" w:type="dxa"/>
              <w:bottom w:w="113" w:type="dxa"/>
              <w:right w:w="57" w:type="dxa"/>
            </w:tcMar>
            <w:vAlign w:val="center"/>
          </w:tcPr>
          <w:p>
            <w:pPr>
              <w:tabs>
                <w:tab w:val="left" w:pos="1080"/>
              </w:tabs>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4</w:t>
            </w:r>
          </w:p>
        </w:tc>
        <w:tc>
          <w:tcPr>
            <w:tcW w:w="1218" w:type="dxa"/>
            <w:tcMar>
              <w:top w:w="113" w:type="dxa"/>
              <w:left w:w="57" w:type="dxa"/>
              <w:bottom w:w="113" w:type="dxa"/>
              <w:right w:w="57" w:type="dxa"/>
            </w:tcMar>
            <w:vAlign w:val="center"/>
          </w:tcPr>
          <w:p>
            <w:pPr>
              <w:tabs>
                <w:tab w:val="left" w:pos="1080"/>
              </w:tabs>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治安疏导组</w:t>
            </w:r>
          </w:p>
        </w:tc>
        <w:tc>
          <w:tcPr>
            <w:tcW w:w="4101" w:type="dxa"/>
            <w:tcMar>
              <w:top w:w="113" w:type="dxa"/>
              <w:left w:w="57" w:type="dxa"/>
              <w:bottom w:w="113" w:type="dxa"/>
              <w:right w:w="57" w:type="dxa"/>
            </w:tcMar>
            <w:vAlign w:val="center"/>
          </w:tcPr>
          <w:p>
            <w:pPr>
              <w:tabs>
                <w:tab w:val="left" w:pos="1080"/>
              </w:tabs>
              <w:overflowPunct w:val="0"/>
              <w:topLinePunct/>
              <w:contextualSpacing/>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1）做好现场指挥部、抢险救援现场的警戒和交通管控工作；（2）发放各保障组人员和车辆的证件；（3）做好失联（死亡）人员身份核查工作，承担火灾事故中失联人员身份信息的核实和登记工作，对遇难者身份进行鉴定；（4）负责组织受灾群众安全疏散。</w:t>
            </w:r>
          </w:p>
        </w:tc>
        <w:tc>
          <w:tcPr>
            <w:tcW w:w="1428" w:type="dxa"/>
            <w:tcMar>
              <w:top w:w="113" w:type="dxa"/>
              <w:left w:w="57" w:type="dxa"/>
              <w:bottom w:w="113" w:type="dxa"/>
              <w:right w:w="57" w:type="dxa"/>
            </w:tcMar>
            <w:vAlign w:val="center"/>
          </w:tcPr>
          <w:p>
            <w:pPr>
              <w:tabs>
                <w:tab w:val="left" w:pos="1080"/>
              </w:tabs>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派出所</w:t>
            </w:r>
          </w:p>
        </w:tc>
        <w:tc>
          <w:tcPr>
            <w:tcW w:w="1643" w:type="dxa"/>
            <w:tcMar>
              <w:top w:w="113" w:type="dxa"/>
              <w:left w:w="57" w:type="dxa"/>
              <w:bottom w:w="113" w:type="dxa"/>
              <w:right w:w="57" w:type="dxa"/>
            </w:tcMar>
            <w:vAlign w:val="center"/>
          </w:tcPr>
          <w:p>
            <w:pPr>
              <w:tabs>
                <w:tab w:val="left" w:pos="1080"/>
              </w:tabs>
              <w:overflowPunct w:val="0"/>
              <w:topLinePunct/>
              <w:contextualSpacing/>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城管科、社会事务科、交管所、各管区、渔场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69" w:type="dxa"/>
            <w:tcMar>
              <w:top w:w="113" w:type="dxa"/>
              <w:left w:w="57" w:type="dxa"/>
              <w:bottom w:w="113" w:type="dxa"/>
              <w:right w:w="57" w:type="dxa"/>
            </w:tcMar>
            <w:vAlign w:val="center"/>
          </w:tcPr>
          <w:p>
            <w:pPr>
              <w:tabs>
                <w:tab w:val="left" w:pos="1080"/>
              </w:tabs>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5</w:t>
            </w:r>
          </w:p>
        </w:tc>
        <w:tc>
          <w:tcPr>
            <w:tcW w:w="1218" w:type="dxa"/>
            <w:tcMar>
              <w:top w:w="113" w:type="dxa"/>
              <w:left w:w="57" w:type="dxa"/>
              <w:bottom w:w="113" w:type="dxa"/>
              <w:right w:w="57" w:type="dxa"/>
            </w:tcMar>
            <w:vAlign w:val="center"/>
          </w:tcPr>
          <w:p>
            <w:pPr>
              <w:tabs>
                <w:tab w:val="left" w:pos="1080"/>
              </w:tabs>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医疗救护组</w:t>
            </w:r>
          </w:p>
        </w:tc>
        <w:tc>
          <w:tcPr>
            <w:tcW w:w="4101" w:type="dxa"/>
            <w:tcMar>
              <w:top w:w="113" w:type="dxa"/>
              <w:left w:w="57" w:type="dxa"/>
              <w:bottom w:w="113" w:type="dxa"/>
              <w:right w:w="57" w:type="dxa"/>
            </w:tcMar>
            <w:vAlign w:val="center"/>
          </w:tcPr>
          <w:p>
            <w:pPr>
              <w:tabs>
                <w:tab w:val="left" w:pos="1080"/>
              </w:tabs>
              <w:overflowPunct w:val="0"/>
              <w:topLinePunct/>
              <w:contextualSpacing/>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1）调度全镇医疗队伍、专家等资源和力量，做好对火灾事故受伤人员的救治和康复工作；（2）设立临时医疗点，为受伤人员、抢险救援人员提供医疗保障服务；（3）做好现场救援区域的防疫消毒；（4）向受伤人员和受灾群众提供心理卫生咨询和帮助。</w:t>
            </w:r>
          </w:p>
        </w:tc>
        <w:tc>
          <w:tcPr>
            <w:tcW w:w="1428" w:type="dxa"/>
            <w:tcMar>
              <w:top w:w="113" w:type="dxa"/>
              <w:left w:w="57" w:type="dxa"/>
              <w:bottom w:w="113" w:type="dxa"/>
              <w:right w:w="57" w:type="dxa"/>
            </w:tcMar>
            <w:vAlign w:val="center"/>
          </w:tcPr>
          <w:p>
            <w:pPr>
              <w:tabs>
                <w:tab w:val="left" w:pos="1080"/>
              </w:tabs>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唐王卫生院</w:t>
            </w:r>
          </w:p>
        </w:tc>
        <w:tc>
          <w:tcPr>
            <w:tcW w:w="1643" w:type="dxa"/>
            <w:tcMar>
              <w:top w:w="113" w:type="dxa"/>
              <w:left w:w="57" w:type="dxa"/>
              <w:bottom w:w="113" w:type="dxa"/>
              <w:right w:w="57" w:type="dxa"/>
            </w:tcMar>
            <w:vAlign w:val="center"/>
          </w:tcPr>
          <w:p>
            <w:pPr>
              <w:tabs>
                <w:tab w:val="left" w:pos="1080"/>
              </w:tabs>
              <w:overflowPunct w:val="0"/>
              <w:topLinePunct/>
              <w:contextualSpacing/>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各管区、渔场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69" w:type="dxa"/>
            <w:tcMar>
              <w:top w:w="113" w:type="dxa"/>
              <w:left w:w="57" w:type="dxa"/>
              <w:bottom w:w="113" w:type="dxa"/>
              <w:right w:w="57" w:type="dxa"/>
            </w:tcMar>
            <w:vAlign w:val="center"/>
          </w:tcPr>
          <w:p>
            <w:pPr>
              <w:tabs>
                <w:tab w:val="left" w:pos="1080"/>
              </w:tabs>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6</w:t>
            </w:r>
          </w:p>
        </w:tc>
        <w:tc>
          <w:tcPr>
            <w:tcW w:w="1218" w:type="dxa"/>
            <w:tcMar>
              <w:top w:w="113" w:type="dxa"/>
              <w:left w:w="57" w:type="dxa"/>
              <w:bottom w:w="113" w:type="dxa"/>
              <w:right w:w="57" w:type="dxa"/>
            </w:tcMar>
            <w:vAlign w:val="center"/>
          </w:tcPr>
          <w:p>
            <w:pPr>
              <w:tabs>
                <w:tab w:val="left" w:pos="1080"/>
              </w:tabs>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后勤保障组</w:t>
            </w:r>
          </w:p>
        </w:tc>
        <w:tc>
          <w:tcPr>
            <w:tcW w:w="4101" w:type="dxa"/>
            <w:tcMar>
              <w:top w:w="113" w:type="dxa"/>
              <w:left w:w="57" w:type="dxa"/>
              <w:bottom w:w="113" w:type="dxa"/>
              <w:right w:w="57" w:type="dxa"/>
            </w:tcMar>
            <w:vAlign w:val="center"/>
          </w:tcPr>
          <w:p>
            <w:pPr>
              <w:tabs>
                <w:tab w:val="left" w:pos="1080"/>
              </w:tabs>
              <w:overflowPunct w:val="0"/>
              <w:topLinePunct/>
              <w:contextualSpacing/>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物资、装备、食品、交通、供电、供水、供气和通信等方面的后勤服务和资源保障。</w:t>
            </w:r>
          </w:p>
        </w:tc>
        <w:tc>
          <w:tcPr>
            <w:tcW w:w="1428" w:type="dxa"/>
            <w:tcMar>
              <w:top w:w="113" w:type="dxa"/>
              <w:left w:w="57" w:type="dxa"/>
              <w:bottom w:w="113" w:type="dxa"/>
              <w:right w:w="57" w:type="dxa"/>
            </w:tcMar>
            <w:vAlign w:val="center"/>
          </w:tcPr>
          <w:p>
            <w:pPr>
              <w:tabs>
                <w:tab w:val="left" w:pos="1080"/>
              </w:tabs>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党政办</w:t>
            </w:r>
          </w:p>
        </w:tc>
        <w:tc>
          <w:tcPr>
            <w:tcW w:w="1643" w:type="dxa"/>
            <w:tcMar>
              <w:top w:w="113" w:type="dxa"/>
              <w:left w:w="57" w:type="dxa"/>
              <w:bottom w:w="113" w:type="dxa"/>
              <w:right w:w="57" w:type="dxa"/>
            </w:tcMar>
            <w:vAlign w:val="center"/>
          </w:tcPr>
          <w:p>
            <w:pPr>
              <w:tabs>
                <w:tab w:val="left" w:pos="1080"/>
              </w:tabs>
              <w:overflowPunct w:val="0"/>
              <w:topLinePunct/>
              <w:contextualSpacing/>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市场监管所、交管所、供电站、农业发展服务中心、城管科、中国联通唐王营服中心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69" w:type="dxa"/>
            <w:tcMar>
              <w:top w:w="113" w:type="dxa"/>
              <w:left w:w="57" w:type="dxa"/>
              <w:bottom w:w="113" w:type="dxa"/>
              <w:right w:w="57" w:type="dxa"/>
            </w:tcMar>
            <w:vAlign w:val="center"/>
          </w:tcPr>
          <w:p>
            <w:pPr>
              <w:tabs>
                <w:tab w:val="left" w:pos="1080"/>
              </w:tabs>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7</w:t>
            </w:r>
          </w:p>
        </w:tc>
        <w:tc>
          <w:tcPr>
            <w:tcW w:w="1218" w:type="dxa"/>
            <w:tcMar>
              <w:top w:w="113" w:type="dxa"/>
              <w:left w:w="57" w:type="dxa"/>
              <w:bottom w:w="113" w:type="dxa"/>
              <w:right w:w="57" w:type="dxa"/>
            </w:tcMar>
            <w:vAlign w:val="center"/>
          </w:tcPr>
          <w:p>
            <w:pPr>
              <w:tabs>
                <w:tab w:val="left" w:pos="1080"/>
              </w:tabs>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环境保护组</w:t>
            </w:r>
          </w:p>
        </w:tc>
        <w:tc>
          <w:tcPr>
            <w:tcW w:w="4101" w:type="dxa"/>
            <w:tcMar>
              <w:top w:w="113" w:type="dxa"/>
              <w:left w:w="57" w:type="dxa"/>
              <w:bottom w:w="113" w:type="dxa"/>
              <w:right w:w="57" w:type="dxa"/>
            </w:tcMar>
            <w:vAlign w:val="center"/>
          </w:tcPr>
          <w:p>
            <w:pPr>
              <w:tabs>
                <w:tab w:val="left" w:pos="1080"/>
              </w:tabs>
              <w:overflowPunct w:val="0"/>
              <w:topLinePunct/>
              <w:contextualSpacing/>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（1）对涉事区域进行环境监测工作，提出控制污染扩散的建议，防止发生环境污染次生灾害。（2）承担抢险救援现场的气象监测和预报服务保障工作。</w:t>
            </w:r>
          </w:p>
        </w:tc>
        <w:tc>
          <w:tcPr>
            <w:tcW w:w="1428" w:type="dxa"/>
            <w:tcMar>
              <w:top w:w="113" w:type="dxa"/>
              <w:left w:w="57" w:type="dxa"/>
              <w:bottom w:w="113" w:type="dxa"/>
              <w:right w:w="57" w:type="dxa"/>
            </w:tcMar>
            <w:vAlign w:val="center"/>
          </w:tcPr>
          <w:p>
            <w:pPr>
              <w:tabs>
                <w:tab w:val="left" w:pos="1080"/>
              </w:tabs>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城管科</w:t>
            </w:r>
          </w:p>
        </w:tc>
        <w:tc>
          <w:tcPr>
            <w:tcW w:w="1643" w:type="dxa"/>
            <w:tcMar>
              <w:top w:w="113" w:type="dxa"/>
              <w:left w:w="57" w:type="dxa"/>
              <w:bottom w:w="113" w:type="dxa"/>
              <w:right w:w="57" w:type="dxa"/>
            </w:tcMar>
            <w:vAlign w:val="center"/>
          </w:tcPr>
          <w:p>
            <w:pPr>
              <w:tabs>
                <w:tab w:val="left" w:pos="1080"/>
              </w:tabs>
              <w:overflowPunct w:val="0"/>
              <w:topLinePunct/>
              <w:contextualSpacing/>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综合执法中队、交管所、各管区、渔场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69" w:type="dxa"/>
            <w:tcMar>
              <w:top w:w="113" w:type="dxa"/>
              <w:left w:w="57" w:type="dxa"/>
              <w:bottom w:w="113" w:type="dxa"/>
              <w:right w:w="57" w:type="dxa"/>
            </w:tcMar>
            <w:vAlign w:val="center"/>
          </w:tcPr>
          <w:p>
            <w:pPr>
              <w:tabs>
                <w:tab w:val="left" w:pos="1080"/>
              </w:tabs>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8</w:t>
            </w:r>
          </w:p>
        </w:tc>
        <w:tc>
          <w:tcPr>
            <w:tcW w:w="1218" w:type="dxa"/>
            <w:tcMar>
              <w:top w:w="113" w:type="dxa"/>
              <w:left w:w="57" w:type="dxa"/>
              <w:bottom w:w="113" w:type="dxa"/>
              <w:right w:w="57" w:type="dxa"/>
            </w:tcMar>
            <w:vAlign w:val="center"/>
          </w:tcPr>
          <w:p>
            <w:pPr>
              <w:tabs>
                <w:tab w:val="left" w:pos="1080"/>
              </w:tabs>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新闻发布组</w:t>
            </w:r>
          </w:p>
        </w:tc>
        <w:tc>
          <w:tcPr>
            <w:tcW w:w="4101" w:type="dxa"/>
            <w:tcMar>
              <w:top w:w="113" w:type="dxa"/>
              <w:left w:w="57" w:type="dxa"/>
              <w:bottom w:w="113" w:type="dxa"/>
              <w:right w:w="57" w:type="dxa"/>
            </w:tcMar>
            <w:vAlign w:val="center"/>
          </w:tcPr>
          <w:p>
            <w:pPr>
              <w:tabs>
                <w:tab w:val="left" w:pos="1080"/>
              </w:tabs>
              <w:overflowPunct w:val="0"/>
              <w:topLinePunct/>
              <w:contextualSpacing/>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1）统筹协调和组织事故舆论引导工作；（2）做好事故舆情搜集、分析和报送工作；（3）做好新闻应对发布和集体采访组织活动；（4）做好境内外媒体沟通协调和组织联络工作；（5）向应急指挥部和事故相关单位、辖区政府通报舆情进展，提出应对建议。</w:t>
            </w:r>
          </w:p>
        </w:tc>
        <w:tc>
          <w:tcPr>
            <w:tcW w:w="1428" w:type="dxa"/>
            <w:tcMar>
              <w:top w:w="113" w:type="dxa"/>
              <w:left w:w="57" w:type="dxa"/>
              <w:bottom w:w="113" w:type="dxa"/>
              <w:right w:w="57" w:type="dxa"/>
            </w:tcMar>
            <w:vAlign w:val="center"/>
          </w:tcPr>
          <w:p>
            <w:pPr>
              <w:tabs>
                <w:tab w:val="left" w:pos="1080"/>
              </w:tabs>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宣传科</w:t>
            </w:r>
          </w:p>
        </w:tc>
        <w:tc>
          <w:tcPr>
            <w:tcW w:w="1643" w:type="dxa"/>
            <w:tcMar>
              <w:top w:w="113" w:type="dxa"/>
              <w:left w:w="57" w:type="dxa"/>
              <w:bottom w:w="113" w:type="dxa"/>
              <w:right w:w="57" w:type="dxa"/>
            </w:tcMar>
            <w:vAlign w:val="center"/>
          </w:tcPr>
          <w:p>
            <w:pPr>
              <w:tabs>
                <w:tab w:val="left" w:pos="1080"/>
              </w:tabs>
              <w:overflowPunct w:val="0"/>
              <w:topLinePunct/>
              <w:contextualSpacing/>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党政办、文化站、社会事务科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69" w:type="dxa"/>
            <w:tcMar>
              <w:top w:w="113" w:type="dxa"/>
              <w:left w:w="57" w:type="dxa"/>
              <w:bottom w:w="113" w:type="dxa"/>
              <w:right w:w="57" w:type="dxa"/>
            </w:tcMar>
            <w:vAlign w:val="center"/>
          </w:tcPr>
          <w:p>
            <w:pPr>
              <w:tabs>
                <w:tab w:val="left" w:pos="1080"/>
              </w:tabs>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9</w:t>
            </w:r>
          </w:p>
        </w:tc>
        <w:tc>
          <w:tcPr>
            <w:tcW w:w="1218" w:type="dxa"/>
            <w:tcMar>
              <w:top w:w="113" w:type="dxa"/>
              <w:left w:w="57" w:type="dxa"/>
              <w:bottom w:w="113" w:type="dxa"/>
              <w:right w:w="57" w:type="dxa"/>
            </w:tcMar>
            <w:vAlign w:val="center"/>
          </w:tcPr>
          <w:p>
            <w:pPr>
              <w:tabs>
                <w:tab w:val="left" w:pos="1080"/>
              </w:tabs>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技术保障组</w:t>
            </w:r>
          </w:p>
        </w:tc>
        <w:tc>
          <w:tcPr>
            <w:tcW w:w="4101" w:type="dxa"/>
            <w:tcMar>
              <w:top w:w="113" w:type="dxa"/>
              <w:left w:w="57" w:type="dxa"/>
              <w:bottom w:w="113" w:type="dxa"/>
              <w:right w:w="57" w:type="dxa"/>
            </w:tcMar>
            <w:vAlign w:val="center"/>
          </w:tcPr>
          <w:p>
            <w:pPr>
              <w:tabs>
                <w:tab w:val="left" w:pos="1080"/>
              </w:tabs>
              <w:overflowPunct w:val="0"/>
              <w:topLinePunct/>
              <w:contextualSpacing/>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储备应急知识及资料，建立营救人员和处理火灾事故的知识、方法和技巧等资料。</w:t>
            </w:r>
          </w:p>
        </w:tc>
        <w:tc>
          <w:tcPr>
            <w:tcW w:w="1428" w:type="dxa"/>
            <w:tcMar>
              <w:top w:w="113" w:type="dxa"/>
              <w:left w:w="57" w:type="dxa"/>
              <w:bottom w:w="113" w:type="dxa"/>
              <w:right w:w="57" w:type="dxa"/>
            </w:tcMar>
            <w:vAlign w:val="center"/>
          </w:tcPr>
          <w:p>
            <w:pPr>
              <w:tabs>
                <w:tab w:val="left" w:pos="1080"/>
              </w:tabs>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应急办</w:t>
            </w:r>
          </w:p>
        </w:tc>
        <w:tc>
          <w:tcPr>
            <w:tcW w:w="1643" w:type="dxa"/>
            <w:tcMar>
              <w:top w:w="113" w:type="dxa"/>
              <w:left w:w="57" w:type="dxa"/>
              <w:bottom w:w="113" w:type="dxa"/>
              <w:right w:w="57" w:type="dxa"/>
            </w:tcMar>
            <w:vAlign w:val="center"/>
          </w:tcPr>
          <w:p>
            <w:pPr>
              <w:tabs>
                <w:tab w:val="left" w:pos="1080"/>
              </w:tabs>
              <w:overflowPunct w:val="0"/>
              <w:topLinePunct/>
              <w:contextualSpacing/>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党政办、教育办、卫生院、市场监管所、畜牧站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69" w:type="dxa"/>
            <w:tcMar>
              <w:top w:w="113" w:type="dxa"/>
              <w:left w:w="57" w:type="dxa"/>
              <w:bottom w:w="113" w:type="dxa"/>
              <w:right w:w="57" w:type="dxa"/>
            </w:tcMar>
            <w:vAlign w:val="center"/>
          </w:tcPr>
          <w:p>
            <w:pPr>
              <w:tabs>
                <w:tab w:val="left" w:pos="1080"/>
              </w:tabs>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10</w:t>
            </w:r>
          </w:p>
        </w:tc>
        <w:tc>
          <w:tcPr>
            <w:tcW w:w="1218" w:type="dxa"/>
            <w:tcMar>
              <w:top w:w="113" w:type="dxa"/>
              <w:left w:w="57" w:type="dxa"/>
              <w:bottom w:w="113" w:type="dxa"/>
              <w:right w:w="57" w:type="dxa"/>
            </w:tcMar>
            <w:vAlign w:val="center"/>
          </w:tcPr>
          <w:p>
            <w:pPr>
              <w:tabs>
                <w:tab w:val="left" w:pos="1080"/>
              </w:tabs>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调查评估组</w:t>
            </w:r>
          </w:p>
        </w:tc>
        <w:tc>
          <w:tcPr>
            <w:tcW w:w="4101" w:type="dxa"/>
            <w:tcMar>
              <w:top w:w="113" w:type="dxa"/>
              <w:left w:w="57" w:type="dxa"/>
              <w:bottom w:w="113" w:type="dxa"/>
              <w:right w:w="57" w:type="dxa"/>
            </w:tcMar>
            <w:vAlign w:val="center"/>
          </w:tcPr>
          <w:p>
            <w:pPr>
              <w:tabs>
                <w:tab w:val="left" w:pos="1080"/>
              </w:tabs>
              <w:overflowPunct w:val="0"/>
              <w:topLinePunct/>
              <w:contextualSpacing/>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初步核实火灾事故的发生经过和原因，总结事故处置工作的经验教训，评估火灾事故损失，制订改进措施。</w:t>
            </w:r>
          </w:p>
        </w:tc>
        <w:tc>
          <w:tcPr>
            <w:tcW w:w="1428" w:type="dxa"/>
            <w:tcMar>
              <w:top w:w="113" w:type="dxa"/>
              <w:left w:w="57" w:type="dxa"/>
              <w:bottom w:w="113" w:type="dxa"/>
              <w:right w:w="57" w:type="dxa"/>
            </w:tcMar>
            <w:vAlign w:val="center"/>
          </w:tcPr>
          <w:p>
            <w:pPr>
              <w:tabs>
                <w:tab w:val="left" w:pos="1080"/>
              </w:tabs>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派出所</w:t>
            </w:r>
          </w:p>
        </w:tc>
        <w:tc>
          <w:tcPr>
            <w:tcW w:w="1643" w:type="dxa"/>
            <w:tcMar>
              <w:top w:w="113" w:type="dxa"/>
              <w:left w:w="57" w:type="dxa"/>
              <w:bottom w:w="113" w:type="dxa"/>
              <w:right w:w="57" w:type="dxa"/>
            </w:tcMar>
            <w:vAlign w:val="center"/>
          </w:tcPr>
          <w:p>
            <w:pPr>
              <w:tabs>
                <w:tab w:val="left" w:pos="1080"/>
              </w:tabs>
              <w:overflowPunct w:val="0"/>
              <w:topLinePunct/>
              <w:contextualSpacing/>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应急办、农业发展服务中心、经发科、城管科、市场监管所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69" w:type="dxa"/>
            <w:tcMar>
              <w:top w:w="113" w:type="dxa"/>
              <w:left w:w="57" w:type="dxa"/>
              <w:bottom w:w="113" w:type="dxa"/>
              <w:right w:w="57" w:type="dxa"/>
            </w:tcMar>
            <w:vAlign w:val="center"/>
          </w:tcPr>
          <w:p>
            <w:pPr>
              <w:tabs>
                <w:tab w:val="left" w:pos="1080"/>
              </w:tabs>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11</w:t>
            </w:r>
          </w:p>
        </w:tc>
        <w:tc>
          <w:tcPr>
            <w:tcW w:w="1218" w:type="dxa"/>
            <w:tcMar>
              <w:top w:w="113" w:type="dxa"/>
              <w:left w:w="57" w:type="dxa"/>
              <w:bottom w:w="113" w:type="dxa"/>
              <w:right w:w="57" w:type="dxa"/>
            </w:tcMar>
            <w:vAlign w:val="center"/>
          </w:tcPr>
          <w:p>
            <w:pPr>
              <w:tabs>
                <w:tab w:val="left" w:pos="1080"/>
              </w:tabs>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善后工作组</w:t>
            </w:r>
          </w:p>
        </w:tc>
        <w:tc>
          <w:tcPr>
            <w:tcW w:w="4101" w:type="dxa"/>
            <w:tcMar>
              <w:top w:w="113" w:type="dxa"/>
              <w:left w:w="57" w:type="dxa"/>
              <w:bottom w:w="113" w:type="dxa"/>
              <w:right w:w="57" w:type="dxa"/>
            </w:tcMar>
            <w:vAlign w:val="center"/>
          </w:tcPr>
          <w:p>
            <w:pPr>
              <w:tabs>
                <w:tab w:val="left" w:pos="1080"/>
              </w:tabs>
              <w:overflowPunct w:val="0"/>
              <w:topLinePunct/>
              <w:contextualSpacing/>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1）做好善后处置的总协调工作；（2）做好善后抢险救援人员后勤保障工作；（3）做好受伤、失联人员、亲属信息登记和安抚疏导等善后工作；（4）做好遇难者遗体的保存、处理和殡葬服务等善后工作；（5）做好受伤人员和企业的经济补偿等善后工作；（6）做好社会力量动员和</w:t>
            </w:r>
            <w:r>
              <w:rPr>
                <w:rFonts w:hint="eastAsia" w:ascii="仿宋_GB2312" w:hAnsi="仿宋_GB2312" w:eastAsia="仿宋_GB2312" w:cs="仿宋_GB2312"/>
                <w:bCs/>
                <w:color w:val="auto"/>
                <w:kern w:val="0"/>
                <w:sz w:val="21"/>
                <w:szCs w:val="21"/>
                <w:lang w:eastAsia="zh-CN"/>
              </w:rPr>
              <w:t>救灾物资</w:t>
            </w:r>
            <w:r>
              <w:rPr>
                <w:rFonts w:hint="eastAsia" w:ascii="仿宋_GB2312" w:hAnsi="仿宋_GB2312" w:eastAsia="仿宋_GB2312" w:cs="仿宋_GB2312"/>
                <w:bCs/>
                <w:color w:val="auto"/>
                <w:kern w:val="0"/>
                <w:sz w:val="21"/>
                <w:szCs w:val="21"/>
              </w:rPr>
              <w:t>等救助组织工作；（7）做好灾后恢复重建等工作。</w:t>
            </w:r>
          </w:p>
        </w:tc>
        <w:tc>
          <w:tcPr>
            <w:tcW w:w="1428" w:type="dxa"/>
            <w:tcMar>
              <w:top w:w="113" w:type="dxa"/>
              <w:left w:w="57" w:type="dxa"/>
              <w:bottom w:w="113" w:type="dxa"/>
              <w:right w:w="57" w:type="dxa"/>
            </w:tcMar>
            <w:vAlign w:val="center"/>
          </w:tcPr>
          <w:p>
            <w:pPr>
              <w:tabs>
                <w:tab w:val="left" w:pos="1080"/>
              </w:tabs>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党政办</w:t>
            </w:r>
          </w:p>
        </w:tc>
        <w:tc>
          <w:tcPr>
            <w:tcW w:w="1643" w:type="dxa"/>
            <w:tcMar>
              <w:top w:w="113" w:type="dxa"/>
              <w:left w:w="57" w:type="dxa"/>
              <w:bottom w:w="113" w:type="dxa"/>
              <w:right w:w="57" w:type="dxa"/>
            </w:tcMar>
            <w:vAlign w:val="center"/>
          </w:tcPr>
          <w:p>
            <w:pPr>
              <w:tabs>
                <w:tab w:val="left" w:pos="1080"/>
              </w:tabs>
              <w:overflowPunct w:val="0"/>
              <w:topLinePunct/>
              <w:contextualSpacing/>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社会事务科、经发科、各管区、渔场</w:t>
            </w:r>
          </w:p>
        </w:tc>
      </w:tr>
      <w:bookmarkEnd w:id="10"/>
      <w:bookmarkEnd w:id="50"/>
    </w:tbl>
    <w:p>
      <w:pPr>
        <w:pStyle w:val="2"/>
        <w:overflowPunct w:val="0"/>
        <w:topLinePunct/>
        <w:adjustRightInd w:val="0"/>
        <w:snapToGrid w:val="0"/>
        <w:spacing w:before="312" w:beforeLines="100" w:after="156" w:afterLines="50" w:line="360" w:lineRule="auto"/>
        <w:jc w:val="center"/>
        <w:textAlignment w:val="top"/>
        <w:rPr>
          <w:rFonts w:hint="eastAsia" w:ascii="仿宋_GB2312" w:hAnsi="仿宋_GB2312" w:eastAsia="仿宋_GB2312" w:cs="仿宋_GB2312"/>
          <w:color w:val="auto"/>
          <w:sz w:val="36"/>
          <w:szCs w:val="36"/>
        </w:rPr>
      </w:pPr>
      <w:bookmarkStart w:id="51" w:name="_Toc155861781"/>
      <w:bookmarkStart w:id="52" w:name="_Hlk153919083"/>
      <w:r>
        <w:rPr>
          <w:rFonts w:hint="eastAsia" w:ascii="仿宋_GB2312" w:hAnsi="仿宋_GB2312" w:eastAsia="仿宋_GB2312" w:cs="仿宋_GB2312"/>
          <w:color w:val="auto"/>
          <w:sz w:val="36"/>
          <w:szCs w:val="36"/>
        </w:rPr>
        <w:t>3  风险分析</w:t>
      </w:r>
      <w:bookmarkEnd w:id="51"/>
    </w:p>
    <w:bookmarkEnd w:id="52"/>
    <w:p>
      <w:pPr>
        <w:pStyle w:val="3"/>
        <w:overflowPunct w:val="0"/>
        <w:topLinePunct/>
        <w:adjustRightInd w:val="0"/>
        <w:snapToGrid w:val="0"/>
        <w:spacing w:before="0" w:after="0" w:line="360" w:lineRule="auto"/>
        <w:textAlignment w:val="top"/>
        <w:rPr>
          <w:rFonts w:hint="eastAsia" w:ascii="仿宋_GB2312" w:hAnsi="仿宋_GB2312" w:eastAsia="仿宋_GB2312" w:cs="仿宋_GB2312"/>
          <w:color w:val="auto"/>
          <w:sz w:val="30"/>
          <w:szCs w:val="30"/>
        </w:rPr>
      </w:pPr>
      <w:bookmarkStart w:id="53" w:name="_Toc155861782"/>
      <w:bookmarkStart w:id="54" w:name="_Hlk154594084"/>
      <w:bookmarkStart w:id="55" w:name="_Hlk153918944"/>
      <w:r>
        <w:rPr>
          <w:rFonts w:hint="eastAsia" w:ascii="仿宋_GB2312" w:hAnsi="仿宋_GB2312" w:eastAsia="仿宋_GB2312" w:cs="仿宋_GB2312"/>
          <w:color w:val="auto"/>
          <w:sz w:val="30"/>
          <w:szCs w:val="30"/>
        </w:rPr>
        <w:t>3.1  风险分析</w:t>
      </w:r>
      <w:bookmarkEnd w:id="53"/>
    </w:p>
    <w:bookmarkEnd w:id="54"/>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唐王街道境内主要的火灾危险部位有：高层建筑、医院、养老院、学校、幼儿园、宾馆、酒店、商场、公共娱乐场所、文博单位、劳动密集型企业、企业中的的人员密集场所、易燃易爆场所、各种燃气管网、老旧场所、各类农贸市场、使用燃气的个户和经营户等。</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若消防安全管理不严，消防设施缺失缺陷，容易引起火灾事故发生。分析认为，街道辖区存在或出现以下情况时，可能会导致火灾事故发生：</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1. 火源管理缺陷。违规使用明火，动火施工无审批，生产或者营业期间，违规动火动焊作业；施工期间未落实现场看护人员，未提前清理可燃杂物和落实安全防护措施；违规存放、使用易燃易爆危险品；混合经营生产经营场所中动火施工不报告、不告知其他单位。</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2. 电源管理缺陷。各种配电箱（柜）电线连接不规范；违章带负荷拉、合闸；电线电缆未穿管保护，直接穿越易燃可燃材料及墙体，开关、插座直接安装在易燃可燃材料上；照明灯具与可燃物未保持可靠安全距离，未采取隔热、散热等措施；违规使用未经产品质量认证的大功率电器或移动插排；电动自行车（蓄电池）违规在室内停放或充电。</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3. 易燃可燃保温材料和装饰装修缺陷。人员密集场所室内保温材料燃烧性能不符合要求；违规使用聚丙烯、聚乙烯、聚氨酯、聚苯乙烯等材质的易燃可燃装饰材料尤其是塑料绿植，进行装饰装修；违章搭建易燃可燃材料夹芯彩钢板建筑；混合生产经营场所违规储存、使用易燃易爆危险品。</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4. 安全疏散条件缺陷。疏散楼梯数量不足或设置不符合要求；违规占用、堵塞、封闭疏散通道、安全出口；在人员密集场所的门窗上设置影响逃生和灭火救援的障碍物；消防应急广播、消防应急照明、疏散指示标志未保持完好有效；医院、敬老院未将失能和行动不便患者安排在建筑较低楼层，在通道、楼梯间增加床位，影响人员疏散。</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5. 防火分隔缺陷。未按要求设置防火分区；防火门、防火卷帘、防火墙等损坏严重，不具备防火分隔功能；电缆井、管道井等防火封堵不严密。</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6. 消防设施设备缺陷。未按要求设置室内消防栓系统，或水压、水量不能满足灭火需求；未按要求设置火灾自动报警、自动喷水灭火、气体灭火、防排烟等设施；消防设施系统损坏瘫痪无法正常使用，不具备防灭火功能。</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7. 管理责任落实缺陷。未严格落实动火施工审批制度、夜间值班制度；未落实全员消防培训、疏散演练；消防控制室人员、电工、电焊工等特种作业人员未持证上岗，不掌握消防安全操作规程；保安、护工、宿管员等不熟悉安全出口，不具备组织逃生自救能力；医院、敬老院夜间无人值守或值班人员不具备组织人员疏散能力；擅自改变场所火灾危险性定性等。</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8. 初期火灾处置缺陷。未按要求建立微型消防站或明确初期火灾扑救力量；未结合本单位实际制定可操作的灭火和应急疏散预案；扑灭初期火灾意识不足、能力不够等问题。</w:t>
      </w:r>
    </w:p>
    <w:p>
      <w:pPr>
        <w:pStyle w:val="3"/>
        <w:overflowPunct w:val="0"/>
        <w:topLinePunct/>
        <w:adjustRightInd w:val="0"/>
        <w:snapToGrid w:val="0"/>
        <w:spacing w:before="0" w:after="0" w:line="360" w:lineRule="auto"/>
        <w:textAlignment w:val="top"/>
        <w:rPr>
          <w:rFonts w:hint="eastAsia" w:ascii="仿宋_GB2312" w:hAnsi="仿宋_GB2312" w:eastAsia="仿宋_GB2312" w:cs="仿宋_GB2312"/>
          <w:color w:val="auto"/>
          <w:sz w:val="30"/>
          <w:szCs w:val="30"/>
        </w:rPr>
      </w:pPr>
      <w:bookmarkStart w:id="56" w:name="_Toc155861783"/>
      <w:r>
        <w:rPr>
          <w:rFonts w:hint="eastAsia" w:ascii="仿宋_GB2312" w:hAnsi="仿宋_GB2312" w:eastAsia="仿宋_GB2312" w:cs="仿宋_GB2312"/>
          <w:color w:val="auto"/>
          <w:sz w:val="30"/>
          <w:szCs w:val="30"/>
        </w:rPr>
        <w:t>3.2  事故分级</w:t>
      </w:r>
      <w:bookmarkEnd w:id="56"/>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根据济南市历城区唐王街道可能发生的火灾的规模、危害后果及可控性，历城区唐王街道的火灾分为Ⅰ级、Ⅱ级、Ⅲ级。</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本预案关于事故应急级别及对应事故状态的划分，如表3.2-1所示。</w:t>
      </w:r>
    </w:p>
    <w:p>
      <w:pPr>
        <w:overflowPunct w:val="0"/>
        <w:topLinePunct/>
        <w:adjustRightInd w:val="0"/>
        <w:snapToGrid w:val="0"/>
        <w:spacing w:before="78" w:beforeLines="25" w:after="78" w:afterLines="25"/>
        <w:jc w:val="center"/>
        <w:textAlignment w:val="top"/>
        <w:rPr>
          <w:rFonts w:hint="eastAsia" w:ascii="仿宋_GB2312" w:hAnsi="仿宋_GB2312" w:eastAsia="仿宋_GB2312" w:cs="仿宋_GB2312"/>
          <w:b/>
          <w:color w:val="auto"/>
          <w:sz w:val="24"/>
          <w:szCs w:val="24"/>
        </w:rPr>
      </w:pPr>
      <w:r>
        <w:rPr>
          <w:rFonts w:hint="eastAsia" w:ascii="仿宋_GB2312" w:hAnsi="仿宋_GB2312" w:eastAsia="仿宋_GB2312" w:cs="仿宋_GB2312"/>
          <w:b/>
          <w:color w:val="auto"/>
          <w:sz w:val="24"/>
          <w:szCs w:val="24"/>
        </w:rPr>
        <w:t>表 3.2-1  本预案火灾事故应急级别及对应的事故状态一览表</w:t>
      </w:r>
    </w:p>
    <w:tbl>
      <w:tblPr>
        <w:tblStyle w:val="20"/>
        <w:tblW w:w="89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7"/>
        <w:gridCol w:w="6131"/>
        <w:gridCol w:w="1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7" w:type="dxa"/>
            <w:tcMar>
              <w:top w:w="113" w:type="dxa"/>
              <w:left w:w="57" w:type="dxa"/>
              <w:bottom w:w="113" w:type="dxa"/>
              <w:right w:w="57" w:type="dxa"/>
            </w:tcMar>
          </w:tcPr>
          <w:p>
            <w:pPr>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事故级别</w:t>
            </w:r>
          </w:p>
        </w:tc>
        <w:tc>
          <w:tcPr>
            <w:tcW w:w="6131" w:type="dxa"/>
            <w:tcMar>
              <w:top w:w="113" w:type="dxa"/>
              <w:left w:w="57" w:type="dxa"/>
              <w:bottom w:w="113" w:type="dxa"/>
              <w:right w:w="57" w:type="dxa"/>
            </w:tcMar>
          </w:tcPr>
          <w:p>
            <w:pPr>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事故状态</w:t>
            </w:r>
          </w:p>
        </w:tc>
        <w:tc>
          <w:tcPr>
            <w:tcW w:w="1811" w:type="dxa"/>
            <w:tcMar>
              <w:top w:w="113" w:type="dxa"/>
              <w:left w:w="57" w:type="dxa"/>
              <w:bottom w:w="113" w:type="dxa"/>
              <w:right w:w="57" w:type="dxa"/>
            </w:tcMar>
          </w:tcPr>
          <w:p>
            <w:pPr>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应对主体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7" w:type="dxa"/>
            <w:tcMar>
              <w:top w:w="113" w:type="dxa"/>
              <w:left w:w="57" w:type="dxa"/>
              <w:bottom w:w="113" w:type="dxa"/>
              <w:right w:w="57" w:type="dxa"/>
            </w:tcMar>
            <w:vAlign w:val="center"/>
          </w:tcPr>
          <w:p>
            <w:pPr>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Ⅰ级</w:t>
            </w:r>
          </w:p>
        </w:tc>
        <w:tc>
          <w:tcPr>
            <w:tcW w:w="6131" w:type="dxa"/>
            <w:tcMar>
              <w:top w:w="113" w:type="dxa"/>
              <w:left w:w="57" w:type="dxa"/>
              <w:bottom w:w="113" w:type="dxa"/>
              <w:right w:w="57" w:type="dxa"/>
            </w:tcMar>
            <w:vAlign w:val="center"/>
          </w:tcPr>
          <w:p>
            <w:pPr>
              <w:overflowPunct w:val="0"/>
              <w:topLinePunct/>
              <w:contextualSpacing/>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5人以上重伤、2人以上死亡，或者直接经济损失500万元以上的事故。</w:t>
            </w:r>
          </w:p>
        </w:tc>
        <w:tc>
          <w:tcPr>
            <w:tcW w:w="1811" w:type="dxa"/>
            <w:tcMar>
              <w:top w:w="113" w:type="dxa"/>
              <w:left w:w="57" w:type="dxa"/>
              <w:bottom w:w="113" w:type="dxa"/>
              <w:right w:w="57" w:type="dxa"/>
            </w:tcMar>
            <w:vAlign w:val="center"/>
          </w:tcPr>
          <w:p>
            <w:pPr>
              <w:overflowPunct w:val="0"/>
              <w:topLinePunct/>
              <w:contextualSpacing/>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区级以上相关政府或部门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7" w:type="dxa"/>
            <w:tcMar>
              <w:top w:w="113" w:type="dxa"/>
              <w:left w:w="57" w:type="dxa"/>
              <w:bottom w:w="113" w:type="dxa"/>
              <w:right w:w="57" w:type="dxa"/>
            </w:tcMar>
            <w:vAlign w:val="center"/>
          </w:tcPr>
          <w:p>
            <w:pPr>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Ⅱ级</w:t>
            </w:r>
          </w:p>
        </w:tc>
        <w:tc>
          <w:tcPr>
            <w:tcW w:w="6131" w:type="dxa"/>
            <w:tcMar>
              <w:top w:w="113" w:type="dxa"/>
              <w:left w:w="57" w:type="dxa"/>
              <w:bottom w:w="113" w:type="dxa"/>
              <w:right w:w="57" w:type="dxa"/>
            </w:tcMar>
            <w:vAlign w:val="center"/>
          </w:tcPr>
          <w:p>
            <w:pPr>
              <w:overflowPunct w:val="0"/>
              <w:topLinePunct/>
              <w:contextualSpacing/>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5人以下重伤、2人以下死亡，或者直接经济损失500万元以下的事故，且事故单位不能自行处置的。</w:t>
            </w:r>
          </w:p>
        </w:tc>
        <w:tc>
          <w:tcPr>
            <w:tcW w:w="1811" w:type="dxa"/>
            <w:tcMar>
              <w:top w:w="113" w:type="dxa"/>
              <w:left w:w="57" w:type="dxa"/>
              <w:bottom w:w="113" w:type="dxa"/>
              <w:right w:w="57" w:type="dxa"/>
            </w:tcMar>
            <w:vAlign w:val="center"/>
          </w:tcPr>
          <w:p>
            <w:pPr>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街道应急组织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7" w:type="dxa"/>
            <w:tcMar>
              <w:top w:w="113" w:type="dxa"/>
              <w:left w:w="57" w:type="dxa"/>
              <w:bottom w:w="113" w:type="dxa"/>
              <w:right w:w="57" w:type="dxa"/>
            </w:tcMar>
            <w:vAlign w:val="center"/>
          </w:tcPr>
          <w:p>
            <w:pPr>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Ⅲ级</w:t>
            </w:r>
          </w:p>
        </w:tc>
        <w:tc>
          <w:tcPr>
            <w:tcW w:w="6131" w:type="dxa"/>
            <w:tcMar>
              <w:top w:w="113" w:type="dxa"/>
              <w:left w:w="57" w:type="dxa"/>
              <w:bottom w:w="113" w:type="dxa"/>
              <w:right w:w="57" w:type="dxa"/>
            </w:tcMar>
            <w:vAlign w:val="center"/>
          </w:tcPr>
          <w:p>
            <w:pPr>
              <w:overflowPunct w:val="0"/>
              <w:topLinePunct/>
              <w:contextualSpacing/>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5人以下重伤、2人以下死亡，或者直接经济损失500万元以下的事故，且事故单位能自行处置的。</w:t>
            </w:r>
          </w:p>
        </w:tc>
        <w:tc>
          <w:tcPr>
            <w:tcW w:w="1811" w:type="dxa"/>
            <w:tcMar>
              <w:top w:w="113" w:type="dxa"/>
              <w:left w:w="57" w:type="dxa"/>
              <w:bottom w:w="113" w:type="dxa"/>
              <w:right w:w="57" w:type="dxa"/>
            </w:tcMar>
            <w:vAlign w:val="center"/>
          </w:tcPr>
          <w:p>
            <w:pPr>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事故单位自行处置；街道协助处置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8959" w:type="dxa"/>
            <w:gridSpan w:val="3"/>
            <w:tcMar>
              <w:top w:w="113" w:type="dxa"/>
              <w:left w:w="57" w:type="dxa"/>
              <w:bottom w:w="113" w:type="dxa"/>
              <w:right w:w="57" w:type="dxa"/>
            </w:tcMar>
            <w:vAlign w:val="center"/>
          </w:tcPr>
          <w:p>
            <w:pPr>
              <w:overflowPunct w:val="0"/>
              <w:topLinePunct/>
              <w:contextualSpacing/>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注：表中“以上”包括本数，“以下”不包括本数。</w:t>
            </w:r>
          </w:p>
        </w:tc>
      </w:tr>
    </w:tbl>
    <w:p>
      <w:pPr>
        <w:pStyle w:val="2"/>
        <w:overflowPunct w:val="0"/>
        <w:topLinePunct/>
        <w:adjustRightInd w:val="0"/>
        <w:snapToGrid w:val="0"/>
        <w:spacing w:before="312" w:beforeLines="100" w:after="156" w:afterLines="50" w:line="360" w:lineRule="auto"/>
        <w:jc w:val="center"/>
        <w:textAlignment w:val="top"/>
        <w:rPr>
          <w:rFonts w:hint="eastAsia" w:ascii="仿宋_GB2312" w:hAnsi="仿宋_GB2312" w:eastAsia="仿宋_GB2312" w:cs="仿宋_GB2312"/>
          <w:color w:val="auto"/>
          <w:sz w:val="36"/>
          <w:szCs w:val="36"/>
        </w:rPr>
      </w:pPr>
      <w:bookmarkStart w:id="57" w:name="_Toc155861784"/>
      <w:r>
        <w:rPr>
          <w:rFonts w:hint="eastAsia" w:ascii="仿宋_GB2312" w:hAnsi="仿宋_GB2312" w:eastAsia="仿宋_GB2312" w:cs="仿宋_GB2312"/>
          <w:color w:val="auto"/>
          <w:sz w:val="36"/>
          <w:szCs w:val="36"/>
        </w:rPr>
        <w:t>4  应急响应</w:t>
      </w:r>
      <w:bookmarkEnd w:id="57"/>
    </w:p>
    <w:p>
      <w:pPr>
        <w:pStyle w:val="3"/>
        <w:overflowPunct w:val="0"/>
        <w:topLinePunct/>
        <w:adjustRightInd w:val="0"/>
        <w:snapToGrid w:val="0"/>
        <w:spacing w:before="156" w:beforeLines="50" w:after="0" w:line="360" w:lineRule="auto"/>
        <w:textAlignment w:val="top"/>
        <w:rPr>
          <w:rFonts w:hint="eastAsia" w:ascii="仿宋_GB2312" w:hAnsi="仿宋_GB2312" w:eastAsia="仿宋_GB2312" w:cs="仿宋_GB2312"/>
          <w:color w:val="auto"/>
          <w:sz w:val="30"/>
          <w:szCs w:val="30"/>
        </w:rPr>
      </w:pPr>
      <w:bookmarkStart w:id="58" w:name="_Toc155861785"/>
      <w:bookmarkStart w:id="59" w:name="_Hlk154593389"/>
      <w:r>
        <w:rPr>
          <w:rFonts w:hint="eastAsia" w:ascii="仿宋_GB2312" w:hAnsi="仿宋_GB2312" w:eastAsia="仿宋_GB2312" w:cs="仿宋_GB2312"/>
          <w:color w:val="auto"/>
          <w:sz w:val="30"/>
          <w:szCs w:val="30"/>
        </w:rPr>
        <w:t>4.1  信息报告</w:t>
      </w:r>
      <w:bookmarkEnd w:id="58"/>
    </w:p>
    <w:bookmarkEnd w:id="59"/>
    <w:p>
      <w:pPr>
        <w:pStyle w:val="4"/>
        <w:overflowPunct w:val="0"/>
        <w:topLinePunct/>
        <w:adjustRightInd w:val="0"/>
        <w:snapToGrid w:val="0"/>
        <w:spacing w:before="0" w:after="0" w:line="360" w:lineRule="auto"/>
        <w:textAlignment w:val="top"/>
        <w:rPr>
          <w:rFonts w:hint="eastAsia" w:ascii="仿宋_GB2312" w:hAnsi="仿宋_GB2312" w:eastAsia="仿宋_GB2312" w:cs="仿宋_GB2312"/>
          <w:color w:val="auto"/>
          <w:sz w:val="28"/>
          <w:szCs w:val="28"/>
        </w:rPr>
      </w:pPr>
      <w:bookmarkStart w:id="60" w:name="_Toc155861786"/>
      <w:bookmarkStart w:id="61" w:name="_Toc154202602"/>
      <w:r>
        <w:rPr>
          <w:rFonts w:hint="eastAsia" w:ascii="仿宋_GB2312" w:hAnsi="仿宋_GB2312" w:eastAsia="仿宋_GB2312" w:cs="仿宋_GB2312"/>
          <w:color w:val="auto"/>
          <w:sz w:val="28"/>
          <w:szCs w:val="28"/>
        </w:rPr>
        <w:t>4.1.1  应急值守电话</w:t>
      </w:r>
      <w:bookmarkEnd w:id="60"/>
      <w:bookmarkEnd w:id="61"/>
    </w:p>
    <w:p>
      <w:pPr>
        <w:widowControl/>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唐王街道设置应急办公室。应急办公室是唐王街道应急管理委员会下属的办公机构，在唐王街道应急管理委员会的领导下进行工作。</w:t>
      </w:r>
    </w:p>
    <w:p>
      <w:pPr>
        <w:widowControl/>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唐王街道应急办设有应急联系电话，实行24小时电话畅通。</w:t>
      </w:r>
    </w:p>
    <w:p>
      <w:pPr>
        <w:widowControl/>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唐王街道应急联系电话为：0531-88705080</w:t>
      </w:r>
    </w:p>
    <w:p>
      <w:pPr>
        <w:pStyle w:val="4"/>
        <w:overflowPunct w:val="0"/>
        <w:topLinePunct/>
        <w:adjustRightInd w:val="0"/>
        <w:snapToGrid w:val="0"/>
        <w:spacing w:before="0" w:after="0" w:line="360" w:lineRule="auto"/>
        <w:textAlignment w:val="top"/>
        <w:rPr>
          <w:rFonts w:hint="eastAsia" w:ascii="仿宋_GB2312" w:hAnsi="仿宋_GB2312" w:eastAsia="仿宋_GB2312" w:cs="仿宋_GB2312"/>
          <w:color w:val="auto"/>
          <w:sz w:val="28"/>
          <w:szCs w:val="28"/>
        </w:rPr>
      </w:pPr>
      <w:bookmarkStart w:id="62" w:name="_Toc154202603"/>
      <w:bookmarkStart w:id="63" w:name="_Toc155861787"/>
      <w:bookmarkStart w:id="64" w:name="_Hlk154599139"/>
      <w:r>
        <w:rPr>
          <w:rFonts w:hint="eastAsia" w:ascii="仿宋_GB2312" w:hAnsi="仿宋_GB2312" w:eastAsia="仿宋_GB2312" w:cs="仿宋_GB2312"/>
          <w:color w:val="auto"/>
          <w:sz w:val="28"/>
          <w:szCs w:val="28"/>
        </w:rPr>
        <w:t>4.1.2  事故信息报警</w:t>
      </w:r>
      <w:bookmarkEnd w:id="62"/>
      <w:bookmarkEnd w:id="63"/>
    </w:p>
    <w:bookmarkEnd w:id="64"/>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街道辖区村（社区）或单位发生火灾事故后，事故现场有关人员应当立即报告村（社区）或单位负责人。村（社区）或单位负责人接到报告后，应立即采取应急救援措施，并同时上报唐王街道应急办公室。</w:t>
      </w:r>
    </w:p>
    <w:p>
      <w:pPr>
        <w:pStyle w:val="4"/>
        <w:overflowPunct w:val="0"/>
        <w:topLinePunct/>
        <w:adjustRightInd w:val="0"/>
        <w:snapToGrid w:val="0"/>
        <w:spacing w:before="0" w:after="0" w:line="360" w:lineRule="auto"/>
        <w:textAlignment w:val="top"/>
        <w:rPr>
          <w:rFonts w:hint="eastAsia" w:ascii="仿宋_GB2312" w:hAnsi="仿宋_GB2312" w:eastAsia="仿宋_GB2312" w:cs="仿宋_GB2312"/>
          <w:color w:val="auto"/>
          <w:sz w:val="28"/>
          <w:szCs w:val="28"/>
        </w:rPr>
      </w:pPr>
      <w:bookmarkStart w:id="65" w:name="_Toc155861788"/>
      <w:bookmarkStart w:id="66" w:name="_Hlk154599245"/>
      <w:r>
        <w:rPr>
          <w:rFonts w:hint="eastAsia" w:ascii="仿宋_GB2312" w:hAnsi="仿宋_GB2312" w:eastAsia="仿宋_GB2312" w:cs="仿宋_GB2312"/>
          <w:color w:val="auto"/>
          <w:sz w:val="28"/>
          <w:szCs w:val="28"/>
        </w:rPr>
        <w:t>4.1.3  事故信息接警</w:t>
      </w:r>
      <w:bookmarkEnd w:id="65"/>
    </w:p>
    <w:bookmarkEnd w:id="66"/>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街道设立应急办公室，负责火灾事故信息的接收工作。街道应急办公室接到火灾事故的险情报警后，应用最快的时间问明事故地点、发生时间、事故性质、伤亡人数以及报告人姓名等基本情况，并做好记录；同时，应采用电话、手机等方式，将火灾事故的基本情况立即向街道应急指挥部总指挥汇报，总指挥电话不通联系不上时，依次向指挥部副指挥、成员汇报。同时，应急办公室人员可根据指挥部事先的应急授权，采取临时紧急措施，组织有关人员前往事故现场了解情况和应急处置。</w:t>
      </w:r>
    </w:p>
    <w:p>
      <w:pPr>
        <w:pStyle w:val="4"/>
        <w:overflowPunct w:val="0"/>
        <w:topLinePunct/>
        <w:adjustRightInd w:val="0"/>
        <w:snapToGrid w:val="0"/>
        <w:spacing w:before="0" w:after="0" w:line="360" w:lineRule="auto"/>
        <w:textAlignment w:val="top"/>
        <w:rPr>
          <w:rFonts w:hint="eastAsia" w:ascii="仿宋_GB2312" w:hAnsi="仿宋_GB2312" w:eastAsia="仿宋_GB2312" w:cs="仿宋_GB2312"/>
          <w:color w:val="auto"/>
          <w:sz w:val="28"/>
          <w:szCs w:val="28"/>
        </w:rPr>
      </w:pPr>
      <w:bookmarkStart w:id="67" w:name="_Toc155861789"/>
      <w:r>
        <w:rPr>
          <w:rFonts w:hint="eastAsia" w:ascii="仿宋_GB2312" w:hAnsi="仿宋_GB2312" w:eastAsia="仿宋_GB2312" w:cs="仿宋_GB2312"/>
          <w:color w:val="auto"/>
          <w:sz w:val="28"/>
          <w:szCs w:val="28"/>
        </w:rPr>
        <w:t>4.1.4  事故信息处置</w:t>
      </w:r>
      <w:bookmarkEnd w:id="67"/>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bookmarkStart w:id="68" w:name="_Hlk55058432"/>
      <w:bookmarkStart w:id="69" w:name="_Hlk54902912"/>
      <w:r>
        <w:rPr>
          <w:rFonts w:hint="eastAsia" w:ascii="仿宋_GB2312" w:hAnsi="仿宋_GB2312" w:eastAsia="仿宋_GB2312" w:cs="仿宋_GB2312"/>
          <w:color w:val="auto"/>
        </w:rPr>
        <w:t>街道应急办接到事故报警后，应立即向街道应急指挥部汇报。街道应急指挥部对事故信息进行分析和研判后，应根据不同事态情况作出相应决定。</w:t>
      </w:r>
    </w:p>
    <w:bookmarkEnd w:id="68"/>
    <w:bookmarkEnd w:id="69"/>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bookmarkStart w:id="70" w:name="_Hlk55034311"/>
      <w:r>
        <w:rPr>
          <w:rFonts w:hint="eastAsia" w:ascii="仿宋_GB2312" w:hAnsi="仿宋_GB2312" w:eastAsia="仿宋_GB2312" w:cs="仿宋_GB2312"/>
          <w:color w:val="auto"/>
        </w:rPr>
        <w:t>1. 事故发生的可能性小，达不到预警及处置启动条件，且已采取措施得到有效处置，此种情况下，应急指挥部可作出不启动预警及处置决定。</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2. 事故尚未发生，但有发生或扩大风险，需要采取措施进行应急准备，此种情况下，应急指挥部应作出启动应急预警的决定。</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3. 事故已经发生或者即将发生，需要立即采取措施进行应急处置，此种情况下，应急指挥部应作出启动应急响应的决定。</w:t>
      </w:r>
    </w:p>
    <w:bookmarkEnd w:id="70"/>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bookmarkStart w:id="71" w:name="_Hlk55041693"/>
      <w:bookmarkStart w:id="72" w:name="_Hlk154608553"/>
      <w:r>
        <w:rPr>
          <w:rFonts w:hint="eastAsia" w:ascii="仿宋_GB2312" w:hAnsi="仿宋_GB2312" w:eastAsia="仿宋_GB2312" w:cs="仿宋_GB2312"/>
          <w:color w:val="auto"/>
        </w:rPr>
        <w:t>街道应急指挥部对火灾事故报警信息的处置</w:t>
      </w:r>
      <w:bookmarkEnd w:id="71"/>
      <w:r>
        <w:rPr>
          <w:rFonts w:hint="eastAsia" w:ascii="仿宋_GB2312" w:hAnsi="仿宋_GB2312" w:eastAsia="仿宋_GB2312" w:cs="仿宋_GB2312"/>
          <w:color w:val="auto"/>
        </w:rPr>
        <w:t>流程</w:t>
      </w:r>
      <w:bookmarkEnd w:id="72"/>
      <w:r>
        <w:rPr>
          <w:rFonts w:hint="eastAsia" w:ascii="仿宋_GB2312" w:hAnsi="仿宋_GB2312" w:eastAsia="仿宋_GB2312" w:cs="仿宋_GB2312"/>
          <w:color w:val="auto"/>
        </w:rPr>
        <w:t>，如图4.1-1所示。</w:t>
      </w:r>
    </w:p>
    <w:p>
      <w:pPr>
        <w:overflowPunct w:val="0"/>
        <w:topLinePunct/>
        <w:adjustRightInd w:val="0"/>
        <w:snapToGrid w:val="0"/>
        <w:spacing w:line="360" w:lineRule="auto"/>
        <w:jc w:val="center"/>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drawing>
          <wp:inline distT="0" distB="0" distL="0" distR="0">
            <wp:extent cx="5039995" cy="3599815"/>
            <wp:effectExtent l="0" t="0" r="8255" b="635"/>
            <wp:docPr id="3" name="图片 3"/>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6"/>
                    <a:srcRect l="19774" t="22579" r="26387" b="18915"/>
                    <a:stretch>
                      <a:fillRect/>
                    </a:stretch>
                  </pic:blipFill>
                  <pic:spPr>
                    <a:xfrm>
                      <a:off x="0" y="0"/>
                      <a:ext cx="5040000" cy="3600000"/>
                    </a:xfrm>
                    <a:prstGeom prst="rect">
                      <a:avLst/>
                    </a:prstGeom>
                    <a:ln>
                      <a:noFill/>
                    </a:ln>
                  </pic:spPr>
                </pic:pic>
              </a:graphicData>
            </a:graphic>
          </wp:inline>
        </w:drawing>
      </w:r>
    </w:p>
    <w:p>
      <w:pPr>
        <w:overflowPunct w:val="0"/>
        <w:topLinePunct/>
        <w:adjustRightInd w:val="0"/>
        <w:snapToGrid w:val="0"/>
        <w:spacing w:after="156" w:afterLines="50" w:line="360" w:lineRule="auto"/>
        <w:jc w:val="center"/>
        <w:textAlignment w:val="top"/>
        <w:rPr>
          <w:rFonts w:hint="eastAsia" w:ascii="仿宋_GB2312" w:hAnsi="仿宋_GB2312" w:eastAsia="仿宋_GB2312" w:cs="仿宋_GB2312"/>
          <w:b/>
          <w:bCs/>
          <w:color w:val="auto"/>
          <w:sz w:val="24"/>
          <w:szCs w:val="24"/>
        </w:rPr>
      </w:pPr>
      <w:r>
        <w:rPr>
          <w:rFonts w:hint="eastAsia" w:ascii="仿宋_GB2312" w:hAnsi="仿宋_GB2312" w:eastAsia="仿宋_GB2312" w:cs="仿宋_GB2312"/>
          <w:b/>
          <w:bCs/>
          <w:color w:val="auto"/>
          <w:sz w:val="24"/>
          <w:szCs w:val="24"/>
        </w:rPr>
        <w:t>图 4.1-1  街道应急指挥部对火灾事故报警信息的处置流程图</w:t>
      </w:r>
    </w:p>
    <w:p>
      <w:pPr>
        <w:pStyle w:val="4"/>
        <w:overflowPunct w:val="0"/>
        <w:topLinePunct/>
        <w:adjustRightInd w:val="0"/>
        <w:snapToGrid w:val="0"/>
        <w:spacing w:before="0" w:after="0" w:line="360" w:lineRule="auto"/>
        <w:textAlignment w:val="top"/>
        <w:rPr>
          <w:rFonts w:hint="eastAsia" w:ascii="仿宋_GB2312" w:hAnsi="仿宋_GB2312" w:eastAsia="仿宋_GB2312" w:cs="仿宋_GB2312"/>
          <w:color w:val="auto"/>
          <w:sz w:val="28"/>
          <w:szCs w:val="28"/>
        </w:rPr>
      </w:pPr>
      <w:bookmarkStart w:id="73" w:name="_Toc154202605"/>
      <w:bookmarkStart w:id="74" w:name="_Toc155861790"/>
      <w:r>
        <w:rPr>
          <w:rFonts w:hint="eastAsia" w:ascii="仿宋_GB2312" w:hAnsi="仿宋_GB2312" w:eastAsia="仿宋_GB2312" w:cs="仿宋_GB2312"/>
          <w:color w:val="auto"/>
          <w:sz w:val="28"/>
          <w:szCs w:val="28"/>
        </w:rPr>
        <w:t>4.1.5  事故信息通报</w:t>
      </w:r>
      <w:bookmarkEnd w:id="73"/>
      <w:bookmarkEnd w:id="74"/>
    </w:p>
    <w:p>
      <w:pPr>
        <w:widowControl/>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对需要进行预警或者应急处置的火灾事故，由街道应急办公室负责，向街道内可能受火灾事故影响的其他单位及人员传达火灾事故信息，安排其他单位及人员做好预警或者应急处置准备。</w:t>
      </w:r>
    </w:p>
    <w:p>
      <w:pPr>
        <w:widowControl/>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通报时限：街道应急办公室接到火灾事故险情报警后，在应急指挥部的指令下，应及时安排有关单位及人员做好预警或者应急处置准备。</w:t>
      </w:r>
    </w:p>
    <w:p>
      <w:pPr>
        <w:widowControl/>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通报方式：可采用广播、电视、新闻网站、传真、电话、手机、微信、短信、QQ、有线广播、高音喇叭等方式。</w:t>
      </w:r>
    </w:p>
    <w:p>
      <w:pPr>
        <w:pStyle w:val="4"/>
        <w:overflowPunct w:val="0"/>
        <w:topLinePunct/>
        <w:adjustRightInd w:val="0"/>
        <w:snapToGrid w:val="0"/>
        <w:spacing w:before="0" w:after="0" w:line="360" w:lineRule="auto"/>
        <w:textAlignment w:val="top"/>
        <w:rPr>
          <w:rFonts w:hint="eastAsia" w:ascii="仿宋_GB2312" w:hAnsi="仿宋_GB2312" w:eastAsia="仿宋_GB2312" w:cs="仿宋_GB2312"/>
          <w:color w:val="auto"/>
          <w:sz w:val="28"/>
          <w:szCs w:val="28"/>
        </w:rPr>
      </w:pPr>
      <w:bookmarkStart w:id="75" w:name="_Toc154202606"/>
      <w:bookmarkStart w:id="76" w:name="_Toc155861791"/>
      <w:r>
        <w:rPr>
          <w:rFonts w:hint="eastAsia" w:ascii="仿宋_GB2312" w:hAnsi="仿宋_GB2312" w:eastAsia="仿宋_GB2312" w:cs="仿宋_GB2312"/>
          <w:color w:val="auto"/>
          <w:sz w:val="28"/>
          <w:szCs w:val="28"/>
        </w:rPr>
        <w:t>4.1.6  事故信息上报</w:t>
      </w:r>
      <w:bookmarkEnd w:id="75"/>
      <w:bookmarkEnd w:id="76"/>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街道发生火灾事故险情后，指挥部在了解现场事故情况并采取应急措施后，应根据事故已有的后果或可能发生的后果情况，按规定的时限和程序，向上级有关部门进行信息上报。</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信息上报条件：初估达到Ⅰ级时，向上级政府或有关部门报告。</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信息上报部门：历城区应急管理局；对按要求需要向公安、消防、环保等部门汇报的，也应按要求向有关部门汇报。</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信息上报时限：街道接到报告后后，必须在1小时内上报。</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信息上报方式：先电话，后书面；其内容和格式，应执行政府及有关部门要求；政府及有关部门无具体要求时，按照本预案格式化文本上报。</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信息上报内容：事故发生时间、地点、单位；事故的简要经过、伤亡人数，直接经济损失的初步估计；事故发生的初步原因的初步判断等。</w:t>
      </w:r>
    </w:p>
    <w:p>
      <w:pPr>
        <w:pStyle w:val="4"/>
        <w:overflowPunct w:val="0"/>
        <w:topLinePunct/>
        <w:adjustRightInd w:val="0"/>
        <w:snapToGrid w:val="0"/>
        <w:spacing w:before="0" w:after="0" w:line="360" w:lineRule="auto"/>
        <w:textAlignment w:val="top"/>
        <w:rPr>
          <w:rFonts w:hint="eastAsia" w:ascii="仿宋_GB2312" w:hAnsi="仿宋_GB2312" w:eastAsia="仿宋_GB2312" w:cs="仿宋_GB2312"/>
          <w:color w:val="auto"/>
          <w:sz w:val="28"/>
          <w:szCs w:val="28"/>
        </w:rPr>
      </w:pPr>
      <w:bookmarkStart w:id="77" w:name="_Toc155861792"/>
      <w:r>
        <w:rPr>
          <w:rFonts w:hint="eastAsia" w:ascii="仿宋_GB2312" w:hAnsi="仿宋_GB2312" w:eastAsia="仿宋_GB2312" w:cs="仿宋_GB2312"/>
          <w:color w:val="auto"/>
          <w:sz w:val="28"/>
          <w:szCs w:val="28"/>
        </w:rPr>
        <w:t>4.1.7  事故补报续报</w:t>
      </w:r>
      <w:bookmarkEnd w:id="77"/>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在事故上报的基础上，根据上报内容的完整情况，对事故要素不完整、事故情况不清晰的，应根据实际情况及时进行补报、续报，直至救援结束。</w:t>
      </w:r>
    </w:p>
    <w:p>
      <w:pPr>
        <w:pStyle w:val="3"/>
        <w:overflowPunct w:val="0"/>
        <w:topLinePunct/>
        <w:adjustRightInd w:val="0"/>
        <w:snapToGrid w:val="0"/>
        <w:spacing w:before="0" w:after="0" w:line="360" w:lineRule="auto"/>
        <w:textAlignment w:val="top"/>
        <w:rPr>
          <w:rFonts w:hint="eastAsia" w:ascii="仿宋_GB2312" w:hAnsi="仿宋_GB2312" w:eastAsia="仿宋_GB2312" w:cs="仿宋_GB2312"/>
          <w:color w:val="auto"/>
          <w:sz w:val="30"/>
          <w:szCs w:val="30"/>
        </w:rPr>
      </w:pPr>
      <w:bookmarkStart w:id="78" w:name="_Toc155861793"/>
      <w:r>
        <w:rPr>
          <w:rFonts w:hint="eastAsia" w:ascii="仿宋_GB2312" w:hAnsi="仿宋_GB2312" w:eastAsia="仿宋_GB2312" w:cs="仿宋_GB2312"/>
          <w:color w:val="auto"/>
          <w:sz w:val="30"/>
          <w:szCs w:val="30"/>
        </w:rPr>
        <w:t>4.2  预警</w:t>
      </w:r>
      <w:bookmarkEnd w:id="78"/>
    </w:p>
    <w:p>
      <w:pPr>
        <w:pStyle w:val="4"/>
        <w:overflowPunct w:val="0"/>
        <w:topLinePunct/>
        <w:adjustRightInd w:val="0"/>
        <w:snapToGrid w:val="0"/>
        <w:spacing w:before="0" w:after="0" w:line="360" w:lineRule="auto"/>
        <w:textAlignment w:val="top"/>
        <w:rPr>
          <w:rFonts w:hint="eastAsia" w:ascii="仿宋_GB2312" w:hAnsi="仿宋_GB2312" w:eastAsia="仿宋_GB2312" w:cs="仿宋_GB2312"/>
          <w:color w:val="auto"/>
          <w:sz w:val="28"/>
          <w:szCs w:val="28"/>
        </w:rPr>
      </w:pPr>
      <w:bookmarkStart w:id="79" w:name="_Toc155861794"/>
      <w:r>
        <w:rPr>
          <w:rFonts w:hint="eastAsia" w:ascii="仿宋_GB2312" w:hAnsi="仿宋_GB2312" w:eastAsia="仿宋_GB2312" w:cs="仿宋_GB2312"/>
          <w:color w:val="auto"/>
          <w:sz w:val="28"/>
          <w:szCs w:val="28"/>
        </w:rPr>
        <w:t>4.2.1  预警级别划分</w:t>
      </w:r>
      <w:bookmarkEnd w:id="79"/>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本预案按照唐王街道辖区可能发生的火灾事故级别，将火灾事故的预警级别由高到低划分为一级、二级、三级，一级最高，三级最低，分别针对Ⅰ级、Ⅱ级、Ⅲ级火灾事故，依次用红色、黄色和蓝色为标志进行预警。本预案</w:t>
      </w:r>
      <w:bookmarkStart w:id="80" w:name="_Hlk108283520"/>
      <w:r>
        <w:rPr>
          <w:rFonts w:hint="eastAsia" w:ascii="仿宋_GB2312" w:hAnsi="仿宋_GB2312" w:eastAsia="仿宋_GB2312" w:cs="仿宋_GB2312"/>
          <w:color w:val="auto"/>
        </w:rPr>
        <w:t>关于不同等级火灾事故的预警级别及预警行动等情况</w:t>
      </w:r>
      <w:bookmarkEnd w:id="80"/>
      <w:r>
        <w:rPr>
          <w:rFonts w:hint="eastAsia" w:ascii="仿宋_GB2312" w:hAnsi="仿宋_GB2312" w:eastAsia="仿宋_GB2312" w:cs="仿宋_GB2312"/>
          <w:color w:val="auto"/>
        </w:rPr>
        <w:t>，如表4.2-1所示。</w:t>
      </w:r>
    </w:p>
    <w:p>
      <w:pPr>
        <w:widowControl/>
        <w:overflowPunct w:val="0"/>
        <w:topLinePunct/>
        <w:adjustRightInd w:val="0"/>
        <w:snapToGrid w:val="0"/>
        <w:spacing w:before="78" w:beforeLines="25" w:after="78" w:afterLines="25"/>
        <w:jc w:val="center"/>
        <w:textAlignment w:val="top"/>
        <w:rPr>
          <w:rFonts w:hint="eastAsia" w:ascii="仿宋_GB2312" w:hAnsi="仿宋_GB2312" w:eastAsia="仿宋_GB2312" w:cs="仿宋_GB2312"/>
          <w:b/>
          <w:bCs/>
          <w:color w:val="auto"/>
          <w:sz w:val="24"/>
          <w:szCs w:val="24"/>
        </w:rPr>
      </w:pPr>
      <w:r>
        <w:rPr>
          <w:rFonts w:hint="eastAsia" w:ascii="仿宋_GB2312" w:hAnsi="仿宋_GB2312" w:eastAsia="仿宋_GB2312" w:cs="仿宋_GB2312"/>
          <w:b/>
          <w:bCs/>
          <w:color w:val="auto"/>
          <w:sz w:val="24"/>
          <w:szCs w:val="24"/>
        </w:rPr>
        <w:t>表 4.2-1  本预案关于不同等级火灾事故的预警级别及预警行动情况一览表</w:t>
      </w:r>
    </w:p>
    <w:tbl>
      <w:tblPr>
        <w:tblStyle w:val="20"/>
        <w:tblW w:w="89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5"/>
        <w:gridCol w:w="658"/>
        <w:gridCol w:w="2100"/>
        <w:gridCol w:w="1428"/>
        <w:gridCol w:w="1441"/>
        <w:gridCol w:w="23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75" w:type="dxa"/>
            <w:tcMar>
              <w:top w:w="113" w:type="dxa"/>
              <w:left w:w="57" w:type="dxa"/>
              <w:bottom w:w="113" w:type="dxa"/>
              <w:right w:w="57" w:type="dxa"/>
            </w:tcMar>
            <w:vAlign w:val="center"/>
          </w:tcPr>
          <w:p>
            <w:pPr>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预警级别</w:t>
            </w:r>
          </w:p>
        </w:tc>
        <w:tc>
          <w:tcPr>
            <w:tcW w:w="658" w:type="dxa"/>
            <w:tcMar>
              <w:top w:w="113" w:type="dxa"/>
              <w:left w:w="57" w:type="dxa"/>
              <w:bottom w:w="113" w:type="dxa"/>
              <w:right w:w="57" w:type="dxa"/>
            </w:tcMar>
            <w:vAlign w:val="center"/>
          </w:tcPr>
          <w:p>
            <w:pPr>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色标</w:t>
            </w:r>
          </w:p>
        </w:tc>
        <w:tc>
          <w:tcPr>
            <w:tcW w:w="2100" w:type="dxa"/>
            <w:tcMar>
              <w:top w:w="113" w:type="dxa"/>
              <w:left w:w="57" w:type="dxa"/>
              <w:bottom w:w="113" w:type="dxa"/>
              <w:right w:w="57" w:type="dxa"/>
            </w:tcMar>
            <w:vAlign w:val="center"/>
          </w:tcPr>
          <w:p>
            <w:pPr>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预警条件</w:t>
            </w:r>
          </w:p>
        </w:tc>
        <w:tc>
          <w:tcPr>
            <w:tcW w:w="1428" w:type="dxa"/>
            <w:tcMar>
              <w:top w:w="113" w:type="dxa"/>
              <w:left w:w="57" w:type="dxa"/>
              <w:bottom w:w="113" w:type="dxa"/>
              <w:right w:w="57" w:type="dxa"/>
            </w:tcMar>
            <w:vAlign w:val="center"/>
          </w:tcPr>
          <w:p>
            <w:pPr>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预警级别确定</w:t>
            </w:r>
          </w:p>
        </w:tc>
        <w:tc>
          <w:tcPr>
            <w:tcW w:w="1441" w:type="dxa"/>
            <w:tcMar>
              <w:top w:w="113" w:type="dxa"/>
              <w:left w:w="57" w:type="dxa"/>
              <w:bottom w:w="113" w:type="dxa"/>
              <w:right w:w="57" w:type="dxa"/>
            </w:tcMar>
            <w:vAlign w:val="center"/>
          </w:tcPr>
          <w:p>
            <w:pPr>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预警级别决定</w:t>
            </w:r>
          </w:p>
        </w:tc>
        <w:tc>
          <w:tcPr>
            <w:tcW w:w="2357" w:type="dxa"/>
            <w:tcMar>
              <w:top w:w="113" w:type="dxa"/>
              <w:left w:w="57" w:type="dxa"/>
              <w:bottom w:w="113" w:type="dxa"/>
              <w:right w:w="57" w:type="dxa"/>
            </w:tcMar>
            <w:vAlign w:val="center"/>
          </w:tcPr>
          <w:p>
            <w:pPr>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预警行动流程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75" w:type="dxa"/>
            <w:tcMar>
              <w:top w:w="113" w:type="dxa"/>
              <w:left w:w="57" w:type="dxa"/>
              <w:bottom w:w="113" w:type="dxa"/>
              <w:right w:w="57" w:type="dxa"/>
            </w:tcMar>
            <w:vAlign w:val="center"/>
          </w:tcPr>
          <w:p>
            <w:pPr>
              <w:overflowPunct w:val="0"/>
              <w:topLinePunct/>
              <w:contextualSpacing/>
              <w:jc w:val="center"/>
              <w:textAlignment w:val="top"/>
              <w:rPr>
                <w:rFonts w:hint="eastAsia" w:ascii="仿宋_GB2312" w:hAnsi="仿宋_GB2312" w:eastAsia="仿宋_GB2312" w:cs="仿宋_GB2312"/>
                <w:bCs/>
                <w:color w:val="auto"/>
                <w:kern w:val="0"/>
                <w:sz w:val="21"/>
                <w:szCs w:val="21"/>
              </w:rPr>
            </w:pPr>
            <w:bookmarkStart w:id="81" w:name="_Hlk154012609"/>
            <w:r>
              <w:rPr>
                <w:rFonts w:hint="eastAsia" w:ascii="仿宋_GB2312" w:hAnsi="仿宋_GB2312" w:eastAsia="仿宋_GB2312" w:cs="仿宋_GB2312"/>
                <w:bCs/>
                <w:color w:val="auto"/>
                <w:kern w:val="0"/>
                <w:sz w:val="21"/>
                <w:szCs w:val="21"/>
              </w:rPr>
              <w:t>一级</w:t>
            </w:r>
          </w:p>
        </w:tc>
        <w:tc>
          <w:tcPr>
            <w:tcW w:w="658" w:type="dxa"/>
            <w:tcMar>
              <w:top w:w="113" w:type="dxa"/>
              <w:left w:w="57" w:type="dxa"/>
              <w:bottom w:w="113" w:type="dxa"/>
              <w:right w:w="57" w:type="dxa"/>
            </w:tcMar>
            <w:vAlign w:val="center"/>
          </w:tcPr>
          <w:p>
            <w:pPr>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红色</w:t>
            </w:r>
          </w:p>
        </w:tc>
        <w:tc>
          <w:tcPr>
            <w:tcW w:w="2100" w:type="dxa"/>
            <w:tcMar>
              <w:top w:w="113" w:type="dxa"/>
              <w:left w:w="57" w:type="dxa"/>
              <w:bottom w:w="113" w:type="dxa"/>
              <w:right w:w="57" w:type="dxa"/>
            </w:tcMar>
            <w:vAlign w:val="center"/>
          </w:tcPr>
          <w:p>
            <w:pPr>
              <w:overflowPunct w:val="0"/>
              <w:topLinePunct/>
              <w:contextualSpacing/>
              <w:textAlignment w:val="top"/>
              <w:rPr>
                <w:rFonts w:hint="eastAsia" w:ascii="仿宋_GB2312" w:hAnsi="仿宋_GB2312" w:eastAsia="仿宋_GB2312" w:cs="仿宋_GB2312"/>
                <w:bCs/>
                <w:color w:val="auto"/>
                <w:kern w:val="0"/>
                <w:sz w:val="21"/>
                <w:szCs w:val="21"/>
              </w:rPr>
            </w:pPr>
            <w:bookmarkStart w:id="82" w:name="_Hlk154062639"/>
            <w:r>
              <w:rPr>
                <w:rFonts w:hint="eastAsia" w:ascii="仿宋_GB2312" w:hAnsi="仿宋_GB2312" w:eastAsia="仿宋_GB2312" w:cs="仿宋_GB2312"/>
                <w:bCs/>
                <w:color w:val="auto"/>
                <w:kern w:val="0"/>
                <w:sz w:val="21"/>
                <w:szCs w:val="21"/>
              </w:rPr>
              <w:t>预计将要发生Ⅰ级生产安全事故，</w:t>
            </w:r>
            <w:bookmarkStart w:id="83" w:name="_Hlk154616882"/>
            <w:r>
              <w:rPr>
                <w:rFonts w:hint="eastAsia" w:ascii="仿宋_GB2312" w:hAnsi="仿宋_GB2312" w:eastAsia="仿宋_GB2312" w:cs="仿宋_GB2312"/>
                <w:bCs/>
                <w:color w:val="auto"/>
                <w:kern w:val="0"/>
                <w:sz w:val="21"/>
                <w:szCs w:val="21"/>
              </w:rPr>
              <w:t>如不及时采取措施可能会导致严重后果</w:t>
            </w:r>
            <w:bookmarkEnd w:id="82"/>
            <w:bookmarkEnd w:id="83"/>
            <w:r>
              <w:rPr>
                <w:rFonts w:hint="eastAsia" w:ascii="仿宋_GB2312" w:hAnsi="仿宋_GB2312" w:eastAsia="仿宋_GB2312" w:cs="仿宋_GB2312"/>
                <w:bCs/>
                <w:color w:val="auto"/>
                <w:kern w:val="0"/>
                <w:sz w:val="21"/>
                <w:szCs w:val="21"/>
              </w:rPr>
              <w:t>。</w:t>
            </w:r>
          </w:p>
        </w:tc>
        <w:tc>
          <w:tcPr>
            <w:tcW w:w="1428" w:type="dxa"/>
            <w:tcMar>
              <w:top w:w="113" w:type="dxa"/>
              <w:left w:w="57" w:type="dxa"/>
              <w:bottom w:w="113" w:type="dxa"/>
              <w:right w:w="57" w:type="dxa"/>
            </w:tcMar>
            <w:vAlign w:val="center"/>
          </w:tcPr>
          <w:p>
            <w:pPr>
              <w:overflowPunct w:val="0"/>
              <w:topLinePunct/>
              <w:contextualSpacing/>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由唐王街道应急管理委员会初步确定预警级别</w:t>
            </w:r>
          </w:p>
        </w:tc>
        <w:tc>
          <w:tcPr>
            <w:tcW w:w="1441" w:type="dxa"/>
            <w:tcMar>
              <w:top w:w="113" w:type="dxa"/>
              <w:left w:w="57" w:type="dxa"/>
              <w:bottom w:w="113" w:type="dxa"/>
              <w:right w:w="57" w:type="dxa"/>
            </w:tcMar>
            <w:vAlign w:val="center"/>
          </w:tcPr>
          <w:p>
            <w:pPr>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区级以上政府或应急管理部门</w:t>
            </w:r>
          </w:p>
        </w:tc>
        <w:tc>
          <w:tcPr>
            <w:tcW w:w="2357" w:type="dxa"/>
            <w:tcMar>
              <w:top w:w="113" w:type="dxa"/>
              <w:left w:w="57" w:type="dxa"/>
              <w:bottom w:w="113" w:type="dxa"/>
              <w:right w:w="57" w:type="dxa"/>
            </w:tcMar>
            <w:vAlign w:val="center"/>
          </w:tcPr>
          <w:p>
            <w:pPr>
              <w:overflowPunct w:val="0"/>
              <w:topLinePunct/>
              <w:contextualSpacing/>
              <w:textAlignment w:val="top"/>
              <w:rPr>
                <w:rFonts w:hint="eastAsia" w:ascii="仿宋_GB2312" w:hAnsi="仿宋_GB2312" w:eastAsia="仿宋_GB2312" w:cs="仿宋_GB2312"/>
                <w:bCs/>
                <w:color w:val="auto"/>
                <w:kern w:val="0"/>
                <w:sz w:val="21"/>
                <w:szCs w:val="21"/>
              </w:rPr>
            </w:pPr>
            <w:bookmarkStart w:id="84" w:name="_Hlk154011372"/>
            <w:r>
              <w:rPr>
                <w:rFonts w:hint="eastAsia" w:ascii="仿宋_GB2312" w:hAnsi="仿宋_GB2312" w:eastAsia="仿宋_GB2312" w:cs="仿宋_GB2312"/>
                <w:bCs/>
                <w:color w:val="auto"/>
                <w:kern w:val="0"/>
                <w:sz w:val="21"/>
                <w:szCs w:val="21"/>
              </w:rPr>
              <w:t>预警级别经审批后，由唐王街道应急办发布预警信息，通知有关单位、村庄、社区采取预警措施</w:t>
            </w:r>
            <w:bookmarkEnd w:id="84"/>
            <w:r>
              <w:rPr>
                <w:rFonts w:hint="eastAsia" w:ascii="仿宋_GB2312" w:hAnsi="仿宋_GB2312" w:eastAsia="仿宋_GB2312" w:cs="仿宋_GB2312"/>
                <w:bCs/>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75" w:type="dxa"/>
            <w:tcMar>
              <w:top w:w="113" w:type="dxa"/>
              <w:left w:w="57" w:type="dxa"/>
              <w:bottom w:w="113" w:type="dxa"/>
              <w:right w:w="57" w:type="dxa"/>
            </w:tcMar>
            <w:vAlign w:val="center"/>
          </w:tcPr>
          <w:p>
            <w:pPr>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二级</w:t>
            </w:r>
          </w:p>
        </w:tc>
        <w:tc>
          <w:tcPr>
            <w:tcW w:w="658" w:type="dxa"/>
            <w:tcMar>
              <w:top w:w="113" w:type="dxa"/>
              <w:left w:w="57" w:type="dxa"/>
              <w:bottom w:w="113" w:type="dxa"/>
              <w:right w:w="57" w:type="dxa"/>
            </w:tcMar>
            <w:vAlign w:val="center"/>
          </w:tcPr>
          <w:p>
            <w:pPr>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黄色</w:t>
            </w:r>
          </w:p>
        </w:tc>
        <w:tc>
          <w:tcPr>
            <w:tcW w:w="2100" w:type="dxa"/>
            <w:tcMar>
              <w:top w:w="113" w:type="dxa"/>
              <w:left w:w="57" w:type="dxa"/>
              <w:bottom w:w="113" w:type="dxa"/>
              <w:right w:w="57" w:type="dxa"/>
            </w:tcMar>
            <w:vAlign w:val="center"/>
          </w:tcPr>
          <w:p>
            <w:pPr>
              <w:overflowPunct w:val="0"/>
              <w:topLinePunct/>
              <w:contextualSpacing/>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预计将要发生Ⅱ级生产安全事故，</w:t>
            </w:r>
            <w:bookmarkStart w:id="85" w:name="_Hlk154616933"/>
            <w:r>
              <w:rPr>
                <w:rFonts w:hint="eastAsia" w:ascii="仿宋_GB2312" w:hAnsi="仿宋_GB2312" w:eastAsia="仿宋_GB2312" w:cs="仿宋_GB2312"/>
                <w:bCs/>
                <w:color w:val="auto"/>
                <w:kern w:val="0"/>
                <w:sz w:val="21"/>
                <w:szCs w:val="21"/>
              </w:rPr>
              <w:t>如不及时采取措施可能会导致较重后果。</w:t>
            </w:r>
            <w:bookmarkEnd w:id="85"/>
          </w:p>
        </w:tc>
        <w:tc>
          <w:tcPr>
            <w:tcW w:w="1428" w:type="dxa"/>
            <w:tcMar>
              <w:top w:w="113" w:type="dxa"/>
              <w:left w:w="57" w:type="dxa"/>
              <w:bottom w:w="113" w:type="dxa"/>
              <w:right w:w="57" w:type="dxa"/>
            </w:tcMar>
            <w:vAlign w:val="center"/>
          </w:tcPr>
          <w:p>
            <w:pPr>
              <w:overflowPunct w:val="0"/>
              <w:topLinePunct/>
              <w:contextualSpacing/>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由唐王街道应急管理委员会初步确定预警级别。</w:t>
            </w:r>
          </w:p>
        </w:tc>
        <w:tc>
          <w:tcPr>
            <w:tcW w:w="1441" w:type="dxa"/>
            <w:tcMar>
              <w:top w:w="113" w:type="dxa"/>
              <w:left w:w="57" w:type="dxa"/>
              <w:bottom w:w="113" w:type="dxa"/>
              <w:right w:w="57" w:type="dxa"/>
            </w:tcMar>
            <w:vAlign w:val="center"/>
          </w:tcPr>
          <w:p>
            <w:pPr>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街道应急管理委员会</w:t>
            </w:r>
          </w:p>
        </w:tc>
        <w:tc>
          <w:tcPr>
            <w:tcW w:w="2357" w:type="dxa"/>
            <w:tcMar>
              <w:top w:w="113" w:type="dxa"/>
              <w:left w:w="57" w:type="dxa"/>
              <w:bottom w:w="113" w:type="dxa"/>
              <w:right w:w="57" w:type="dxa"/>
            </w:tcMar>
            <w:vAlign w:val="center"/>
          </w:tcPr>
          <w:p>
            <w:pPr>
              <w:overflowPunct w:val="0"/>
              <w:topLinePunct/>
              <w:contextualSpacing/>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预警决定后，由唐王街道应急办发布预警信息，通知有关单位、村庄、社区采取预警措施。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75" w:type="dxa"/>
            <w:tcMar>
              <w:top w:w="113" w:type="dxa"/>
              <w:left w:w="57" w:type="dxa"/>
              <w:bottom w:w="113" w:type="dxa"/>
              <w:right w:w="57" w:type="dxa"/>
            </w:tcMar>
            <w:vAlign w:val="center"/>
          </w:tcPr>
          <w:p>
            <w:pPr>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三级</w:t>
            </w:r>
          </w:p>
        </w:tc>
        <w:tc>
          <w:tcPr>
            <w:tcW w:w="658" w:type="dxa"/>
            <w:tcMar>
              <w:top w:w="113" w:type="dxa"/>
              <w:left w:w="57" w:type="dxa"/>
              <w:bottom w:w="113" w:type="dxa"/>
              <w:right w:w="57" w:type="dxa"/>
            </w:tcMar>
            <w:vAlign w:val="center"/>
          </w:tcPr>
          <w:p>
            <w:pPr>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蓝色</w:t>
            </w:r>
          </w:p>
        </w:tc>
        <w:tc>
          <w:tcPr>
            <w:tcW w:w="2100" w:type="dxa"/>
            <w:tcMar>
              <w:top w:w="113" w:type="dxa"/>
              <w:left w:w="57" w:type="dxa"/>
              <w:bottom w:w="113" w:type="dxa"/>
              <w:right w:w="57" w:type="dxa"/>
            </w:tcMar>
            <w:vAlign w:val="center"/>
          </w:tcPr>
          <w:p>
            <w:pPr>
              <w:overflowPunct w:val="0"/>
              <w:topLinePunct/>
              <w:contextualSpacing/>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预计将要发生Ⅲ级生产安全事故，</w:t>
            </w:r>
            <w:bookmarkStart w:id="86" w:name="_Hlk154616955"/>
            <w:r>
              <w:rPr>
                <w:rFonts w:hint="eastAsia" w:ascii="仿宋_GB2312" w:hAnsi="仿宋_GB2312" w:eastAsia="仿宋_GB2312" w:cs="仿宋_GB2312"/>
                <w:bCs/>
                <w:color w:val="auto"/>
                <w:kern w:val="0"/>
                <w:sz w:val="21"/>
                <w:szCs w:val="21"/>
              </w:rPr>
              <w:t>如不及时采取措施可能会导致一般后果。</w:t>
            </w:r>
            <w:bookmarkEnd w:id="86"/>
          </w:p>
        </w:tc>
        <w:tc>
          <w:tcPr>
            <w:tcW w:w="1428" w:type="dxa"/>
            <w:tcMar>
              <w:top w:w="113" w:type="dxa"/>
              <w:left w:w="57" w:type="dxa"/>
              <w:bottom w:w="113" w:type="dxa"/>
              <w:right w:w="57" w:type="dxa"/>
            </w:tcMar>
            <w:vAlign w:val="center"/>
          </w:tcPr>
          <w:p>
            <w:pPr>
              <w:overflowPunct w:val="0"/>
              <w:topLinePunct/>
              <w:contextualSpacing/>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由唐王街道应急管理委员会初步确定预警级别</w:t>
            </w:r>
          </w:p>
        </w:tc>
        <w:tc>
          <w:tcPr>
            <w:tcW w:w="1441" w:type="dxa"/>
            <w:tcMar>
              <w:top w:w="113" w:type="dxa"/>
              <w:left w:w="57" w:type="dxa"/>
              <w:bottom w:w="113" w:type="dxa"/>
              <w:right w:w="57" w:type="dxa"/>
            </w:tcMar>
            <w:vAlign w:val="center"/>
          </w:tcPr>
          <w:p>
            <w:pPr>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街道应急管理委员会</w:t>
            </w:r>
          </w:p>
        </w:tc>
        <w:tc>
          <w:tcPr>
            <w:tcW w:w="2357" w:type="dxa"/>
            <w:tcMar>
              <w:top w:w="113" w:type="dxa"/>
              <w:left w:w="57" w:type="dxa"/>
              <w:bottom w:w="113" w:type="dxa"/>
              <w:right w:w="57" w:type="dxa"/>
            </w:tcMar>
            <w:vAlign w:val="center"/>
          </w:tcPr>
          <w:p>
            <w:pPr>
              <w:overflowPunct w:val="0"/>
              <w:topLinePunct/>
              <w:contextualSpacing/>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预警级别决定后，由唐王街道应急办发布预警信息，通知有关单位、村庄、社区采取预警措施。</w:t>
            </w:r>
          </w:p>
        </w:tc>
      </w:tr>
      <w:bookmarkEnd w:id="81"/>
    </w:tbl>
    <w:p>
      <w:pPr>
        <w:pStyle w:val="4"/>
        <w:overflowPunct w:val="0"/>
        <w:topLinePunct/>
        <w:adjustRightInd w:val="0"/>
        <w:snapToGrid w:val="0"/>
        <w:spacing w:before="156" w:beforeLines="50" w:after="0" w:line="360" w:lineRule="auto"/>
        <w:textAlignment w:val="top"/>
        <w:rPr>
          <w:rFonts w:hint="eastAsia" w:ascii="仿宋_GB2312" w:hAnsi="仿宋_GB2312" w:eastAsia="仿宋_GB2312" w:cs="仿宋_GB2312"/>
          <w:color w:val="auto"/>
          <w:sz w:val="28"/>
          <w:szCs w:val="28"/>
        </w:rPr>
      </w:pPr>
      <w:bookmarkStart w:id="87" w:name="_Toc155861795"/>
      <w:bookmarkStart w:id="88" w:name="_Hlk154616723"/>
      <w:r>
        <w:rPr>
          <w:rFonts w:hint="eastAsia" w:ascii="仿宋_GB2312" w:hAnsi="仿宋_GB2312" w:eastAsia="仿宋_GB2312" w:cs="仿宋_GB2312"/>
          <w:color w:val="auto"/>
          <w:sz w:val="28"/>
          <w:szCs w:val="28"/>
        </w:rPr>
        <w:t>4.2.2  预警启动条件</w:t>
      </w:r>
      <w:bookmarkEnd w:id="87"/>
    </w:p>
    <w:bookmarkEnd w:id="88"/>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bookmarkStart w:id="89" w:name="_Hlk107148860"/>
      <w:r>
        <w:rPr>
          <w:rFonts w:hint="eastAsia" w:ascii="仿宋_GB2312" w:hAnsi="仿宋_GB2312" w:eastAsia="仿宋_GB2312" w:cs="仿宋_GB2312"/>
          <w:color w:val="auto"/>
        </w:rPr>
        <w:t>一级预警（红色）：预计发生Ⅰ级火灾事故，</w:t>
      </w:r>
      <w:r>
        <w:rPr>
          <w:rFonts w:hint="eastAsia" w:ascii="仿宋_GB2312" w:hAnsi="仿宋_GB2312" w:eastAsia="仿宋_GB2312" w:cs="仿宋_GB2312"/>
          <w:bCs/>
          <w:color w:val="auto"/>
        </w:rPr>
        <w:t>如不及时采取措施可能会导致严重后果</w:t>
      </w:r>
      <w:r>
        <w:rPr>
          <w:rFonts w:hint="eastAsia" w:ascii="仿宋_GB2312" w:hAnsi="仿宋_GB2312" w:eastAsia="仿宋_GB2312" w:cs="仿宋_GB2312"/>
          <w:color w:val="auto"/>
        </w:rPr>
        <w:t>。</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二级预警（黄色）：预计发生Ⅱ级火灾事故，</w:t>
      </w:r>
      <w:r>
        <w:rPr>
          <w:rFonts w:hint="eastAsia" w:ascii="仿宋_GB2312" w:hAnsi="仿宋_GB2312" w:eastAsia="仿宋_GB2312" w:cs="仿宋_GB2312"/>
          <w:bCs/>
          <w:color w:val="auto"/>
        </w:rPr>
        <w:t>如不及时采取措施可能会导致较重后果。</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三级预警（蓝色）：预计发生Ⅲ级火灾事故，</w:t>
      </w:r>
      <w:r>
        <w:rPr>
          <w:rFonts w:hint="eastAsia" w:ascii="仿宋_GB2312" w:hAnsi="仿宋_GB2312" w:eastAsia="仿宋_GB2312" w:cs="仿宋_GB2312"/>
          <w:bCs/>
          <w:color w:val="auto"/>
        </w:rPr>
        <w:t>如不及时采取措施可能会导致一般后果。</w:t>
      </w:r>
    </w:p>
    <w:p>
      <w:pPr>
        <w:pStyle w:val="4"/>
        <w:overflowPunct w:val="0"/>
        <w:topLinePunct/>
        <w:adjustRightInd w:val="0"/>
        <w:snapToGrid w:val="0"/>
        <w:spacing w:before="0" w:after="0" w:line="360" w:lineRule="auto"/>
        <w:textAlignment w:val="top"/>
        <w:rPr>
          <w:rFonts w:hint="eastAsia" w:ascii="仿宋_GB2312" w:hAnsi="仿宋_GB2312" w:eastAsia="仿宋_GB2312" w:cs="仿宋_GB2312"/>
          <w:color w:val="auto"/>
          <w:sz w:val="28"/>
          <w:szCs w:val="28"/>
        </w:rPr>
      </w:pPr>
      <w:bookmarkStart w:id="90" w:name="_Toc155861796"/>
      <w:r>
        <w:rPr>
          <w:rFonts w:hint="eastAsia" w:ascii="仿宋_GB2312" w:hAnsi="仿宋_GB2312" w:eastAsia="仿宋_GB2312" w:cs="仿宋_GB2312"/>
          <w:color w:val="auto"/>
          <w:sz w:val="28"/>
          <w:szCs w:val="28"/>
        </w:rPr>
        <w:t>4.2.3  预警启动流程</w:t>
      </w:r>
      <w:bookmarkEnd w:id="90"/>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bookmarkStart w:id="91" w:name="_Hlk154617122"/>
      <w:r>
        <w:rPr>
          <w:rFonts w:hint="eastAsia" w:ascii="仿宋_GB2312" w:hAnsi="仿宋_GB2312" w:eastAsia="仿宋_GB2312" w:cs="仿宋_GB2312"/>
          <w:color w:val="auto"/>
        </w:rPr>
        <w:t>唐王街道火灾事故预警启动程序流程图</w:t>
      </w:r>
      <w:bookmarkEnd w:id="91"/>
      <w:r>
        <w:rPr>
          <w:rFonts w:hint="eastAsia" w:ascii="仿宋_GB2312" w:hAnsi="仿宋_GB2312" w:eastAsia="仿宋_GB2312" w:cs="仿宋_GB2312"/>
          <w:color w:val="auto"/>
        </w:rPr>
        <w:t>，如图4.2-1所示。</w:t>
      </w:r>
    </w:p>
    <w:p>
      <w:pPr>
        <w:overflowPunct w:val="0"/>
        <w:topLinePunct/>
        <w:adjustRightInd w:val="0"/>
        <w:snapToGrid w:val="0"/>
        <w:spacing w:line="360" w:lineRule="auto"/>
        <w:jc w:val="center"/>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drawing>
          <wp:inline distT="0" distB="0" distL="0" distR="0">
            <wp:extent cx="5039995" cy="3959860"/>
            <wp:effectExtent l="0" t="0" r="8255" b="2540"/>
            <wp:docPr id="6" name="图片 6"/>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7"/>
                    <a:srcRect l="23670" t="20783" r="23351" b="13777"/>
                    <a:stretch>
                      <a:fillRect/>
                    </a:stretch>
                  </pic:blipFill>
                  <pic:spPr>
                    <a:xfrm>
                      <a:off x="0" y="0"/>
                      <a:ext cx="5040000" cy="3960000"/>
                    </a:xfrm>
                    <a:prstGeom prst="rect">
                      <a:avLst/>
                    </a:prstGeom>
                    <a:ln>
                      <a:noFill/>
                    </a:ln>
                  </pic:spPr>
                </pic:pic>
              </a:graphicData>
            </a:graphic>
          </wp:inline>
        </w:drawing>
      </w:r>
    </w:p>
    <w:p>
      <w:pPr>
        <w:widowControl/>
        <w:overflowPunct w:val="0"/>
        <w:topLinePunct/>
        <w:adjustRightInd w:val="0"/>
        <w:snapToGrid w:val="0"/>
        <w:spacing w:after="312" w:afterLines="100" w:line="360" w:lineRule="auto"/>
        <w:jc w:val="center"/>
        <w:textAlignment w:val="top"/>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b/>
          <w:bCs/>
          <w:color w:val="auto"/>
          <w:kern w:val="0"/>
          <w:sz w:val="24"/>
          <w:szCs w:val="24"/>
        </w:rPr>
        <w:t>图 4.2-1  唐王街道火灾事故预警启动程序流程图</w:t>
      </w:r>
    </w:p>
    <w:bookmarkEnd w:id="55"/>
    <w:bookmarkEnd w:id="89"/>
    <w:p>
      <w:pPr>
        <w:pStyle w:val="4"/>
        <w:overflowPunct w:val="0"/>
        <w:topLinePunct/>
        <w:adjustRightInd w:val="0"/>
        <w:snapToGrid w:val="0"/>
        <w:spacing w:before="0" w:after="0" w:line="360" w:lineRule="auto"/>
        <w:textAlignment w:val="top"/>
        <w:rPr>
          <w:rFonts w:hint="eastAsia" w:ascii="仿宋_GB2312" w:hAnsi="仿宋_GB2312" w:eastAsia="仿宋_GB2312" w:cs="仿宋_GB2312"/>
          <w:color w:val="auto"/>
          <w:sz w:val="28"/>
          <w:szCs w:val="28"/>
        </w:rPr>
      </w:pPr>
      <w:bookmarkStart w:id="92" w:name="_Toc155861797"/>
      <w:r>
        <w:rPr>
          <w:rFonts w:hint="eastAsia" w:ascii="仿宋_GB2312" w:hAnsi="仿宋_GB2312" w:eastAsia="仿宋_GB2312" w:cs="仿宋_GB2312"/>
          <w:color w:val="auto"/>
          <w:sz w:val="28"/>
          <w:szCs w:val="28"/>
        </w:rPr>
        <w:t>4.2.4  预警信息发布</w:t>
      </w:r>
      <w:bookmarkEnd w:id="92"/>
    </w:p>
    <w:p>
      <w:pPr>
        <w:overflowPunct w:val="0"/>
        <w:topLinePunct/>
        <w:adjustRightInd w:val="0"/>
        <w:snapToGrid w:val="0"/>
        <w:spacing w:line="360" w:lineRule="auto"/>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4.2.4.1  预警信息发布决定</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bookmarkStart w:id="93" w:name="_Hlk108283847"/>
      <w:r>
        <w:rPr>
          <w:rFonts w:hint="eastAsia" w:ascii="仿宋_GB2312" w:hAnsi="仿宋_GB2312" w:eastAsia="仿宋_GB2312" w:cs="仿宋_GB2312"/>
          <w:color w:val="auto"/>
        </w:rPr>
        <w:t>一级</w:t>
      </w:r>
      <w:bookmarkStart w:id="94" w:name="_Hlk154835357"/>
      <w:r>
        <w:rPr>
          <w:rFonts w:hint="eastAsia" w:ascii="仿宋_GB2312" w:hAnsi="仿宋_GB2312" w:eastAsia="仿宋_GB2312" w:cs="仿宋_GB2312"/>
          <w:color w:val="auto"/>
        </w:rPr>
        <w:t>生产安全事故的预警，由</w:t>
      </w:r>
      <w:r>
        <w:rPr>
          <w:rFonts w:hint="eastAsia" w:ascii="仿宋_GB2312" w:hAnsi="仿宋_GB2312" w:eastAsia="仿宋_GB2312" w:cs="仿宋_GB2312"/>
          <w:bCs/>
          <w:color w:val="auto"/>
        </w:rPr>
        <w:t>区级以上政府或应急管理部门决定</w:t>
      </w:r>
      <w:bookmarkEnd w:id="94"/>
      <w:r>
        <w:rPr>
          <w:rFonts w:hint="eastAsia" w:ascii="仿宋_GB2312" w:hAnsi="仿宋_GB2312" w:eastAsia="仿宋_GB2312" w:cs="仿宋_GB2312"/>
          <w:bCs/>
          <w:color w:val="auto"/>
        </w:rPr>
        <w:t>；二级、三级生产安全事故的预警，由街道应急管理委员会决定。</w:t>
      </w:r>
    </w:p>
    <w:bookmarkEnd w:id="93"/>
    <w:p>
      <w:pPr>
        <w:overflowPunct w:val="0"/>
        <w:topLinePunct/>
        <w:adjustRightInd w:val="0"/>
        <w:snapToGrid w:val="0"/>
        <w:spacing w:line="360" w:lineRule="auto"/>
        <w:textAlignment w:val="top"/>
        <w:rPr>
          <w:rFonts w:hint="eastAsia" w:ascii="仿宋_GB2312" w:hAnsi="仿宋_GB2312" w:eastAsia="仿宋_GB2312" w:cs="仿宋_GB2312"/>
          <w:color w:val="auto"/>
        </w:rPr>
      </w:pPr>
      <w:bookmarkStart w:id="95" w:name="_Hlk107149953"/>
      <w:r>
        <w:rPr>
          <w:rFonts w:hint="eastAsia" w:ascii="仿宋_GB2312" w:hAnsi="仿宋_GB2312" w:eastAsia="仿宋_GB2312" w:cs="仿宋_GB2312"/>
          <w:color w:val="auto"/>
        </w:rPr>
        <w:t>4.2.4.2  预警信息发布内容</w:t>
      </w:r>
      <w:bookmarkEnd w:id="95"/>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预警信息的内容包括预警信息名称、预警级别、预警区域或场所、预警期起止时间、应对措施、发布机关和发布时间等。预警信息发布后，预警信息内容变更或解除的，应当及时发布变更或解除信息。</w:t>
      </w:r>
    </w:p>
    <w:p>
      <w:pPr>
        <w:overflowPunct w:val="0"/>
        <w:topLinePunct/>
        <w:adjustRightInd w:val="0"/>
        <w:snapToGrid w:val="0"/>
        <w:spacing w:line="360" w:lineRule="auto"/>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4.2.4.3  预警信息发布方式</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1. 预警信息的发布，可通过广播、电视、报刊、通信、信息网络、报警器、宣传车或组织人员逐户通知等方式进行，对老、幼、病、残、孕等特殊人群以及学校等特殊场所和警报盲区应采取有针对性的通告方式。</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2. 各居民委员会、村民委员会、其他基层组织信息员或基层工作人员接到预警信息后，应当及时利用手机短信、</w:t>
      </w:r>
      <w:bookmarkStart w:id="96" w:name="_Hlk154060651"/>
      <w:r>
        <w:rPr>
          <w:rFonts w:hint="eastAsia" w:ascii="仿宋_GB2312" w:hAnsi="仿宋_GB2312" w:eastAsia="仿宋_GB2312" w:cs="仿宋_GB2312"/>
          <w:color w:val="auto"/>
        </w:rPr>
        <w:t>有线广播、高音喇叭、鸣锣吹哨</w:t>
      </w:r>
      <w:bookmarkEnd w:id="96"/>
      <w:r>
        <w:rPr>
          <w:rFonts w:hint="eastAsia" w:ascii="仿宋_GB2312" w:hAnsi="仿宋_GB2312" w:eastAsia="仿宋_GB2312" w:cs="仿宋_GB2312"/>
          <w:color w:val="auto"/>
        </w:rPr>
        <w:t>等多种方式向受影响群众传递预警信息及防御措施。</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3. 街道辖区内的有关部门、学校、社区、广场、公园、旅游景点、企业等人员密集区和公共场所，应当指定专人负责预警信息接收和传播工作。</w:t>
      </w:r>
    </w:p>
    <w:p>
      <w:pPr>
        <w:overflowPunct w:val="0"/>
        <w:topLinePunct/>
        <w:adjustRightInd w:val="0"/>
        <w:snapToGrid w:val="0"/>
        <w:spacing w:line="360" w:lineRule="auto"/>
        <w:textAlignment w:val="top"/>
        <w:rPr>
          <w:rFonts w:hint="eastAsia" w:ascii="仿宋_GB2312" w:hAnsi="仿宋_GB2312" w:eastAsia="仿宋_GB2312" w:cs="仿宋_GB2312"/>
          <w:color w:val="auto"/>
        </w:rPr>
      </w:pPr>
      <w:bookmarkStart w:id="97" w:name="_Hlk154012716"/>
      <w:r>
        <w:rPr>
          <w:rFonts w:hint="eastAsia" w:ascii="仿宋_GB2312" w:hAnsi="仿宋_GB2312" w:eastAsia="仿宋_GB2312" w:cs="仿宋_GB2312"/>
          <w:color w:val="auto"/>
        </w:rPr>
        <w:t>4.2.4.4  预警信息发布渠道</w:t>
      </w:r>
      <w:bookmarkEnd w:id="97"/>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bCs/>
          <w:color w:val="auto"/>
        </w:rPr>
      </w:pPr>
      <w:bookmarkStart w:id="98" w:name="_Hlk108284207"/>
      <w:bookmarkStart w:id="99" w:name="_Hlk108284145"/>
      <w:r>
        <w:rPr>
          <w:rFonts w:hint="eastAsia" w:ascii="仿宋_GB2312" w:hAnsi="仿宋_GB2312" w:eastAsia="仿宋_GB2312" w:cs="仿宋_GB2312"/>
          <w:bCs/>
          <w:color w:val="auto"/>
        </w:rPr>
        <w:t>街道应急管理委员会接到上级政府或部门的预警信息决定后，应指令街道应急办公室向辖区</w:t>
      </w:r>
      <w:bookmarkStart w:id="100" w:name="_Hlk154013091"/>
      <w:r>
        <w:rPr>
          <w:rFonts w:hint="eastAsia" w:ascii="仿宋_GB2312" w:hAnsi="仿宋_GB2312" w:eastAsia="仿宋_GB2312" w:cs="仿宋_GB2312"/>
          <w:bCs/>
          <w:color w:val="auto"/>
        </w:rPr>
        <w:t>有关的企事业单位、村庄、社区或其他组织</w:t>
      </w:r>
      <w:bookmarkEnd w:id="100"/>
      <w:r>
        <w:rPr>
          <w:rFonts w:hint="eastAsia" w:ascii="仿宋_GB2312" w:hAnsi="仿宋_GB2312" w:eastAsia="仿宋_GB2312" w:cs="仿宋_GB2312"/>
          <w:bCs/>
          <w:color w:val="auto"/>
        </w:rPr>
        <w:t>转发相关预警信息；辖区有关的企事业单位、村庄、社区或其他组织接到火灾事故预警信息后，应按预警信息的要求，做好相关预警准备。</w:t>
      </w:r>
    </w:p>
    <w:bookmarkEnd w:id="98"/>
    <w:bookmarkEnd w:id="99"/>
    <w:p>
      <w:pPr>
        <w:pStyle w:val="4"/>
        <w:overflowPunct w:val="0"/>
        <w:topLinePunct/>
        <w:adjustRightInd w:val="0"/>
        <w:snapToGrid w:val="0"/>
        <w:spacing w:before="0" w:after="0" w:line="360" w:lineRule="auto"/>
        <w:textAlignment w:val="top"/>
        <w:rPr>
          <w:rFonts w:hint="eastAsia" w:ascii="仿宋_GB2312" w:hAnsi="仿宋_GB2312" w:eastAsia="仿宋_GB2312" w:cs="仿宋_GB2312"/>
          <w:color w:val="auto"/>
          <w:sz w:val="28"/>
          <w:szCs w:val="28"/>
        </w:rPr>
      </w:pPr>
      <w:bookmarkStart w:id="101" w:name="_Toc155861798"/>
      <w:bookmarkStart w:id="102" w:name="_Hlk153914494"/>
      <w:r>
        <w:rPr>
          <w:rFonts w:hint="eastAsia" w:ascii="仿宋_GB2312" w:hAnsi="仿宋_GB2312" w:eastAsia="仿宋_GB2312" w:cs="仿宋_GB2312"/>
          <w:color w:val="auto"/>
          <w:sz w:val="28"/>
          <w:szCs w:val="28"/>
        </w:rPr>
        <w:t>4.2.5  预警响应措施</w:t>
      </w:r>
      <w:bookmarkEnd w:id="101"/>
    </w:p>
    <w:bookmarkEnd w:id="102"/>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发布预警信息后，唐王街道应根据预警级别和实际情况以及分级负责的原则，采取下列一项或多项措施。</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1. 加强预报，畅通信息接收渠道，及时收集、报告有关信息。</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2. 加强公众沟通，公布信息接收和咨询电话，向社会公告采取的有关特定措施、避免或减轻危害的建议和劝告等。</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3. 组织应急救援队伍和负有特定职责的人员进入待命状态，动员后备人员做好参加应急处置和救援工作的准备。</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4. 调集应急处置和救援所需物资、设备、工具，准备应急设施和避难场所，并确保其处于良好状态、随时可投入正常使用。</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5. 加强对受影响的学校、幼儿园、医院、养老院、地下空间等重点场所、重要部位和重要基础设施的安全巡查。</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6. 采取必要措施，确保交通、通信、供水、排水、供电、供气、供热等公共设施的安全和正常运行。</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7. 转移、疏散或者撤离易受火灾事故危害的人员，并予以妥善安置，转移重要财产。</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8. 关闭或者限制使用易受火灾事故危害的场所，控制或者限制容易导致危害扩大的公共场所的活动。</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9. 街道和相关部门、单位，应及时组织分析本辖区和本行业可能受到影响的范围、程度等，安排部署有关防范性措施。</w:t>
      </w:r>
    </w:p>
    <w:p>
      <w:pPr>
        <w:pStyle w:val="4"/>
        <w:overflowPunct w:val="0"/>
        <w:topLinePunct/>
        <w:adjustRightInd w:val="0"/>
        <w:snapToGrid w:val="0"/>
        <w:spacing w:before="0" w:after="0" w:line="360" w:lineRule="auto"/>
        <w:textAlignment w:val="top"/>
        <w:rPr>
          <w:rFonts w:hint="eastAsia" w:ascii="仿宋_GB2312" w:hAnsi="仿宋_GB2312" w:eastAsia="仿宋_GB2312" w:cs="仿宋_GB2312"/>
          <w:color w:val="auto"/>
          <w:sz w:val="28"/>
          <w:szCs w:val="28"/>
        </w:rPr>
      </w:pPr>
      <w:bookmarkStart w:id="103" w:name="_Toc155861799"/>
      <w:r>
        <w:rPr>
          <w:rFonts w:hint="eastAsia" w:ascii="仿宋_GB2312" w:hAnsi="仿宋_GB2312" w:eastAsia="仿宋_GB2312" w:cs="仿宋_GB2312"/>
          <w:color w:val="auto"/>
          <w:sz w:val="28"/>
          <w:szCs w:val="28"/>
        </w:rPr>
        <w:t>4.2.6  预警信息解除</w:t>
      </w:r>
      <w:bookmarkEnd w:id="103"/>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当火灾事故的风险已经解除，决定预警信息发布的政府或有关部门宣布解除警报，街道要适时宣布上级部门解除警报的通知，终止预警期，解除已经采取的有关措施。</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街道应急管理委员会（应急指挥部）根据上级政府或部门的预警信息解除决定，指令街道应急办公室，向涉事有关单位村（社区）下达解除通知。</w:t>
      </w:r>
    </w:p>
    <w:p>
      <w:pPr>
        <w:pStyle w:val="3"/>
        <w:overflowPunct w:val="0"/>
        <w:topLinePunct/>
        <w:adjustRightInd w:val="0"/>
        <w:snapToGrid w:val="0"/>
        <w:spacing w:before="0" w:after="0" w:line="360" w:lineRule="auto"/>
        <w:textAlignment w:val="top"/>
        <w:rPr>
          <w:rFonts w:hint="eastAsia" w:ascii="仿宋_GB2312" w:hAnsi="仿宋_GB2312" w:eastAsia="仿宋_GB2312" w:cs="仿宋_GB2312"/>
          <w:color w:val="auto"/>
          <w:sz w:val="36"/>
          <w:szCs w:val="36"/>
        </w:rPr>
      </w:pPr>
      <w:bookmarkStart w:id="104" w:name="_Toc155861800"/>
      <w:bookmarkStart w:id="105" w:name="_Hlk153922242"/>
      <w:r>
        <w:rPr>
          <w:rFonts w:hint="eastAsia" w:ascii="仿宋_GB2312" w:hAnsi="仿宋_GB2312" w:eastAsia="仿宋_GB2312" w:cs="仿宋_GB2312"/>
          <w:color w:val="auto"/>
          <w:sz w:val="30"/>
          <w:szCs w:val="30"/>
        </w:rPr>
        <w:t>4.3  应急处置</w:t>
      </w:r>
      <w:bookmarkEnd w:id="104"/>
    </w:p>
    <w:bookmarkEnd w:id="105"/>
    <w:p>
      <w:pPr>
        <w:pStyle w:val="4"/>
        <w:overflowPunct w:val="0"/>
        <w:topLinePunct/>
        <w:adjustRightInd w:val="0"/>
        <w:snapToGrid w:val="0"/>
        <w:spacing w:before="0" w:after="0" w:line="360" w:lineRule="auto"/>
        <w:textAlignment w:val="top"/>
        <w:rPr>
          <w:rFonts w:hint="eastAsia" w:ascii="仿宋_GB2312" w:hAnsi="仿宋_GB2312" w:eastAsia="仿宋_GB2312" w:cs="仿宋_GB2312"/>
          <w:color w:val="auto"/>
          <w:sz w:val="28"/>
          <w:szCs w:val="28"/>
        </w:rPr>
      </w:pPr>
      <w:bookmarkStart w:id="106" w:name="_Toc155861801"/>
      <w:bookmarkStart w:id="107" w:name="_Hlk153919559"/>
      <w:r>
        <w:rPr>
          <w:rFonts w:hint="eastAsia" w:ascii="仿宋_GB2312" w:hAnsi="仿宋_GB2312" w:eastAsia="仿宋_GB2312" w:cs="仿宋_GB2312"/>
          <w:color w:val="auto"/>
          <w:sz w:val="28"/>
          <w:szCs w:val="28"/>
        </w:rPr>
        <w:t>4.3.1  响应级别划分</w:t>
      </w:r>
      <w:bookmarkEnd w:id="106"/>
    </w:p>
    <w:bookmarkEnd w:id="107"/>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bookmarkStart w:id="108" w:name="_Hlk151928898"/>
      <w:bookmarkStart w:id="109" w:name="_Hlk56684335"/>
      <w:bookmarkStart w:id="110" w:name="_Hlk55057003"/>
      <w:bookmarkStart w:id="111" w:name="_Hlk56681304"/>
      <w:r>
        <w:rPr>
          <w:rFonts w:hint="eastAsia" w:ascii="仿宋_GB2312" w:hAnsi="仿宋_GB2312" w:eastAsia="仿宋_GB2312" w:cs="仿宋_GB2312"/>
          <w:color w:val="auto"/>
        </w:rPr>
        <w:t>根据街道辖区已经发生火灾事故的危害程度，本预案将火灾事故的应急级别划分为一级、二级、三级，一级最高，三级最低。对应的色标分别为红色、黄色、蓝色。</w:t>
      </w:r>
      <w:bookmarkEnd w:id="108"/>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本预案关于火灾事故的响应级别分级情况，如表4.3-1所示。</w:t>
      </w:r>
    </w:p>
    <w:p>
      <w:pPr>
        <w:widowControl/>
        <w:overflowPunct w:val="0"/>
        <w:topLinePunct/>
        <w:adjustRightInd w:val="0"/>
        <w:snapToGrid w:val="0"/>
        <w:spacing w:before="78" w:beforeLines="25" w:after="78" w:afterLines="25"/>
        <w:jc w:val="center"/>
        <w:textAlignment w:val="top"/>
        <w:rPr>
          <w:rFonts w:hint="eastAsia" w:ascii="仿宋_GB2312" w:hAnsi="仿宋_GB2312" w:eastAsia="仿宋_GB2312" w:cs="仿宋_GB2312"/>
          <w:b/>
          <w:bCs/>
          <w:color w:val="auto"/>
          <w:sz w:val="24"/>
          <w:szCs w:val="24"/>
        </w:rPr>
      </w:pPr>
      <w:r>
        <w:rPr>
          <w:rFonts w:hint="eastAsia" w:ascii="仿宋_GB2312" w:hAnsi="仿宋_GB2312" w:eastAsia="仿宋_GB2312" w:cs="仿宋_GB2312"/>
          <w:b/>
          <w:bCs/>
          <w:color w:val="auto"/>
          <w:sz w:val="24"/>
          <w:szCs w:val="24"/>
        </w:rPr>
        <w:t>表4.3-1  本预案不同响应级别情况一览表</w:t>
      </w:r>
    </w:p>
    <w:tbl>
      <w:tblPr>
        <w:tblStyle w:val="29"/>
        <w:tblW w:w="89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7"/>
        <w:gridCol w:w="966"/>
        <w:gridCol w:w="3966"/>
        <w:gridCol w:w="30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017" w:type="dxa"/>
            <w:tcMar>
              <w:top w:w="113" w:type="dxa"/>
              <w:left w:w="57" w:type="dxa"/>
              <w:bottom w:w="113"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响应分级</w:t>
            </w:r>
          </w:p>
        </w:tc>
        <w:tc>
          <w:tcPr>
            <w:tcW w:w="966" w:type="dxa"/>
            <w:tcMar>
              <w:top w:w="113" w:type="dxa"/>
              <w:left w:w="57" w:type="dxa"/>
              <w:bottom w:w="113"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对应色标</w:t>
            </w:r>
          </w:p>
        </w:tc>
        <w:tc>
          <w:tcPr>
            <w:tcW w:w="3966" w:type="dxa"/>
            <w:tcMar>
              <w:top w:w="113" w:type="dxa"/>
              <w:left w:w="57" w:type="dxa"/>
              <w:bottom w:w="113"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响应条件</w:t>
            </w:r>
          </w:p>
        </w:tc>
        <w:tc>
          <w:tcPr>
            <w:tcW w:w="3010" w:type="dxa"/>
            <w:tcMar>
              <w:top w:w="113" w:type="dxa"/>
              <w:left w:w="57" w:type="dxa"/>
              <w:bottom w:w="113"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响应主体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17" w:type="dxa"/>
            <w:tcMar>
              <w:top w:w="113" w:type="dxa"/>
              <w:left w:w="57" w:type="dxa"/>
              <w:bottom w:w="113"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一级</w:t>
            </w:r>
          </w:p>
        </w:tc>
        <w:tc>
          <w:tcPr>
            <w:tcW w:w="966" w:type="dxa"/>
            <w:tcMar>
              <w:top w:w="113" w:type="dxa"/>
              <w:left w:w="57" w:type="dxa"/>
              <w:bottom w:w="113"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红色</w:t>
            </w:r>
          </w:p>
        </w:tc>
        <w:tc>
          <w:tcPr>
            <w:tcW w:w="3966" w:type="dxa"/>
            <w:tcMar>
              <w:top w:w="113" w:type="dxa"/>
              <w:left w:w="57" w:type="dxa"/>
              <w:bottom w:w="113" w:type="dxa"/>
              <w:right w:w="57" w:type="dxa"/>
            </w:tcMar>
            <w:vAlign w:val="center"/>
          </w:tcPr>
          <w:p>
            <w:pPr>
              <w:overflowPunct w:val="0"/>
              <w:topLinePunct/>
              <w:contextualSpacing/>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bCs/>
                <w:color w:val="auto"/>
                <w:kern w:val="0"/>
                <w:sz w:val="21"/>
                <w:szCs w:val="21"/>
              </w:rPr>
              <w:t>5人以上重伤、2人以上死亡，或者直接经济损失500万元以上的事故。</w:t>
            </w:r>
          </w:p>
        </w:tc>
        <w:tc>
          <w:tcPr>
            <w:tcW w:w="3010" w:type="dxa"/>
            <w:tcMar>
              <w:top w:w="113" w:type="dxa"/>
              <w:left w:w="57" w:type="dxa"/>
              <w:bottom w:w="113" w:type="dxa"/>
              <w:right w:w="57" w:type="dxa"/>
            </w:tcMar>
            <w:vAlign w:val="center"/>
          </w:tcPr>
          <w:p>
            <w:pPr>
              <w:overflowPunct w:val="0"/>
              <w:topLinePunct/>
              <w:contextualSpacing/>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区级以上相关政府或部门负责；本街道先期处置及配合处置。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17" w:type="dxa"/>
            <w:tcMar>
              <w:top w:w="113" w:type="dxa"/>
              <w:left w:w="57" w:type="dxa"/>
              <w:bottom w:w="113"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二级</w:t>
            </w:r>
          </w:p>
        </w:tc>
        <w:tc>
          <w:tcPr>
            <w:tcW w:w="966" w:type="dxa"/>
            <w:tcMar>
              <w:top w:w="113" w:type="dxa"/>
              <w:left w:w="57" w:type="dxa"/>
              <w:bottom w:w="113"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黄色</w:t>
            </w:r>
          </w:p>
        </w:tc>
        <w:tc>
          <w:tcPr>
            <w:tcW w:w="3966" w:type="dxa"/>
            <w:tcMar>
              <w:top w:w="113" w:type="dxa"/>
              <w:left w:w="57" w:type="dxa"/>
              <w:bottom w:w="113" w:type="dxa"/>
              <w:right w:w="57" w:type="dxa"/>
            </w:tcMar>
            <w:vAlign w:val="center"/>
          </w:tcPr>
          <w:p>
            <w:pPr>
              <w:overflowPunct w:val="0"/>
              <w:topLinePunct/>
              <w:contextualSpacing/>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5人以下重伤、2人以下死亡，或者直接经济损失500万元以下的事故，</w:t>
            </w:r>
            <w:bookmarkStart w:id="112" w:name="_Hlk154835830"/>
            <w:r>
              <w:rPr>
                <w:rFonts w:hint="eastAsia" w:ascii="仿宋_GB2312" w:hAnsi="仿宋_GB2312" w:eastAsia="仿宋_GB2312" w:cs="仿宋_GB2312"/>
                <w:bCs/>
                <w:color w:val="auto"/>
                <w:kern w:val="0"/>
                <w:sz w:val="21"/>
                <w:szCs w:val="21"/>
              </w:rPr>
              <w:t>且事故单位不能自行处置的。</w:t>
            </w:r>
            <w:bookmarkEnd w:id="112"/>
          </w:p>
        </w:tc>
        <w:tc>
          <w:tcPr>
            <w:tcW w:w="3010" w:type="dxa"/>
            <w:tcMar>
              <w:top w:w="113" w:type="dxa"/>
              <w:left w:w="57" w:type="dxa"/>
              <w:bottom w:w="113"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bCs/>
                <w:color w:val="auto"/>
                <w:kern w:val="0"/>
                <w:sz w:val="21"/>
                <w:szCs w:val="21"/>
              </w:rPr>
              <w:t>街道应急组织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17" w:type="dxa"/>
            <w:tcMar>
              <w:top w:w="113" w:type="dxa"/>
              <w:left w:w="57" w:type="dxa"/>
              <w:bottom w:w="113"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三级</w:t>
            </w:r>
          </w:p>
        </w:tc>
        <w:tc>
          <w:tcPr>
            <w:tcW w:w="966" w:type="dxa"/>
            <w:tcMar>
              <w:top w:w="113" w:type="dxa"/>
              <w:left w:w="57" w:type="dxa"/>
              <w:bottom w:w="113"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蓝色</w:t>
            </w:r>
          </w:p>
        </w:tc>
        <w:tc>
          <w:tcPr>
            <w:tcW w:w="3966" w:type="dxa"/>
            <w:tcMar>
              <w:top w:w="113" w:type="dxa"/>
              <w:left w:w="57" w:type="dxa"/>
              <w:bottom w:w="113" w:type="dxa"/>
              <w:right w:w="57" w:type="dxa"/>
            </w:tcMar>
            <w:vAlign w:val="center"/>
          </w:tcPr>
          <w:p>
            <w:pPr>
              <w:overflowPunct w:val="0"/>
              <w:topLinePunct/>
              <w:contextualSpacing/>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5人以下重伤、2人以下死亡，或者直接经济损失500万元以下的事故，且事故单位能自行处置的。</w:t>
            </w:r>
          </w:p>
        </w:tc>
        <w:tc>
          <w:tcPr>
            <w:tcW w:w="3010" w:type="dxa"/>
            <w:tcMar>
              <w:top w:w="113" w:type="dxa"/>
              <w:left w:w="57" w:type="dxa"/>
              <w:bottom w:w="113" w:type="dxa"/>
              <w:right w:w="57" w:type="dxa"/>
            </w:tcMar>
            <w:vAlign w:val="center"/>
          </w:tcPr>
          <w:p>
            <w:pPr>
              <w:overflowPunct w:val="0"/>
              <w:topLinePunct/>
              <w:contextualSpacing/>
              <w:jc w:val="center"/>
              <w:textAlignment w:val="top"/>
              <w:rPr>
                <w:rFonts w:hint="eastAsia" w:ascii="仿宋_GB2312" w:hAnsi="仿宋_GB2312" w:eastAsia="仿宋_GB2312" w:cs="仿宋_GB2312"/>
                <w:bCs/>
                <w:color w:val="auto"/>
                <w:kern w:val="0"/>
                <w:sz w:val="21"/>
                <w:szCs w:val="21"/>
              </w:rPr>
            </w:pPr>
            <w:r>
              <w:rPr>
                <w:rFonts w:hint="eastAsia" w:ascii="仿宋_GB2312" w:hAnsi="仿宋_GB2312" w:eastAsia="仿宋_GB2312" w:cs="仿宋_GB2312"/>
                <w:bCs/>
                <w:color w:val="auto"/>
                <w:kern w:val="0"/>
                <w:sz w:val="21"/>
                <w:szCs w:val="21"/>
              </w:rPr>
              <w:t>事故单位自行处置；</w:t>
            </w:r>
          </w:p>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bCs/>
                <w:color w:val="auto"/>
                <w:kern w:val="0"/>
                <w:sz w:val="21"/>
                <w:szCs w:val="21"/>
              </w:rPr>
              <w:t>本街道协助处置</w:t>
            </w:r>
          </w:p>
        </w:tc>
      </w:tr>
    </w:tbl>
    <w:p>
      <w:pPr>
        <w:widowControl/>
        <w:overflowPunct w:val="0"/>
        <w:topLinePunct/>
        <w:adjustRightInd w:val="0"/>
        <w:snapToGrid w:val="0"/>
        <w:spacing w:before="78" w:beforeLines="25" w:after="78" w:afterLines="25"/>
        <w:jc w:val="center"/>
        <w:textAlignment w:val="top"/>
        <w:rPr>
          <w:rFonts w:hint="eastAsia" w:ascii="仿宋_GB2312" w:hAnsi="仿宋_GB2312" w:eastAsia="仿宋_GB2312" w:cs="仿宋_GB2312"/>
          <w:b/>
          <w:bCs/>
          <w:color w:val="auto"/>
          <w:sz w:val="24"/>
          <w:szCs w:val="24"/>
        </w:rPr>
      </w:pPr>
    </w:p>
    <w:bookmarkEnd w:id="109"/>
    <w:p>
      <w:pPr>
        <w:pStyle w:val="4"/>
        <w:overflowPunct w:val="0"/>
        <w:topLinePunct/>
        <w:adjustRightInd w:val="0"/>
        <w:snapToGrid w:val="0"/>
        <w:spacing w:before="156" w:beforeLines="50" w:after="0" w:line="360" w:lineRule="auto"/>
        <w:textAlignment w:val="top"/>
        <w:rPr>
          <w:rFonts w:hint="eastAsia" w:ascii="仿宋_GB2312" w:hAnsi="仿宋_GB2312" w:eastAsia="仿宋_GB2312" w:cs="仿宋_GB2312"/>
          <w:color w:val="auto"/>
          <w:sz w:val="28"/>
          <w:szCs w:val="28"/>
        </w:rPr>
      </w:pPr>
      <w:bookmarkStart w:id="113" w:name="_Toc155861802"/>
      <w:r>
        <w:rPr>
          <w:rFonts w:hint="eastAsia" w:ascii="仿宋_GB2312" w:hAnsi="仿宋_GB2312" w:eastAsia="仿宋_GB2312" w:cs="仿宋_GB2312"/>
          <w:color w:val="auto"/>
          <w:sz w:val="28"/>
          <w:szCs w:val="28"/>
        </w:rPr>
        <w:t>4.3.2  响应启动条件</w:t>
      </w:r>
      <w:bookmarkEnd w:id="113"/>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bookmarkStart w:id="114" w:name="_Hlk154616652"/>
      <w:r>
        <w:rPr>
          <w:rFonts w:hint="eastAsia" w:ascii="仿宋_GB2312" w:hAnsi="仿宋_GB2312" w:eastAsia="仿宋_GB2312" w:cs="仿宋_GB2312"/>
          <w:color w:val="auto"/>
        </w:rPr>
        <w:t>一级响应（红色）：发生Ⅰ级火灾事故。</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二级响应（黄色）：发生Ⅱ级火灾事故</w:t>
      </w:r>
      <w:r>
        <w:rPr>
          <w:rFonts w:hint="eastAsia" w:ascii="仿宋_GB2312" w:hAnsi="仿宋_GB2312" w:eastAsia="仿宋_GB2312" w:cs="仿宋_GB2312"/>
          <w:bCs/>
          <w:color w:val="auto"/>
        </w:rPr>
        <w:t>。</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三级响应（蓝色）：发生Ⅲ级火灾事故。</w:t>
      </w:r>
    </w:p>
    <w:bookmarkEnd w:id="114"/>
    <w:p>
      <w:pPr>
        <w:pStyle w:val="4"/>
        <w:overflowPunct w:val="0"/>
        <w:topLinePunct/>
        <w:adjustRightInd w:val="0"/>
        <w:snapToGrid w:val="0"/>
        <w:spacing w:before="0" w:after="0" w:line="360" w:lineRule="auto"/>
        <w:textAlignment w:val="top"/>
        <w:rPr>
          <w:rFonts w:hint="eastAsia" w:ascii="仿宋_GB2312" w:hAnsi="仿宋_GB2312" w:eastAsia="仿宋_GB2312" w:cs="仿宋_GB2312"/>
          <w:color w:val="auto"/>
          <w:sz w:val="28"/>
          <w:szCs w:val="28"/>
        </w:rPr>
      </w:pPr>
      <w:bookmarkStart w:id="115" w:name="_Toc155861803"/>
      <w:r>
        <w:rPr>
          <w:rFonts w:hint="eastAsia" w:ascii="仿宋_GB2312" w:hAnsi="仿宋_GB2312" w:eastAsia="仿宋_GB2312" w:cs="仿宋_GB2312"/>
          <w:color w:val="auto"/>
          <w:sz w:val="28"/>
          <w:szCs w:val="28"/>
        </w:rPr>
        <w:t xml:space="preserve">4.3.3  </w:t>
      </w:r>
      <w:bookmarkStart w:id="116" w:name="_Hlk128322328"/>
      <w:r>
        <w:rPr>
          <w:rFonts w:hint="eastAsia" w:ascii="仿宋_GB2312" w:hAnsi="仿宋_GB2312" w:eastAsia="仿宋_GB2312" w:cs="仿宋_GB2312"/>
          <w:color w:val="auto"/>
          <w:sz w:val="28"/>
          <w:szCs w:val="28"/>
        </w:rPr>
        <w:t>应急响应启动</w:t>
      </w:r>
      <w:bookmarkEnd w:id="115"/>
      <w:bookmarkEnd w:id="116"/>
    </w:p>
    <w:p>
      <w:pPr>
        <w:widowControl/>
        <w:overflowPunct w:val="0"/>
        <w:topLinePunct/>
        <w:adjustRightInd w:val="0"/>
        <w:snapToGrid w:val="0"/>
        <w:spacing w:line="360" w:lineRule="auto"/>
        <w:textAlignment w:val="top"/>
        <w:rPr>
          <w:rFonts w:hint="eastAsia" w:ascii="仿宋_GB2312" w:hAnsi="仿宋_GB2312" w:eastAsia="仿宋_GB2312" w:cs="仿宋_GB2312"/>
          <w:color w:val="auto"/>
        </w:rPr>
      </w:pPr>
      <w:bookmarkStart w:id="117" w:name="_Hlk154630396"/>
      <w:bookmarkStart w:id="118" w:name="_Hlk154630261"/>
      <w:bookmarkStart w:id="119" w:name="_Hlk127775476"/>
      <w:bookmarkStart w:id="120" w:name="_Hlk127775136"/>
      <w:r>
        <w:rPr>
          <w:rFonts w:hint="eastAsia" w:ascii="仿宋_GB2312" w:hAnsi="仿宋_GB2312" w:eastAsia="仿宋_GB2312" w:cs="仿宋_GB2312"/>
          <w:color w:val="auto"/>
        </w:rPr>
        <w:t>4.3.3.1  应急启动主体</w:t>
      </w:r>
    </w:p>
    <w:bookmarkEnd w:id="117"/>
    <w:p>
      <w:pPr>
        <w:widowControl/>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1. 一级响应（红色）</w:t>
      </w:r>
    </w:p>
    <w:p>
      <w:pPr>
        <w:widowControl/>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由区级以上相关政府或部门负责；本街道先期处置及配合处置。</w:t>
      </w:r>
    </w:p>
    <w:p>
      <w:pPr>
        <w:widowControl/>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2. 二级响应（黄色）</w:t>
      </w:r>
    </w:p>
    <w:p>
      <w:pPr>
        <w:widowControl/>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由本街道负责处置；事故单位先期处置及配合处置。</w:t>
      </w:r>
    </w:p>
    <w:p>
      <w:pPr>
        <w:widowControl/>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3. 三级响应（蓝色）</w:t>
      </w:r>
    </w:p>
    <w:p>
      <w:pPr>
        <w:widowControl/>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由事故单位自行处置；本街道根据事故单位申请，协助处置。</w:t>
      </w:r>
    </w:p>
    <w:bookmarkEnd w:id="118"/>
    <w:p>
      <w:pPr>
        <w:widowControl/>
        <w:overflowPunct w:val="0"/>
        <w:topLinePunct/>
        <w:adjustRightInd w:val="0"/>
        <w:snapToGrid w:val="0"/>
        <w:spacing w:line="360" w:lineRule="auto"/>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4.3.3.2  应急响应部署</w:t>
      </w:r>
    </w:p>
    <w:p>
      <w:pPr>
        <w:widowControl/>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街道应急总指挥接到火灾事故报告后，应迅速召集街道应急管理委员会成员开会，确定并部署以下主要事项：</w:t>
      </w:r>
    </w:p>
    <w:p>
      <w:pPr>
        <w:widowControl/>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1. 根据火灾事故的可能后果情况，初步确定应急响应级别；</w:t>
      </w:r>
    </w:p>
    <w:p>
      <w:pPr>
        <w:widowControl/>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2. 确定火灾事故救人及事故处置方案；</w:t>
      </w:r>
    </w:p>
    <w:p>
      <w:pPr>
        <w:widowControl/>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3. 组织各应急小组紧急赶扑现场，按各自的职责进行应急处置；</w:t>
      </w:r>
    </w:p>
    <w:p>
      <w:pPr>
        <w:widowControl/>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4. 需信息上报和信息通报的，在规定时间进行信息上报和信息通报；</w:t>
      </w:r>
    </w:p>
    <w:p>
      <w:pPr>
        <w:widowControl/>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5. 协调街道内有关单位的应急物资调配；</w:t>
      </w:r>
    </w:p>
    <w:p>
      <w:pPr>
        <w:widowControl/>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6. 部署应急资金及其他应急保障事项等。</w:t>
      </w:r>
    </w:p>
    <w:bookmarkEnd w:id="119"/>
    <w:bookmarkEnd w:id="120"/>
    <w:p>
      <w:pPr>
        <w:pStyle w:val="4"/>
        <w:overflowPunct w:val="0"/>
        <w:topLinePunct/>
        <w:adjustRightInd w:val="0"/>
        <w:snapToGrid w:val="0"/>
        <w:spacing w:before="0" w:after="0" w:line="360" w:lineRule="auto"/>
        <w:textAlignment w:val="top"/>
        <w:rPr>
          <w:rFonts w:hint="eastAsia" w:ascii="仿宋_GB2312" w:hAnsi="仿宋_GB2312" w:eastAsia="仿宋_GB2312" w:cs="仿宋_GB2312"/>
          <w:color w:val="auto"/>
          <w:sz w:val="28"/>
          <w:szCs w:val="28"/>
        </w:rPr>
      </w:pPr>
      <w:bookmarkStart w:id="121" w:name="_Toc155861804"/>
      <w:r>
        <w:rPr>
          <w:rFonts w:hint="eastAsia" w:ascii="仿宋_GB2312" w:hAnsi="仿宋_GB2312" w:eastAsia="仿宋_GB2312" w:cs="仿宋_GB2312"/>
          <w:color w:val="auto"/>
          <w:sz w:val="28"/>
          <w:szCs w:val="28"/>
        </w:rPr>
        <w:t xml:space="preserve">4.3.4  </w:t>
      </w:r>
      <w:bookmarkStart w:id="122" w:name="_Hlk108439637"/>
      <w:r>
        <w:rPr>
          <w:rFonts w:hint="eastAsia" w:ascii="仿宋_GB2312" w:hAnsi="仿宋_GB2312" w:eastAsia="仿宋_GB2312" w:cs="仿宋_GB2312"/>
          <w:color w:val="auto"/>
          <w:sz w:val="28"/>
          <w:szCs w:val="28"/>
        </w:rPr>
        <w:t>应急响应流程</w:t>
      </w:r>
      <w:bookmarkEnd w:id="121"/>
      <w:bookmarkEnd w:id="122"/>
    </w:p>
    <w:p>
      <w:pPr>
        <w:widowControl/>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街道火灾事故的应急响应流程，如图4.3-1所示：</w:t>
      </w:r>
    </w:p>
    <w:p>
      <w:pPr>
        <w:widowControl/>
        <w:overflowPunct w:val="0"/>
        <w:topLinePunct/>
        <w:adjustRightInd w:val="0"/>
        <w:snapToGrid w:val="0"/>
        <w:spacing w:line="360" w:lineRule="auto"/>
        <w:jc w:val="center"/>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drawing>
          <wp:inline distT="0" distB="0" distL="0" distR="0">
            <wp:extent cx="5039995" cy="4319905"/>
            <wp:effectExtent l="0" t="0" r="8255" b="4445"/>
            <wp:docPr id="1" name="图片 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8"/>
                    <a:srcRect l="23382" t="19500" r="24656" b="15325"/>
                    <a:stretch>
                      <a:fillRect/>
                    </a:stretch>
                  </pic:blipFill>
                  <pic:spPr>
                    <a:xfrm>
                      <a:off x="0" y="0"/>
                      <a:ext cx="5040000" cy="4320000"/>
                    </a:xfrm>
                    <a:prstGeom prst="rect">
                      <a:avLst/>
                    </a:prstGeom>
                    <a:ln>
                      <a:noFill/>
                    </a:ln>
                  </pic:spPr>
                </pic:pic>
              </a:graphicData>
            </a:graphic>
          </wp:inline>
        </w:drawing>
      </w:r>
    </w:p>
    <w:p>
      <w:pPr>
        <w:widowControl/>
        <w:overflowPunct w:val="0"/>
        <w:topLinePunct/>
        <w:adjustRightInd w:val="0"/>
        <w:snapToGrid w:val="0"/>
        <w:spacing w:after="156" w:afterLines="50" w:line="360" w:lineRule="auto"/>
        <w:jc w:val="center"/>
        <w:textAlignment w:val="top"/>
        <w:rPr>
          <w:rFonts w:hint="eastAsia" w:ascii="仿宋_GB2312" w:hAnsi="仿宋_GB2312" w:eastAsia="仿宋_GB2312" w:cs="仿宋_GB2312"/>
          <w:b/>
          <w:bCs/>
          <w:color w:val="auto"/>
          <w:sz w:val="24"/>
          <w:szCs w:val="24"/>
        </w:rPr>
      </w:pPr>
      <w:r>
        <w:rPr>
          <w:rFonts w:hint="eastAsia" w:ascii="仿宋_GB2312" w:hAnsi="仿宋_GB2312" w:eastAsia="仿宋_GB2312" w:cs="仿宋_GB2312"/>
          <w:b/>
          <w:bCs/>
          <w:color w:val="auto"/>
          <w:sz w:val="24"/>
          <w:szCs w:val="24"/>
        </w:rPr>
        <w:t>图 4.3-1  唐王街道火灾事故应急响应流程图</w:t>
      </w:r>
    </w:p>
    <w:bookmarkEnd w:id="110"/>
    <w:bookmarkEnd w:id="111"/>
    <w:p>
      <w:pPr>
        <w:pStyle w:val="4"/>
        <w:overflowPunct w:val="0"/>
        <w:topLinePunct/>
        <w:adjustRightInd w:val="0"/>
        <w:snapToGrid w:val="0"/>
        <w:spacing w:before="0" w:after="0" w:line="360" w:lineRule="auto"/>
        <w:textAlignment w:val="top"/>
        <w:rPr>
          <w:rFonts w:hint="eastAsia" w:ascii="仿宋_GB2312" w:hAnsi="仿宋_GB2312" w:eastAsia="仿宋_GB2312" w:cs="仿宋_GB2312"/>
          <w:color w:val="auto"/>
          <w:sz w:val="28"/>
          <w:szCs w:val="28"/>
        </w:rPr>
      </w:pPr>
      <w:bookmarkStart w:id="123" w:name="_Toc155861805"/>
      <w:bookmarkStart w:id="124" w:name="_Hlk153921981"/>
      <w:r>
        <w:rPr>
          <w:rFonts w:hint="eastAsia" w:ascii="仿宋_GB2312" w:hAnsi="仿宋_GB2312" w:eastAsia="仿宋_GB2312" w:cs="仿宋_GB2312"/>
          <w:color w:val="auto"/>
          <w:sz w:val="28"/>
          <w:szCs w:val="28"/>
        </w:rPr>
        <w:t>4.3.5  应急处置措施</w:t>
      </w:r>
      <w:bookmarkEnd w:id="123"/>
    </w:p>
    <w:bookmarkEnd w:id="124"/>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火灾事故发生后，街道应急指挥部及其工作组要立即组织调动应急救援队伍和社会力量开展应急处置工作，并视情采取下列措施：</w:t>
      </w:r>
    </w:p>
    <w:p>
      <w:pPr>
        <w:overflowPunct w:val="0"/>
        <w:topLinePunct/>
        <w:adjustRightInd w:val="0"/>
        <w:snapToGrid w:val="0"/>
        <w:spacing w:line="360" w:lineRule="auto"/>
        <w:textAlignment w:val="top"/>
        <w:rPr>
          <w:rFonts w:hint="eastAsia" w:ascii="仿宋_GB2312" w:hAnsi="仿宋_GB2312" w:eastAsia="仿宋_GB2312" w:cs="仿宋_GB2312"/>
          <w:b/>
          <w:bCs/>
          <w:color w:val="auto"/>
        </w:rPr>
      </w:pPr>
      <w:r>
        <w:rPr>
          <w:rFonts w:hint="eastAsia" w:ascii="仿宋_GB2312" w:hAnsi="仿宋_GB2312" w:eastAsia="仿宋_GB2312" w:cs="仿宋_GB2312"/>
          <w:color w:val="auto"/>
        </w:rPr>
        <w:t>4.3.5.1  事故单位应急措施</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事故单位是事故的第一应急响应者，应立即组织做好先期处置工作：</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1. 立即启动相关应急预案，在确保安全的前提下组织抢救遇险人员，控制危险源，封锁危险场所，杜绝盲目施救，防止事态扩大。</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2. 立即下达停产撤人命令，组织现场人员及时、有序撤离到安全地点，减少人员伤亡。</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3. 应及时、如实向当地政府、行业主管部门和应急管理部门报告事故情况，不得瞒报、谎报、迟报、漏报，不得故意破坏事故现场、毁灭证据。</w:t>
      </w:r>
    </w:p>
    <w:p>
      <w:pPr>
        <w:overflowPunct w:val="0"/>
        <w:topLinePunct/>
        <w:adjustRightInd w:val="0"/>
        <w:snapToGrid w:val="0"/>
        <w:spacing w:line="360" w:lineRule="auto"/>
        <w:textAlignment w:val="top"/>
        <w:rPr>
          <w:rFonts w:hint="eastAsia" w:ascii="仿宋_GB2312" w:hAnsi="仿宋_GB2312" w:eastAsia="仿宋_GB2312" w:cs="仿宋_GB2312"/>
          <w:b/>
          <w:bCs/>
          <w:color w:val="auto"/>
        </w:rPr>
      </w:pPr>
      <w:bookmarkStart w:id="125" w:name="_Hlk154838507"/>
      <w:r>
        <w:rPr>
          <w:rFonts w:hint="eastAsia" w:ascii="仿宋_GB2312" w:hAnsi="仿宋_GB2312" w:eastAsia="仿宋_GB2312" w:cs="仿宋_GB2312"/>
          <w:color w:val="auto"/>
        </w:rPr>
        <w:t>4.3.5.2  街道应急措施</w:t>
      </w:r>
    </w:p>
    <w:bookmarkEnd w:id="125"/>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bookmarkStart w:id="126" w:name="_Hlk154840759"/>
      <w:r>
        <w:rPr>
          <w:rFonts w:hint="eastAsia" w:ascii="仿宋_GB2312" w:hAnsi="仿宋_GB2312" w:eastAsia="仿宋_GB2312" w:cs="仿宋_GB2312"/>
          <w:color w:val="auto"/>
        </w:rPr>
        <w:t>1. 主要应急程序</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（1）当启动Ⅰ级响应时，在上一级应急指挥机构到达之前，按照属地管理的原则，街道应启动应急处置程序，进入响应状态，调动应急救援队伍和社会力量，赶赴事故现场，组织事故单位进行先期处置。</w:t>
      </w:r>
    </w:p>
    <w:bookmarkEnd w:id="126"/>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bookmarkStart w:id="127" w:name="_Hlk154840800"/>
      <w:r>
        <w:rPr>
          <w:rFonts w:hint="eastAsia" w:ascii="仿宋_GB2312" w:hAnsi="仿宋_GB2312" w:eastAsia="仿宋_GB2312" w:cs="仿宋_GB2312"/>
          <w:color w:val="auto"/>
        </w:rPr>
        <w:t>（2）当启动Ⅱ级响应时，街道应启动应急处置程序，进入响应状态，调动应急救援队伍和社会力量，赶赴事故现场，组织事故单位进行应急处置。</w:t>
      </w:r>
    </w:p>
    <w:bookmarkEnd w:id="127"/>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（3）当启动Ⅲ级响应时，由事故单位自行进行处置，街道应做好扩大应急准备，当事故单位申请增援时，随时进入响应状态，赶赴现场增援。</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bookmarkStart w:id="128" w:name="_Hlk154841254"/>
      <w:r>
        <w:rPr>
          <w:rFonts w:hint="eastAsia" w:ascii="仿宋_GB2312" w:hAnsi="仿宋_GB2312" w:eastAsia="仿宋_GB2312" w:cs="仿宋_GB2312"/>
          <w:color w:val="auto"/>
        </w:rPr>
        <w:t>2. 现场应急措施</w:t>
      </w:r>
    </w:p>
    <w:bookmarkEnd w:id="128"/>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街道应急组织到达事故现场后，应采取以下应急措施：</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1）根据事故救援需要和现场实际需要划定警戒区域，及时疏散和安置事故可能影响的周边居民和群众，疏导劝离与救援无关的人员，维护现场秩序，确保救援工作高效有序。必要时，对事故现场实行隔离保护，火区灾区入口等重要部位，要实行专人值守，未经指挥部批准，任何人不准进入。对现场周边及有关区域实行交通管制，确保应急救援通道畅通</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（2）了解有关危险因素，明确防范措施，科学组织救援，积极搜救遇险人员。遇到突发情况危及救援人员生命安全时，救援队伍指挥员有权作出处置决定，迅速带领救援人员撤出危险区域，并及时报告指挥部。</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（3）及时上报事故情况和人员伤亡情况，分配救援任务，协调各级各类救援队伍开展救援。</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（4）查明并及时组织力量消除次生灾害，组织抢修公共设施、接收与分配援助物资。</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（5）街道将现场实际情况上报至区应急局，事态超出本街道处置能力时，及时向上级政府或部门请求增援。</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6）对继续救援可能直接威胁救援人员生命安全、极易造成次生衍生事故等情况时，指挥部要组织专家充分论证，作出暂停救援的决定；在事故现场得以控制、导致次生衍生事故隐患消除后，经指挥部组织研究，确认符合继续施救条件时，再行组织施救，直至救援任务完成。</w:t>
      </w:r>
    </w:p>
    <w:p>
      <w:pPr>
        <w:overflowPunct w:val="0"/>
        <w:topLinePunct/>
        <w:adjustRightInd w:val="0"/>
        <w:snapToGrid w:val="0"/>
        <w:spacing w:line="360" w:lineRule="auto"/>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4.3.5.3  医疗卫生救护措施</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街道卫生部门负责组织医疗机构对事故伤亡人员的紧急医疗救护和卫生防疫工作，必要时及时协调有关医护专家、特种药品和特种救治装备增援。卫生和派出所等部门应当积极协助运送伤员，必要时可征用过往车辆。</w:t>
      </w:r>
    </w:p>
    <w:p>
      <w:pPr>
        <w:overflowPunct w:val="0"/>
        <w:topLinePunct/>
        <w:adjustRightInd w:val="0"/>
        <w:snapToGrid w:val="0"/>
        <w:spacing w:line="360" w:lineRule="auto"/>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4.3.5.4  应急救援人员安全防护</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参加现场应急救援的人员，必须按规定着装并佩带明显标识，加强个人安全防护。现场灭火指挥部负责组织采取各种现场安全防护措施，严格执行应急处置人员进出事故现场的管理规定。</w:t>
      </w:r>
    </w:p>
    <w:p>
      <w:pPr>
        <w:overflowPunct w:val="0"/>
        <w:topLinePunct/>
        <w:adjustRightInd w:val="0"/>
        <w:snapToGrid w:val="0"/>
        <w:spacing w:line="360" w:lineRule="auto"/>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4.3.5.5  群众安全防护</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现场抢险救援指挥部根据事故具体情况，明确群众安全防护的必要措施，决定应急状态下群众疏散的范围、方式、程序并组织实施。派出所负责设置事故现场警戒，实施交通管制，疏散现场无关人员，防止事态扩大。</w:t>
      </w:r>
    </w:p>
    <w:p>
      <w:pPr>
        <w:overflowPunct w:val="0"/>
        <w:topLinePunct/>
        <w:adjustRightInd w:val="0"/>
        <w:snapToGrid w:val="0"/>
        <w:spacing w:line="360" w:lineRule="auto"/>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4.3.5.6  火灾事故处置</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1. 初期火灾处置</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发生火灾时，对初期火灾的扑救，现场作业人员应迅速采取如下措施：</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（1）迅速查清着火部位、着火物及来源，利用现有消防设施及灭火器材进行灭火。若火势一时难以扑灭，要采取防止火势蔓延措施，保护要害部位。</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（2）专业消防人员到达火场时应主动及时地向消防指挥人员介绍情况。</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2. 可燃物火灾处置</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（1）发生火灾事故后，应本着人员和救援人员的生命优先、防止事故蔓延优先的原则，根据不同程度、不同类型的火灾事故，及时给予正确处理；当现场情况危及灭火救援人员生命时应立即撤离到安全区。</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（2）用就近的灭火器灭火。</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（3）全力救助伤员，采取隔离、警戒措施，避免无关人员进入危险区域。</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（4）制定灭火方案，合理布置消防和救援力量。</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（5）灭火完毕，立即清理火灾现场。</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3. 电气火灾处置</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（1）电气设施着火，应首先切断供电线路及电气设备电源。</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（2）灭火人员应充分利用现有消防设施进行灭火。</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（3）及时疏散事故现场有关人员，抢救着火源周围的物资。</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（4）电气火灾严禁用水灭火，在不能确定电源是否被切断的情况下，只可用干粉、二氧化碳等灭火剂扑救；不得使用水、泡沫灭火器灭火。</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（5）灭火人员应穿绝缘鞋、戴绝缘手套，防毒面具等措施加强自我保护。</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（）消防队到达后，协同配合消防队灭火抢险。</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4. 现场受伤人员救治</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（1）被救人员衣服着火时，应迅速脱去着火的衣服，伤处的衣、裤、袜等可剪开脱去，不可硬行撕拉，伤处用消毒纱布或干净棉布覆盖，并立即送往医院救治。</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（2）对烧伤面积较大的伤员要注意呼吸，心跳的变化，必要时进行心脏复苏。对有骨折出血的伤员，应作相应的包扎，固定处理。</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（3）抢救受伤严重或在进行抢救伤员的同时，应及时拨打急救中心电话，由医务人员进行现场抢救，并派人接应急救车辆。</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（4）火灾伴有爆炸时，可能因爆炸造成骨折及其他伤害。爆炸造成的创伤急救，原则上是先抢救，后固定，再搬运，并采取措施，防止伤情加重。</w:t>
      </w:r>
    </w:p>
    <w:p>
      <w:pPr>
        <w:overflowPunct w:val="0"/>
        <w:topLinePunct/>
        <w:adjustRightInd w:val="0"/>
        <w:snapToGrid w:val="0"/>
        <w:spacing w:line="360" w:lineRule="auto"/>
        <w:textAlignment w:val="top"/>
        <w:rPr>
          <w:rFonts w:hint="eastAsia" w:ascii="仿宋_GB2312" w:hAnsi="仿宋_GB2312" w:eastAsia="仿宋_GB2312" w:cs="仿宋_GB2312"/>
          <w:color w:val="auto"/>
        </w:rPr>
      </w:pPr>
      <w:bookmarkStart w:id="129" w:name="_Hlk154842589"/>
      <w:r>
        <w:rPr>
          <w:rFonts w:hint="eastAsia" w:ascii="仿宋_GB2312" w:hAnsi="仿宋_GB2312" w:eastAsia="仿宋_GB2312" w:cs="仿宋_GB2312"/>
          <w:color w:val="auto"/>
        </w:rPr>
        <w:t>4.3.5.7  事故信息发布</w:t>
      </w:r>
    </w:p>
    <w:bookmarkEnd w:id="129"/>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信息发布及新闻报道应坚持及时、准确、客观、全面的原则，充分重视并发挥媒体的舆论导向作用，党建工作办公室应配合火灾事故应急指挥部，及时采用授权发布、发新闻稿、接受采访、举行新闻发布会等方式发布信息，组织报道。</w:t>
      </w:r>
    </w:p>
    <w:p>
      <w:pPr>
        <w:pStyle w:val="4"/>
        <w:overflowPunct w:val="0"/>
        <w:topLinePunct/>
        <w:adjustRightInd w:val="0"/>
        <w:snapToGrid w:val="0"/>
        <w:spacing w:before="0" w:after="0" w:line="360" w:lineRule="auto"/>
        <w:textAlignment w:val="top"/>
        <w:rPr>
          <w:rFonts w:hint="eastAsia" w:ascii="仿宋_GB2312" w:hAnsi="仿宋_GB2312" w:eastAsia="仿宋_GB2312" w:cs="仿宋_GB2312"/>
          <w:color w:val="auto"/>
          <w:sz w:val="28"/>
          <w:szCs w:val="28"/>
        </w:rPr>
      </w:pPr>
      <w:bookmarkStart w:id="130" w:name="_Toc154843498"/>
      <w:bookmarkStart w:id="131" w:name="_Toc155861806"/>
      <w:r>
        <w:rPr>
          <w:rFonts w:hint="eastAsia" w:ascii="仿宋_GB2312" w:hAnsi="仿宋_GB2312" w:eastAsia="仿宋_GB2312" w:cs="仿宋_GB2312"/>
          <w:color w:val="auto"/>
          <w:sz w:val="28"/>
          <w:szCs w:val="28"/>
        </w:rPr>
        <w:t>4.3.6  应急处置结束</w:t>
      </w:r>
      <w:bookmarkEnd w:id="130"/>
      <w:bookmarkEnd w:id="131"/>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应急处置结束的条件是：火灾事故的紧急处置工作完成；事故次生灾害的后果基本消除；采取了必要的防范措施。</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达到上述条件，由街道应急指挥部根据上级政府或部门的决定，宣布火灾事故应急处置结束，已采取的应急措施解除，由街道应急办公室负责向灾区有关单位、村（社区）下达火灾事故应急终止的通告。</w:t>
      </w:r>
    </w:p>
    <w:p>
      <w:pPr>
        <w:pStyle w:val="2"/>
        <w:overflowPunct w:val="0"/>
        <w:topLinePunct/>
        <w:adjustRightInd w:val="0"/>
        <w:snapToGrid w:val="0"/>
        <w:spacing w:before="156" w:beforeLines="50" w:after="156" w:afterLines="50" w:line="360" w:lineRule="auto"/>
        <w:jc w:val="center"/>
        <w:textAlignment w:val="top"/>
        <w:rPr>
          <w:rFonts w:hint="eastAsia" w:ascii="仿宋_GB2312" w:hAnsi="仿宋_GB2312" w:eastAsia="仿宋_GB2312" w:cs="仿宋_GB2312"/>
          <w:color w:val="auto"/>
          <w:sz w:val="36"/>
          <w:szCs w:val="36"/>
        </w:rPr>
      </w:pPr>
      <w:bookmarkStart w:id="132" w:name="_Toc155861807"/>
      <w:bookmarkStart w:id="133" w:name="_Hlk153922518"/>
      <w:r>
        <w:rPr>
          <w:rFonts w:hint="eastAsia" w:ascii="仿宋_GB2312" w:hAnsi="仿宋_GB2312" w:eastAsia="仿宋_GB2312" w:cs="仿宋_GB2312"/>
          <w:color w:val="auto"/>
          <w:sz w:val="36"/>
          <w:szCs w:val="36"/>
        </w:rPr>
        <w:t>5  后期处置</w:t>
      </w:r>
      <w:bookmarkEnd w:id="132"/>
    </w:p>
    <w:bookmarkEnd w:id="133"/>
    <w:p>
      <w:pPr>
        <w:pStyle w:val="3"/>
        <w:overflowPunct w:val="0"/>
        <w:topLinePunct/>
        <w:adjustRightInd w:val="0"/>
        <w:snapToGrid w:val="0"/>
        <w:spacing w:before="0" w:after="0" w:line="360" w:lineRule="auto"/>
        <w:textAlignment w:val="top"/>
        <w:rPr>
          <w:rFonts w:hint="eastAsia" w:ascii="仿宋_GB2312" w:hAnsi="仿宋_GB2312" w:eastAsia="仿宋_GB2312" w:cs="仿宋_GB2312"/>
          <w:color w:val="auto"/>
          <w:sz w:val="30"/>
          <w:szCs w:val="30"/>
        </w:rPr>
      </w:pPr>
      <w:bookmarkStart w:id="134" w:name="_Toc155861808"/>
      <w:bookmarkStart w:id="135" w:name="_Hlk153922466"/>
      <w:r>
        <w:rPr>
          <w:rFonts w:hint="eastAsia" w:ascii="仿宋_GB2312" w:hAnsi="仿宋_GB2312" w:eastAsia="仿宋_GB2312" w:cs="仿宋_GB2312"/>
          <w:color w:val="auto"/>
          <w:sz w:val="30"/>
          <w:szCs w:val="30"/>
        </w:rPr>
        <w:t>5.1  善后处理</w:t>
      </w:r>
      <w:bookmarkEnd w:id="134"/>
    </w:p>
    <w:bookmarkEnd w:id="135"/>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善后处理工作在上级政府或部门的统一领导下，由街道办事处和有关部门负责组织实施。</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对火灾事故中的伤亡人员、应急处置工作人员，以及紧急调集、征用有关单位及个人的物资，要按照规定给予抚恤、补助或补偿。</w:t>
      </w:r>
    </w:p>
    <w:p>
      <w:pPr>
        <w:pStyle w:val="3"/>
        <w:overflowPunct w:val="0"/>
        <w:topLinePunct/>
        <w:adjustRightInd w:val="0"/>
        <w:snapToGrid w:val="0"/>
        <w:spacing w:before="0" w:after="0" w:line="360" w:lineRule="auto"/>
        <w:textAlignment w:val="top"/>
        <w:rPr>
          <w:rFonts w:hint="eastAsia" w:ascii="仿宋_GB2312" w:hAnsi="仿宋_GB2312" w:eastAsia="仿宋_GB2312" w:cs="仿宋_GB2312"/>
          <w:color w:val="auto"/>
          <w:sz w:val="30"/>
          <w:szCs w:val="30"/>
        </w:rPr>
      </w:pPr>
      <w:bookmarkStart w:id="136" w:name="_Toc155861809"/>
      <w:r>
        <w:rPr>
          <w:rFonts w:hint="eastAsia" w:ascii="仿宋_GB2312" w:hAnsi="仿宋_GB2312" w:eastAsia="仿宋_GB2312" w:cs="仿宋_GB2312"/>
          <w:color w:val="auto"/>
          <w:sz w:val="30"/>
          <w:szCs w:val="30"/>
        </w:rPr>
        <w:t>5.2  社会救助</w:t>
      </w:r>
      <w:bookmarkEnd w:id="136"/>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1. 街道要建立健全与街道相适应的突发公共事故社会救助制度，鼓励和利用社会资源进行救助，逐步加大社会救助的比重。</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2. </w:t>
      </w:r>
      <w:bookmarkStart w:id="137" w:name="_Hlk154331051"/>
      <w:r>
        <w:rPr>
          <w:rFonts w:hint="eastAsia" w:ascii="仿宋_GB2312" w:hAnsi="仿宋_GB2312" w:eastAsia="仿宋_GB2312" w:cs="仿宋_GB2312"/>
          <w:color w:val="auto"/>
        </w:rPr>
        <w:t>火灾事故发生后，</w:t>
      </w:r>
      <w:bookmarkEnd w:id="137"/>
      <w:r>
        <w:rPr>
          <w:rFonts w:hint="eastAsia" w:ascii="仿宋_GB2312" w:hAnsi="仿宋_GB2312" w:eastAsia="仿宋_GB2312" w:cs="仿宋_GB2312"/>
          <w:color w:val="auto"/>
        </w:rPr>
        <w:t>对因事故导致的无生活来源、无自救能力的灾民，街道政府予以协调解决灾民过渡性生活需求。</w:t>
      </w:r>
    </w:p>
    <w:p>
      <w:pPr>
        <w:pStyle w:val="3"/>
        <w:overflowPunct w:val="0"/>
        <w:topLinePunct/>
        <w:adjustRightInd w:val="0"/>
        <w:snapToGrid w:val="0"/>
        <w:spacing w:before="0" w:after="0" w:line="360" w:lineRule="auto"/>
        <w:textAlignment w:val="top"/>
        <w:rPr>
          <w:rFonts w:hint="eastAsia" w:ascii="仿宋_GB2312" w:hAnsi="仿宋_GB2312" w:eastAsia="仿宋_GB2312" w:cs="仿宋_GB2312"/>
          <w:color w:val="auto"/>
          <w:sz w:val="30"/>
          <w:szCs w:val="30"/>
        </w:rPr>
      </w:pPr>
      <w:bookmarkStart w:id="138" w:name="_Toc155861810"/>
      <w:r>
        <w:rPr>
          <w:rFonts w:hint="eastAsia" w:ascii="仿宋_GB2312" w:hAnsi="仿宋_GB2312" w:eastAsia="仿宋_GB2312" w:cs="仿宋_GB2312"/>
          <w:color w:val="auto"/>
          <w:sz w:val="30"/>
          <w:szCs w:val="30"/>
        </w:rPr>
        <w:t>5.3  保险理赔</w:t>
      </w:r>
      <w:bookmarkEnd w:id="138"/>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火灾事故发生后，街道应急指挥部要积极协调配合保险公司按照保险责任进行给付的各项活动，并配合有关部门做好灾区保险理赔工作。</w:t>
      </w:r>
    </w:p>
    <w:p>
      <w:pPr>
        <w:pStyle w:val="3"/>
        <w:overflowPunct w:val="0"/>
        <w:topLinePunct/>
        <w:adjustRightInd w:val="0"/>
        <w:snapToGrid w:val="0"/>
        <w:spacing w:before="0" w:after="0" w:line="360" w:lineRule="auto"/>
        <w:textAlignment w:val="top"/>
        <w:rPr>
          <w:rFonts w:hint="eastAsia" w:ascii="仿宋_GB2312" w:hAnsi="仿宋_GB2312" w:eastAsia="仿宋_GB2312" w:cs="仿宋_GB2312"/>
          <w:color w:val="auto"/>
          <w:sz w:val="30"/>
          <w:szCs w:val="30"/>
        </w:rPr>
      </w:pPr>
      <w:bookmarkStart w:id="139" w:name="_Toc155861811"/>
      <w:bookmarkStart w:id="140" w:name="_Hlk153922552"/>
      <w:r>
        <w:rPr>
          <w:rFonts w:hint="eastAsia" w:ascii="仿宋_GB2312" w:hAnsi="仿宋_GB2312" w:eastAsia="仿宋_GB2312" w:cs="仿宋_GB2312"/>
          <w:color w:val="auto"/>
          <w:sz w:val="30"/>
          <w:szCs w:val="30"/>
        </w:rPr>
        <w:t>5.4  评估总结</w:t>
      </w:r>
      <w:bookmarkEnd w:id="139"/>
    </w:p>
    <w:bookmarkEnd w:id="140"/>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街道应急指挥部在火灾事故发生后，要积极配合</w:t>
      </w:r>
      <w:bookmarkStart w:id="141" w:name="_Hlk154331592"/>
      <w:r>
        <w:rPr>
          <w:rFonts w:hint="eastAsia" w:ascii="仿宋_GB2312" w:hAnsi="仿宋_GB2312" w:eastAsia="仿宋_GB2312" w:cs="仿宋_GB2312"/>
          <w:color w:val="auto"/>
        </w:rPr>
        <w:t>上级政府或有关部门</w:t>
      </w:r>
      <w:bookmarkEnd w:id="141"/>
      <w:r>
        <w:rPr>
          <w:rFonts w:hint="eastAsia" w:ascii="仿宋_GB2312" w:hAnsi="仿宋_GB2312" w:eastAsia="仿宋_GB2312" w:cs="仿宋_GB2312"/>
          <w:color w:val="auto"/>
        </w:rPr>
        <w:t>的调查，并负责会同有关部门评估火灾事故造成的损失。</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根据</w:t>
      </w:r>
      <w:bookmarkStart w:id="142" w:name="_Hlk154331694"/>
      <w:r>
        <w:rPr>
          <w:rFonts w:hint="eastAsia" w:ascii="仿宋_GB2312" w:hAnsi="仿宋_GB2312" w:eastAsia="仿宋_GB2312" w:cs="仿宋_GB2312"/>
          <w:color w:val="auto"/>
        </w:rPr>
        <w:t>上级政府或有关部门</w:t>
      </w:r>
      <w:bookmarkEnd w:id="142"/>
      <w:r>
        <w:rPr>
          <w:rFonts w:hint="eastAsia" w:ascii="仿宋_GB2312" w:hAnsi="仿宋_GB2312" w:eastAsia="仿宋_GB2312" w:cs="仿宋_GB2312"/>
          <w:color w:val="auto"/>
        </w:rPr>
        <w:t>的要求，向上级政府或有关部门报告火灾事故情况报告。报告的内容包括：火灾事故基本情况、人员伤亡和财产损失、应急处置情况、善后处置情况及采取的措施等。</w:t>
      </w:r>
    </w:p>
    <w:p>
      <w:pPr>
        <w:pStyle w:val="2"/>
        <w:overflowPunct w:val="0"/>
        <w:topLinePunct/>
        <w:adjustRightInd w:val="0"/>
        <w:snapToGrid w:val="0"/>
        <w:spacing w:before="156" w:beforeLines="50" w:after="156" w:afterLines="50" w:line="360" w:lineRule="auto"/>
        <w:jc w:val="center"/>
        <w:textAlignment w:val="top"/>
        <w:rPr>
          <w:rFonts w:hint="eastAsia" w:ascii="仿宋_GB2312" w:hAnsi="仿宋_GB2312" w:eastAsia="仿宋_GB2312" w:cs="仿宋_GB2312"/>
          <w:color w:val="auto"/>
          <w:sz w:val="36"/>
          <w:szCs w:val="36"/>
        </w:rPr>
      </w:pPr>
      <w:bookmarkStart w:id="143" w:name="_Toc155861812"/>
      <w:r>
        <w:rPr>
          <w:rFonts w:hint="eastAsia" w:ascii="仿宋_GB2312" w:hAnsi="仿宋_GB2312" w:eastAsia="仿宋_GB2312" w:cs="仿宋_GB2312"/>
          <w:color w:val="auto"/>
          <w:sz w:val="36"/>
          <w:szCs w:val="36"/>
        </w:rPr>
        <w:t>6  应急保障</w:t>
      </w:r>
      <w:bookmarkEnd w:id="143"/>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街道相关科室应和辖区内各企事业单位、村庄、社区及其他组织，应密切配合，严格履行职责，切实保证应急指挥信息畅通、应急物资充足、技术装备良好、现场救援及时、紧急动员迅速有效，确保应急处置工作顺利开展。</w:t>
      </w:r>
    </w:p>
    <w:p>
      <w:pPr>
        <w:pStyle w:val="3"/>
        <w:overflowPunct w:val="0"/>
        <w:topLinePunct/>
        <w:adjustRightInd w:val="0"/>
        <w:snapToGrid w:val="0"/>
        <w:spacing w:before="0" w:after="0" w:line="360" w:lineRule="auto"/>
        <w:textAlignment w:val="top"/>
        <w:rPr>
          <w:rFonts w:hint="eastAsia" w:ascii="仿宋_GB2312" w:hAnsi="仿宋_GB2312" w:eastAsia="仿宋_GB2312" w:cs="仿宋_GB2312"/>
          <w:color w:val="auto"/>
          <w:sz w:val="30"/>
          <w:szCs w:val="30"/>
        </w:rPr>
      </w:pPr>
      <w:bookmarkStart w:id="144" w:name="_Toc155861813"/>
      <w:bookmarkStart w:id="145" w:name="_Hlk153922864"/>
      <w:bookmarkStart w:id="146" w:name="_Hlk153972659"/>
      <w:r>
        <w:rPr>
          <w:rFonts w:hint="eastAsia" w:ascii="仿宋_GB2312" w:hAnsi="仿宋_GB2312" w:eastAsia="仿宋_GB2312" w:cs="仿宋_GB2312"/>
          <w:color w:val="auto"/>
          <w:sz w:val="30"/>
          <w:szCs w:val="30"/>
        </w:rPr>
        <w:t>6.1  通讯保障</w:t>
      </w:r>
      <w:bookmarkEnd w:id="144"/>
    </w:p>
    <w:bookmarkEnd w:id="145"/>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 </w:t>
      </w:r>
      <w:bookmarkStart w:id="147" w:name="_Hlk153913035"/>
      <w:r>
        <w:rPr>
          <w:rFonts w:hint="eastAsia" w:ascii="仿宋_GB2312" w:hAnsi="仿宋_GB2312" w:eastAsia="仿宋_GB2312" w:cs="仿宋_GB2312"/>
          <w:bCs/>
          <w:color w:val="auto"/>
        </w:rPr>
        <w:t>中国联通唐王营业服务中心</w:t>
      </w:r>
      <w:bookmarkEnd w:id="147"/>
      <w:r>
        <w:rPr>
          <w:rFonts w:hint="eastAsia" w:ascii="仿宋_GB2312" w:hAnsi="仿宋_GB2312" w:eastAsia="仿宋_GB2312" w:cs="仿宋_GB2312"/>
          <w:color w:val="auto"/>
        </w:rPr>
        <w:t>负责牵头做好辖区</w:t>
      </w:r>
      <w:bookmarkStart w:id="148" w:name="_Hlk153966075"/>
      <w:r>
        <w:rPr>
          <w:rFonts w:hint="eastAsia" w:ascii="仿宋_GB2312" w:hAnsi="仿宋_GB2312" w:eastAsia="仿宋_GB2312" w:cs="仿宋_GB2312"/>
          <w:color w:val="auto"/>
        </w:rPr>
        <w:t>内的火灾事故的通信与信息保障工作</w:t>
      </w:r>
      <w:bookmarkEnd w:id="148"/>
      <w:r>
        <w:rPr>
          <w:rFonts w:hint="eastAsia" w:ascii="仿宋_GB2312" w:hAnsi="仿宋_GB2312" w:eastAsia="仿宋_GB2312" w:cs="仿宋_GB2312"/>
          <w:color w:val="auto"/>
        </w:rPr>
        <w:t>，</w:t>
      </w:r>
      <w:bookmarkStart w:id="149" w:name="_Hlk153966316"/>
      <w:r>
        <w:rPr>
          <w:rFonts w:hint="eastAsia" w:ascii="仿宋_GB2312" w:hAnsi="仿宋_GB2312" w:eastAsia="仿宋_GB2312" w:cs="仿宋_GB2312"/>
          <w:color w:val="auto"/>
        </w:rPr>
        <w:t>街道有关部门及辖区内的各企事业单位、村庄、社区</w:t>
      </w:r>
      <w:bookmarkEnd w:id="149"/>
      <w:r>
        <w:rPr>
          <w:rFonts w:hint="eastAsia" w:ascii="仿宋_GB2312" w:hAnsi="仿宋_GB2312" w:eastAsia="仿宋_GB2312" w:cs="仿宋_GB2312"/>
          <w:color w:val="auto"/>
        </w:rPr>
        <w:t>等，应积极配合，做好各自的火灾事故通信与信息保障工作。</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2. 街道有关部门及辖区内的各企事业单位、村庄、社区及其他组织应做好各自单位的单位信息、人员信息、医疗卫生资源信息、建筑物信息、危险品使用和存储信息、特种设备信息、有限空间信息等，以便实现信息共享。</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3. 街道有关部门应与辖区内的各企事业单位、村庄、社区及其他组织建立可靠快捷的通讯方式和分级联系方式，完善稳定、便捷、保密的通信手段，确保火灾事故处理期间信息畅通。</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4. 街道应急指挥部组成人员、街道应急管理办公室组成人员及街道相关科室人员，在火灾事故应急期间，应确保指挥调度畅通，手机、电话、对讲机、网络等信息工具要确保24小时畅通。</w:t>
      </w:r>
    </w:p>
    <w:p>
      <w:pPr>
        <w:pStyle w:val="3"/>
        <w:overflowPunct w:val="0"/>
        <w:topLinePunct/>
        <w:adjustRightInd w:val="0"/>
        <w:snapToGrid w:val="0"/>
        <w:spacing w:before="0" w:after="0" w:line="360" w:lineRule="auto"/>
        <w:textAlignment w:val="top"/>
        <w:rPr>
          <w:rFonts w:hint="eastAsia" w:ascii="仿宋_GB2312" w:hAnsi="仿宋_GB2312" w:eastAsia="仿宋_GB2312" w:cs="仿宋_GB2312"/>
          <w:color w:val="auto"/>
          <w:sz w:val="30"/>
          <w:szCs w:val="30"/>
        </w:rPr>
      </w:pPr>
      <w:bookmarkStart w:id="150" w:name="_Toc155861814"/>
      <w:r>
        <w:rPr>
          <w:rFonts w:hint="eastAsia" w:ascii="仿宋_GB2312" w:hAnsi="仿宋_GB2312" w:eastAsia="仿宋_GB2312" w:cs="仿宋_GB2312"/>
          <w:color w:val="auto"/>
          <w:sz w:val="30"/>
          <w:szCs w:val="30"/>
        </w:rPr>
        <w:t>6.2  队伍保障</w:t>
      </w:r>
      <w:bookmarkEnd w:id="150"/>
    </w:p>
    <w:bookmarkEnd w:id="146"/>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1. 本街道和街道辖区范围内机关单位、企事业单位、村庄、社区、其他组织等，应按照火灾事故应急预案的要求，健全应急机制，加强应急队伍配备，火灾事故发生时，应按照指令迅速到达现场，保障供电、交通运输、医疗保障、人员救助、群众疏散等紧急处置。</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2. 应加强应急救援队伍建设，街道负责组织的应急救援队伍主要包括：由民兵等力量组成的骨干应急救援队伍；依托各级公安消防部队组建的综合应急救援队伍；由街道组建的配备专业装备器材并具备一定专业技术的专业应急救援队伍；由基层组织、企事业单位和社区、村（居）等群众自治组织组建的基层应急救援队伍；由各行业、各领域具备一定专业技术水平专家人才组成的专家应急救援队伍；由共青团、红十字会以及其他组织建立的志愿者应急救援队伍；由事发现场自发组织的自救互救“第一响应人”队伍。</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3. 火灾事故发生后，负责或参与应急处置的指挥机构、相关部门或单位根据火灾事故情况，可调用街道、社区相关专业应急救援队伍。专业应急队伍到达事发现场后，接受专业救援队伍的统一指挥。</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4. 辖区各有关部门、单位，要加强应急救援队伍业务培训和应急演练工作，建立联动协调机制，提供符合要求的安全防护装备，采取必要防护措施，提高应急救援能力；动员社会团体、企事业单位以及志愿者等社会力量参与应急救援工作，发挥其在应对火灾事故中的重要作用。</w:t>
      </w:r>
    </w:p>
    <w:p>
      <w:pPr>
        <w:pStyle w:val="3"/>
        <w:overflowPunct w:val="0"/>
        <w:topLinePunct/>
        <w:adjustRightInd w:val="0"/>
        <w:snapToGrid w:val="0"/>
        <w:spacing w:before="0" w:after="0" w:line="360" w:lineRule="auto"/>
        <w:textAlignment w:val="top"/>
        <w:rPr>
          <w:rFonts w:hint="eastAsia" w:ascii="仿宋_GB2312" w:hAnsi="仿宋_GB2312" w:eastAsia="仿宋_GB2312" w:cs="仿宋_GB2312"/>
          <w:color w:val="auto"/>
          <w:sz w:val="30"/>
          <w:szCs w:val="30"/>
        </w:rPr>
      </w:pPr>
      <w:bookmarkStart w:id="151" w:name="_Toc155861815"/>
      <w:bookmarkStart w:id="152" w:name="_Hlk153972975"/>
      <w:r>
        <w:rPr>
          <w:rFonts w:hint="eastAsia" w:ascii="仿宋_GB2312" w:hAnsi="仿宋_GB2312" w:eastAsia="仿宋_GB2312" w:cs="仿宋_GB2312"/>
          <w:color w:val="auto"/>
          <w:sz w:val="30"/>
          <w:szCs w:val="30"/>
        </w:rPr>
        <w:t>6.3  物资保障</w:t>
      </w:r>
      <w:bookmarkEnd w:id="151"/>
    </w:p>
    <w:bookmarkEnd w:id="152"/>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1. 唐王街道制定应急物资储备规划，并组织实施。街道经济、财务、应急、交通运输、卫健、农业农村和社会发展等部门，应按照职能分工，建立健全唐王街道重要应急物资保障系统。</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2. 唐王街道应根据应急需要，与有关企业签订协议，保障应急救援物资、生活必需品和应急处置装备的生产、供给。鼓励和引导村庄、社区、企业事业单位和家庭，储备基本的应急自救物资和生活必需品。</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3. 同时，要加强应急物资的维护保养，科学规划存放地点，确保装备性能完好，并定期进行检查调试，及时更新补充。</w:t>
      </w:r>
    </w:p>
    <w:p>
      <w:pPr>
        <w:pStyle w:val="3"/>
        <w:overflowPunct w:val="0"/>
        <w:topLinePunct/>
        <w:adjustRightInd w:val="0"/>
        <w:snapToGrid w:val="0"/>
        <w:spacing w:before="0" w:after="0" w:line="360" w:lineRule="auto"/>
        <w:textAlignment w:val="top"/>
        <w:rPr>
          <w:rFonts w:hint="eastAsia" w:ascii="仿宋_GB2312" w:hAnsi="仿宋_GB2312" w:eastAsia="仿宋_GB2312" w:cs="仿宋_GB2312"/>
          <w:color w:val="auto"/>
          <w:sz w:val="30"/>
          <w:szCs w:val="30"/>
        </w:rPr>
      </w:pPr>
      <w:bookmarkStart w:id="153" w:name="_Toc155861816"/>
      <w:r>
        <w:rPr>
          <w:rFonts w:hint="eastAsia" w:ascii="仿宋_GB2312" w:hAnsi="仿宋_GB2312" w:eastAsia="仿宋_GB2312" w:cs="仿宋_GB2312"/>
          <w:color w:val="auto"/>
          <w:sz w:val="30"/>
          <w:szCs w:val="30"/>
        </w:rPr>
        <w:t>6.4  资金保障</w:t>
      </w:r>
      <w:bookmarkEnd w:id="153"/>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1. 街道应将应急预案编制与演练、平台建设、物资储备、培训和宣传教育、救援队伍建设，以及监测与预警等工作所需经费，纳入同级财政预算，并与当地经济社会发展水平相适应，保障火灾事故防范和应对工作所需经费。对受一般火灾事故影响较重的行业、企事业单位和个人，街道有关部门应及时研究提出相应的补偿或救助政策，报街道审批。财政和审计部门，要对火灾事故应急保障资金的使用和效果进行监管和评估，确保应急资金专款专用。</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1. 街道财务部门和各村居、各企事业单位要在一般支出预算中增设火灾事故的应急专项准备资金。鼓励公民、法人单位和其他组织为应对火灾事故的发生提供资金援助。</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2. 发生火灾事故后，各村居、各企事业单位一是根据实际情况，集中资金应对火灾事故的应急处置；二是经街道政府批准启动应急专项准备资金，必要时动用公共财政应急储备资金。</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3. 街道财务部门要按照“急事急办”的原则，当火灾事故发生时，应简化工作程序，凡街道政府批准的拨款事项，要在一个工作日内完成相关手续，确保火灾事故处置工作的顺利进行。</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4. 各级安排的资金必须专款专用，纪委、审计、财政部门要加强对资金使用的管理、监督、确保资金的使用效益。</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5. 鼓励公民、法人或其他组织（包括国际组织）按照《慈善法》、《公益事业捐赠法》等有关法律的规定，为政府应对火灾事故工作提供物资、装备、资金、技术支持和捐赠。引导社会资金参与应急体系项目建设。</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6. 建立健全灾害风险保险体系，鼓励单位和公民参加保险。推行安全生产、环境污染和食品安全责任保险等。各有关部门和单位，应当为专业应急救援人员购买人身意外伤害保险。</w:t>
      </w:r>
    </w:p>
    <w:p>
      <w:pPr>
        <w:pStyle w:val="3"/>
        <w:overflowPunct w:val="0"/>
        <w:topLinePunct/>
        <w:adjustRightInd w:val="0"/>
        <w:snapToGrid w:val="0"/>
        <w:spacing w:before="0" w:after="0" w:line="360" w:lineRule="auto"/>
        <w:textAlignment w:val="top"/>
        <w:rPr>
          <w:rFonts w:hint="eastAsia" w:ascii="仿宋_GB2312" w:hAnsi="仿宋_GB2312" w:eastAsia="仿宋_GB2312" w:cs="仿宋_GB2312"/>
          <w:color w:val="auto"/>
          <w:sz w:val="30"/>
          <w:szCs w:val="30"/>
        </w:rPr>
      </w:pPr>
      <w:bookmarkStart w:id="154" w:name="_Toc155861817"/>
      <w:bookmarkStart w:id="155" w:name="_Hlk153974947"/>
      <w:r>
        <w:rPr>
          <w:rFonts w:hint="eastAsia" w:ascii="仿宋_GB2312" w:hAnsi="仿宋_GB2312" w:eastAsia="仿宋_GB2312" w:cs="仿宋_GB2312"/>
          <w:color w:val="auto"/>
          <w:sz w:val="30"/>
          <w:szCs w:val="30"/>
        </w:rPr>
        <w:t>6.5  治安保障</w:t>
      </w:r>
      <w:bookmarkEnd w:id="154"/>
    </w:p>
    <w:bookmarkEnd w:id="155"/>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1. 火灾事故发生后，街道辖区的公安派出所在街道应急指挥部的指挥下负责治安保障，立即在处置现场周围设立警戒区和警戒哨，做好现场控制、交通管制、疏散救助群众、维护公共秩序等工作。</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2. 火灾事故发生后，</w:t>
      </w:r>
      <w:bookmarkStart w:id="156" w:name="_Hlk154579495"/>
      <w:r>
        <w:rPr>
          <w:rFonts w:hint="eastAsia" w:ascii="仿宋_GB2312" w:hAnsi="仿宋_GB2312" w:eastAsia="仿宋_GB2312" w:cs="仿宋_GB2312"/>
          <w:color w:val="auto"/>
        </w:rPr>
        <w:t>街道辖区的公安派出所</w:t>
      </w:r>
      <w:bookmarkEnd w:id="156"/>
      <w:r>
        <w:rPr>
          <w:rFonts w:hint="eastAsia" w:ascii="仿宋_GB2312" w:hAnsi="仿宋_GB2312" w:eastAsia="仿宋_GB2312" w:cs="仿宋_GB2312"/>
          <w:color w:val="auto"/>
        </w:rPr>
        <w:t>，负责火灾事故现场的治安维护。派出所应制定不同类别、级别火灾事故应急状态下维护治安、交通秩序的行动方案，加强对重点地区、场所、人群、物资设备的安全防护，依法严厉打击违法犯罪活动。必要时，依法采取有效管制措施，控制事态，维护社会秩序。事发地相关单位和个人，应积极主动配合做好治安维护工作。</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3. 各村居、各企事业单位要积极发动和组织社会力量开展自救互救，群防群治，严密防范各种违法犯罪活动，全力维护事发地的社会稳定。</w:t>
      </w:r>
    </w:p>
    <w:p>
      <w:pPr>
        <w:pStyle w:val="3"/>
        <w:overflowPunct w:val="0"/>
        <w:topLinePunct/>
        <w:adjustRightInd w:val="0"/>
        <w:snapToGrid w:val="0"/>
        <w:spacing w:before="0" w:after="0" w:line="360" w:lineRule="auto"/>
        <w:textAlignment w:val="top"/>
        <w:rPr>
          <w:rFonts w:hint="eastAsia" w:ascii="仿宋_GB2312" w:hAnsi="仿宋_GB2312" w:eastAsia="仿宋_GB2312" w:cs="仿宋_GB2312"/>
          <w:color w:val="auto"/>
          <w:sz w:val="30"/>
          <w:szCs w:val="30"/>
        </w:rPr>
      </w:pPr>
      <w:bookmarkStart w:id="157" w:name="_Toc155861818"/>
      <w:r>
        <w:rPr>
          <w:rFonts w:hint="eastAsia" w:ascii="仿宋_GB2312" w:hAnsi="仿宋_GB2312" w:eastAsia="仿宋_GB2312" w:cs="仿宋_GB2312"/>
          <w:color w:val="auto"/>
          <w:sz w:val="30"/>
          <w:szCs w:val="30"/>
        </w:rPr>
        <w:t>6.6  医疗保障</w:t>
      </w:r>
      <w:bookmarkEnd w:id="157"/>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1. 街道卫生院负责牵头做好医疗卫生保障工作。要加强医疗救助体系建设，研究制定适应不同类别火灾事故的应急准备措施，实现应急卫生资源的有机整合，全面提高医疗救助管理和紧急处置能力。</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2. 街道医疗卫生应急专业救援队伍，应提高救治能力，保障医疗资源配备，增强救援能力建设，根据需要，及时赶赴现场，开展医疗救治、疾病预防控制和心理援助等卫生应急工作。</w:t>
      </w:r>
    </w:p>
    <w:p>
      <w:pPr>
        <w:pStyle w:val="3"/>
        <w:overflowPunct w:val="0"/>
        <w:topLinePunct/>
        <w:adjustRightInd w:val="0"/>
        <w:snapToGrid w:val="0"/>
        <w:spacing w:before="0" w:after="0" w:line="360" w:lineRule="auto"/>
        <w:textAlignment w:val="top"/>
        <w:rPr>
          <w:rFonts w:hint="eastAsia" w:ascii="仿宋_GB2312" w:hAnsi="仿宋_GB2312" w:eastAsia="仿宋_GB2312" w:cs="仿宋_GB2312"/>
          <w:color w:val="auto"/>
          <w:sz w:val="30"/>
          <w:szCs w:val="30"/>
        </w:rPr>
      </w:pPr>
      <w:bookmarkStart w:id="158" w:name="_Toc155861819"/>
      <w:r>
        <w:rPr>
          <w:rFonts w:hint="eastAsia" w:ascii="仿宋_GB2312" w:hAnsi="仿宋_GB2312" w:eastAsia="仿宋_GB2312" w:cs="仿宋_GB2312"/>
          <w:color w:val="auto"/>
          <w:sz w:val="30"/>
          <w:szCs w:val="30"/>
        </w:rPr>
        <w:t>6.7  交通保障</w:t>
      </w:r>
      <w:bookmarkEnd w:id="158"/>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1. 街道派出所等部门，负责应急处置交通运输保障的组织实施。建立和完善应急运力协调机制，加强交通应急抢险能力建设。加强应急物流体系建设，开辟应急运输绿色通道，提高人员、物资紧急运输能力。</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2. 整合各类资源，健全紧急运输服务队伍体系。进一步规范社会运力征用程序，完善补偿办法。深化军地合作，实现运输资源优势互补。</w:t>
      </w:r>
    </w:p>
    <w:p>
      <w:pPr>
        <w:pStyle w:val="2"/>
        <w:overflowPunct w:val="0"/>
        <w:topLinePunct/>
        <w:adjustRightInd w:val="0"/>
        <w:snapToGrid w:val="0"/>
        <w:spacing w:before="156" w:beforeLines="50" w:after="156" w:afterLines="50" w:line="360" w:lineRule="auto"/>
        <w:jc w:val="center"/>
        <w:textAlignment w:val="top"/>
        <w:rPr>
          <w:rFonts w:hint="eastAsia" w:ascii="仿宋_GB2312" w:hAnsi="仿宋_GB2312" w:eastAsia="仿宋_GB2312" w:cs="仿宋_GB2312"/>
          <w:color w:val="auto"/>
          <w:sz w:val="36"/>
          <w:szCs w:val="36"/>
        </w:rPr>
      </w:pPr>
      <w:bookmarkStart w:id="159" w:name="_Toc155861820"/>
      <w:bookmarkStart w:id="160" w:name="_Hlk153922831"/>
      <w:r>
        <w:rPr>
          <w:rFonts w:hint="eastAsia" w:ascii="仿宋_GB2312" w:hAnsi="仿宋_GB2312" w:eastAsia="仿宋_GB2312" w:cs="仿宋_GB2312"/>
          <w:color w:val="auto"/>
          <w:sz w:val="36"/>
          <w:szCs w:val="36"/>
        </w:rPr>
        <w:t>7  预案管理</w:t>
      </w:r>
      <w:bookmarkEnd w:id="159"/>
    </w:p>
    <w:bookmarkEnd w:id="160"/>
    <w:p>
      <w:pPr>
        <w:pStyle w:val="3"/>
        <w:overflowPunct w:val="0"/>
        <w:topLinePunct/>
        <w:adjustRightInd w:val="0"/>
        <w:snapToGrid w:val="0"/>
        <w:spacing w:before="0" w:after="0" w:line="360" w:lineRule="auto"/>
        <w:textAlignment w:val="top"/>
        <w:rPr>
          <w:rFonts w:hint="eastAsia" w:ascii="仿宋_GB2312" w:hAnsi="仿宋_GB2312" w:eastAsia="仿宋_GB2312" w:cs="仿宋_GB2312"/>
          <w:color w:val="auto"/>
          <w:sz w:val="30"/>
          <w:szCs w:val="30"/>
        </w:rPr>
      </w:pPr>
      <w:bookmarkStart w:id="161" w:name="_Toc155861821"/>
      <w:bookmarkStart w:id="162" w:name="_Hlk153923009"/>
      <w:r>
        <w:rPr>
          <w:rFonts w:hint="eastAsia" w:ascii="仿宋_GB2312" w:hAnsi="仿宋_GB2312" w:eastAsia="仿宋_GB2312" w:cs="仿宋_GB2312"/>
          <w:color w:val="auto"/>
          <w:sz w:val="30"/>
          <w:szCs w:val="30"/>
        </w:rPr>
        <w:t>7.1  发布实施</w:t>
      </w:r>
      <w:bookmarkEnd w:id="161"/>
    </w:p>
    <w:bookmarkEnd w:id="162"/>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本预案由</w:t>
      </w:r>
      <w:bookmarkStart w:id="163" w:name="_Hlk153965023"/>
      <w:bookmarkStart w:id="164" w:name="_Hlk153912991"/>
      <w:r>
        <w:rPr>
          <w:rFonts w:hint="eastAsia" w:ascii="仿宋_GB2312" w:hAnsi="仿宋_GB2312" w:eastAsia="仿宋_GB2312" w:cs="仿宋_GB2312"/>
          <w:color w:val="auto"/>
        </w:rPr>
        <w:t>济南市历城区唐王街道</w:t>
      </w:r>
      <w:bookmarkEnd w:id="163"/>
      <w:r>
        <w:rPr>
          <w:rFonts w:hint="eastAsia" w:ascii="仿宋_GB2312" w:hAnsi="仿宋_GB2312" w:eastAsia="仿宋_GB2312" w:cs="仿宋_GB2312"/>
          <w:color w:val="auto"/>
        </w:rPr>
        <w:t>应急管理委员会</w:t>
      </w:r>
      <w:bookmarkEnd w:id="164"/>
      <w:r>
        <w:rPr>
          <w:rFonts w:hint="eastAsia" w:ascii="仿宋_GB2312" w:hAnsi="仿宋_GB2312" w:eastAsia="仿宋_GB2312" w:cs="仿宋_GB2312"/>
          <w:color w:val="auto"/>
        </w:rPr>
        <w:t>草拟并负责解释，本预案经</w:t>
      </w:r>
      <w:bookmarkStart w:id="165" w:name="_Hlk153995422"/>
      <w:r>
        <w:rPr>
          <w:rFonts w:hint="eastAsia" w:ascii="仿宋_GB2312" w:hAnsi="仿宋_GB2312" w:eastAsia="仿宋_GB2312" w:cs="仿宋_GB2312"/>
          <w:color w:val="auto"/>
        </w:rPr>
        <w:t>济南市历城区唐王街道应急管理委员会</w:t>
      </w:r>
      <w:bookmarkEnd w:id="165"/>
      <w:r>
        <w:rPr>
          <w:rFonts w:hint="eastAsia" w:ascii="仿宋_GB2312" w:hAnsi="仿宋_GB2312" w:eastAsia="仿宋_GB2312" w:cs="仿宋_GB2312"/>
          <w:color w:val="auto"/>
        </w:rPr>
        <w:t>批准，自发布之日起施行。</w:t>
      </w:r>
    </w:p>
    <w:p>
      <w:pPr>
        <w:pStyle w:val="3"/>
        <w:overflowPunct w:val="0"/>
        <w:topLinePunct/>
        <w:adjustRightInd w:val="0"/>
        <w:snapToGrid w:val="0"/>
        <w:spacing w:before="0" w:after="0" w:line="360" w:lineRule="auto"/>
        <w:textAlignment w:val="top"/>
        <w:rPr>
          <w:rFonts w:hint="eastAsia" w:ascii="仿宋_GB2312" w:hAnsi="仿宋_GB2312" w:eastAsia="仿宋_GB2312" w:cs="仿宋_GB2312"/>
          <w:color w:val="auto"/>
          <w:sz w:val="30"/>
          <w:szCs w:val="30"/>
        </w:rPr>
      </w:pPr>
      <w:bookmarkStart w:id="166" w:name="_Toc155861822"/>
      <w:r>
        <w:rPr>
          <w:rFonts w:hint="eastAsia" w:ascii="仿宋_GB2312" w:hAnsi="仿宋_GB2312" w:eastAsia="仿宋_GB2312" w:cs="仿宋_GB2312"/>
          <w:color w:val="auto"/>
          <w:sz w:val="30"/>
          <w:szCs w:val="30"/>
        </w:rPr>
        <w:t>7.2  宣教培训</w:t>
      </w:r>
      <w:bookmarkEnd w:id="166"/>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 xml:space="preserve">1. </w:t>
      </w:r>
      <w:bookmarkStart w:id="167" w:name="_Hlk153965924"/>
      <w:r>
        <w:rPr>
          <w:rFonts w:hint="eastAsia" w:ascii="仿宋_GB2312" w:hAnsi="仿宋_GB2312" w:eastAsia="仿宋_GB2312" w:cs="仿宋_GB2312"/>
          <w:color w:val="auto"/>
        </w:rPr>
        <w:t>街道辖区内各单位、村庄、社区、企业事业单位等</w:t>
      </w:r>
      <w:bookmarkEnd w:id="167"/>
      <w:r>
        <w:rPr>
          <w:rFonts w:hint="eastAsia" w:ascii="仿宋_GB2312" w:hAnsi="仿宋_GB2312" w:eastAsia="仿宋_GB2312" w:cs="仿宋_GB2312"/>
          <w:color w:val="auto"/>
        </w:rPr>
        <w:t>，应当结合各自实际，通过多种形式，对火灾事故的应急知识进行宣传和培训，增强公众的风险防范意识，提高全社会的避险能力和自救互救能力。</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2. 街道相关科室应组织有关单位，加强火灾事故的宣传与培训工作，通过采取培训班、进企业、进农村、进社区、进学校、进家庭等多种形式，对社会公众进行培训，提高社会公众的森林防火知识。</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3. 学校、幼儿园在教育主管部门指导下，将应急知识教育纳入教学内容，根据学生的年龄和认知能力，采取多种形式开展应急知识教育，培养学生的安全意识和自救互救能力。</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4. 街道及其有关部门应建立健全应急管理培训制度，针对本辖区特点定期开展火灾事故应急预案的教育培训工作。</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5. 利用宣传栏、信息管理系统、网络、媒体、简报等方式开展群众安全教育，重点做好火灾事故的预防工作。</w:t>
      </w:r>
    </w:p>
    <w:p>
      <w:pPr>
        <w:pStyle w:val="3"/>
        <w:overflowPunct w:val="0"/>
        <w:topLinePunct/>
        <w:adjustRightInd w:val="0"/>
        <w:snapToGrid w:val="0"/>
        <w:spacing w:before="0" w:after="0" w:line="360" w:lineRule="auto"/>
        <w:textAlignment w:val="top"/>
        <w:rPr>
          <w:rFonts w:hint="eastAsia" w:ascii="仿宋_GB2312" w:hAnsi="仿宋_GB2312" w:eastAsia="仿宋_GB2312" w:cs="仿宋_GB2312"/>
          <w:color w:val="auto"/>
          <w:sz w:val="30"/>
          <w:szCs w:val="30"/>
        </w:rPr>
      </w:pPr>
      <w:bookmarkStart w:id="168" w:name="_Toc155861823"/>
      <w:bookmarkStart w:id="169" w:name="_Hlk153923065"/>
      <w:r>
        <w:rPr>
          <w:rFonts w:hint="eastAsia" w:ascii="仿宋_GB2312" w:hAnsi="仿宋_GB2312" w:eastAsia="仿宋_GB2312" w:cs="仿宋_GB2312"/>
          <w:color w:val="auto"/>
          <w:sz w:val="30"/>
          <w:szCs w:val="30"/>
        </w:rPr>
        <w:t>7.3  预案演练</w:t>
      </w:r>
      <w:bookmarkEnd w:id="168"/>
    </w:p>
    <w:bookmarkEnd w:id="169"/>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街道相关科室和各单位、村庄、社区，应针对易发生的各类火灾事故，每年定期组织火灾事故预案演练，明确演练的课题、队伍、内容、范围、组织、评估和总结等，通过现场演练、桌面推演等方式，检验预案的实用性、实战性，针对演练中暴露出的问题，采取针对措施，强化应急准备和应急响应能力，切实提高责任人决策处置和群众防灾避险能力。</w:t>
      </w:r>
    </w:p>
    <w:p>
      <w:pPr>
        <w:pStyle w:val="3"/>
        <w:overflowPunct w:val="0"/>
        <w:topLinePunct/>
        <w:adjustRightInd w:val="0"/>
        <w:snapToGrid w:val="0"/>
        <w:spacing w:before="0" w:after="0" w:line="360" w:lineRule="auto"/>
        <w:textAlignment w:val="top"/>
        <w:rPr>
          <w:rFonts w:hint="eastAsia" w:ascii="仿宋_GB2312" w:hAnsi="仿宋_GB2312" w:eastAsia="仿宋_GB2312" w:cs="仿宋_GB2312"/>
          <w:color w:val="auto"/>
          <w:sz w:val="30"/>
          <w:szCs w:val="30"/>
        </w:rPr>
      </w:pPr>
      <w:bookmarkStart w:id="170" w:name="_Toc155861824"/>
      <w:r>
        <w:rPr>
          <w:rFonts w:hint="eastAsia" w:ascii="仿宋_GB2312" w:hAnsi="仿宋_GB2312" w:eastAsia="仿宋_GB2312" w:cs="仿宋_GB2312"/>
          <w:color w:val="auto"/>
          <w:sz w:val="30"/>
          <w:szCs w:val="30"/>
        </w:rPr>
        <w:t>7.4  预案衔接</w:t>
      </w:r>
      <w:bookmarkEnd w:id="170"/>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bookmarkStart w:id="171" w:name="_Hlk153964561"/>
      <w:bookmarkStart w:id="172" w:name="_Hlk153963565"/>
      <w:r>
        <w:rPr>
          <w:rFonts w:hint="eastAsia" w:ascii="仿宋_GB2312" w:hAnsi="仿宋_GB2312" w:eastAsia="仿宋_GB2312" w:cs="仿宋_GB2312"/>
          <w:color w:val="auto"/>
        </w:rPr>
        <w:t>本预案向上衔接《济南市历城区突发事故总体应急预案》，向下衔接街道辖区内各企事业单位编制的应急预案及各社区编制的应急预案。</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p>
    <w:bookmarkEnd w:id="171"/>
    <w:bookmarkEnd w:id="172"/>
    <w:p>
      <w:pPr>
        <w:overflowPunct w:val="0"/>
        <w:topLinePunct/>
        <w:adjustRightInd w:val="0"/>
        <w:snapToGrid w:val="0"/>
        <w:spacing w:line="360" w:lineRule="auto"/>
        <w:textAlignment w:val="top"/>
        <w:rPr>
          <w:rFonts w:hint="eastAsia" w:ascii="仿宋_GB2312" w:hAnsi="仿宋_GB2312" w:eastAsia="仿宋_GB2312" w:cs="仿宋_GB2312"/>
          <w:color w:val="auto"/>
        </w:rPr>
        <w:sectPr>
          <w:footerReference r:id="rId3" w:type="default"/>
          <w:pgSz w:w="11906" w:h="16838"/>
          <w:pgMar w:top="1440" w:right="1418" w:bottom="1440" w:left="1418" w:header="851" w:footer="992" w:gutter="0"/>
          <w:pgNumType w:fmt="decimal" w:start="1"/>
          <w:cols w:space="425" w:num="1"/>
          <w:docGrid w:type="lines" w:linePitch="312" w:charSpace="0"/>
        </w:sectPr>
      </w:pPr>
    </w:p>
    <w:p>
      <w:pPr>
        <w:pStyle w:val="2"/>
        <w:overflowPunct w:val="0"/>
        <w:topLinePunct/>
        <w:adjustRightInd w:val="0"/>
        <w:snapToGrid w:val="0"/>
        <w:spacing w:before="0" w:after="156" w:afterLines="50" w:line="360" w:lineRule="auto"/>
        <w:jc w:val="center"/>
        <w:textAlignment w:val="top"/>
        <w:rPr>
          <w:rFonts w:hint="eastAsia" w:ascii="仿宋_GB2312" w:hAnsi="仿宋_GB2312" w:eastAsia="仿宋_GB2312" w:cs="仿宋_GB2312"/>
          <w:color w:val="auto"/>
          <w:sz w:val="36"/>
          <w:szCs w:val="36"/>
        </w:rPr>
      </w:pPr>
      <w:bookmarkStart w:id="173" w:name="_Toc155861825"/>
      <w:r>
        <w:rPr>
          <w:rFonts w:hint="eastAsia" w:ascii="仿宋_GB2312" w:hAnsi="仿宋_GB2312" w:eastAsia="仿宋_GB2312" w:cs="仿宋_GB2312"/>
          <w:color w:val="auto"/>
          <w:sz w:val="36"/>
          <w:szCs w:val="36"/>
        </w:rPr>
        <w:t>8  附件</w:t>
      </w:r>
      <w:bookmarkEnd w:id="173"/>
    </w:p>
    <w:p>
      <w:pPr>
        <w:pStyle w:val="3"/>
        <w:overflowPunct w:val="0"/>
        <w:topLinePunct/>
        <w:adjustRightInd w:val="0"/>
        <w:snapToGrid w:val="0"/>
        <w:spacing w:before="0" w:after="0" w:line="360" w:lineRule="auto"/>
        <w:textAlignment w:val="top"/>
        <w:rPr>
          <w:rFonts w:hint="eastAsia" w:ascii="仿宋_GB2312" w:hAnsi="仿宋_GB2312" w:eastAsia="仿宋_GB2312" w:cs="仿宋_GB2312"/>
          <w:color w:val="auto"/>
          <w:sz w:val="30"/>
          <w:szCs w:val="30"/>
        </w:rPr>
      </w:pPr>
      <w:bookmarkStart w:id="174" w:name="_Toc154517016"/>
      <w:bookmarkStart w:id="175" w:name="_Toc154514434"/>
      <w:bookmarkStart w:id="176" w:name="_Toc155861826"/>
      <w:bookmarkStart w:id="177" w:name="_Hlk154478398"/>
      <w:r>
        <w:rPr>
          <w:rFonts w:hint="eastAsia" w:ascii="仿宋_GB2312" w:hAnsi="仿宋_GB2312" w:eastAsia="仿宋_GB2312" w:cs="仿宋_GB2312"/>
          <w:color w:val="auto"/>
          <w:sz w:val="30"/>
          <w:szCs w:val="30"/>
        </w:rPr>
        <w:t>8.1  本应急预案格式化文本说明</w:t>
      </w:r>
      <w:bookmarkEnd w:id="174"/>
      <w:bookmarkEnd w:id="175"/>
      <w:bookmarkEnd w:id="176"/>
    </w:p>
    <w:bookmarkEnd w:id="177"/>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本应急预案的格式化文本，统一采用《济南市历城区唐王街道办事处突发事故总体应急预案》附件中的格式化文本。</w:t>
      </w:r>
    </w:p>
    <w:p>
      <w:pPr>
        <w:pStyle w:val="3"/>
        <w:overflowPunct w:val="0"/>
        <w:topLinePunct/>
        <w:adjustRightInd w:val="0"/>
        <w:snapToGrid w:val="0"/>
        <w:spacing w:before="0" w:after="0" w:line="360" w:lineRule="auto"/>
        <w:textAlignment w:val="top"/>
        <w:rPr>
          <w:rFonts w:hint="eastAsia" w:ascii="仿宋_GB2312" w:hAnsi="仿宋_GB2312" w:eastAsia="仿宋_GB2312" w:cs="仿宋_GB2312"/>
          <w:color w:val="auto"/>
          <w:sz w:val="30"/>
          <w:szCs w:val="30"/>
        </w:rPr>
      </w:pPr>
      <w:bookmarkStart w:id="178" w:name="_Toc155861827"/>
      <w:bookmarkStart w:id="179" w:name="_Toc154514439"/>
      <w:bookmarkStart w:id="180" w:name="_Toc154517021"/>
      <w:r>
        <w:rPr>
          <w:rFonts w:hint="eastAsia" w:ascii="仿宋_GB2312" w:hAnsi="仿宋_GB2312" w:eastAsia="仿宋_GB2312" w:cs="仿宋_GB2312"/>
          <w:color w:val="auto"/>
          <w:sz w:val="30"/>
          <w:szCs w:val="30"/>
        </w:rPr>
        <w:t>8.2  应急物资台账</w:t>
      </w:r>
      <w:bookmarkEnd w:id="178"/>
      <w:bookmarkEnd w:id="179"/>
      <w:bookmarkEnd w:id="180"/>
    </w:p>
    <w:p>
      <w:pPr>
        <w:overflowPunct w:val="0"/>
        <w:topLinePunct/>
        <w:adjustRightInd w:val="0"/>
        <w:snapToGrid w:val="0"/>
        <w:spacing w:before="78" w:beforeLines="25" w:after="78" w:afterLines="25"/>
        <w:jc w:val="center"/>
        <w:textAlignment w:val="top"/>
        <w:rPr>
          <w:rFonts w:hint="eastAsia" w:ascii="仿宋_GB2312" w:hAnsi="仿宋_GB2312" w:eastAsia="仿宋_GB2312" w:cs="仿宋_GB2312"/>
          <w:b/>
          <w:bCs/>
          <w:color w:val="auto"/>
          <w:sz w:val="24"/>
          <w:szCs w:val="24"/>
        </w:rPr>
      </w:pPr>
      <w:r>
        <w:rPr>
          <w:rFonts w:hint="eastAsia" w:ascii="仿宋_GB2312" w:hAnsi="仿宋_GB2312" w:eastAsia="仿宋_GB2312" w:cs="仿宋_GB2312"/>
          <w:b/>
          <w:bCs/>
          <w:color w:val="auto"/>
          <w:sz w:val="24"/>
          <w:szCs w:val="24"/>
        </w:rPr>
        <w:t>表 8.2-1  唐王街道应急物资配置情况一览表</w:t>
      </w:r>
    </w:p>
    <w:tbl>
      <w:tblPr>
        <w:tblStyle w:val="20"/>
        <w:tblW w:w="89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2910"/>
        <w:gridCol w:w="1546"/>
        <w:gridCol w:w="1155"/>
        <w:gridCol w:w="20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271" w:type="dxa"/>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序号</w:t>
            </w:r>
          </w:p>
        </w:tc>
        <w:tc>
          <w:tcPr>
            <w:tcW w:w="2910" w:type="dxa"/>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名称</w:t>
            </w:r>
          </w:p>
        </w:tc>
        <w:tc>
          <w:tcPr>
            <w:tcW w:w="1546" w:type="dxa"/>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单位</w:t>
            </w:r>
          </w:p>
        </w:tc>
        <w:tc>
          <w:tcPr>
            <w:tcW w:w="1155" w:type="dxa"/>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数量</w:t>
            </w:r>
          </w:p>
        </w:tc>
        <w:tc>
          <w:tcPr>
            <w:tcW w:w="2077" w:type="dxa"/>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存放地点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一</w:t>
            </w:r>
          </w:p>
        </w:tc>
        <w:tc>
          <w:tcPr>
            <w:tcW w:w="7688" w:type="dxa"/>
            <w:gridSpan w:val="4"/>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现场警戒类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1</w:t>
            </w:r>
          </w:p>
        </w:tc>
        <w:tc>
          <w:tcPr>
            <w:tcW w:w="2910"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警示灯</w:t>
            </w:r>
          </w:p>
        </w:tc>
        <w:tc>
          <w:tcPr>
            <w:tcW w:w="1546"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个</w:t>
            </w:r>
          </w:p>
        </w:tc>
        <w:tc>
          <w:tcPr>
            <w:tcW w:w="1155"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2</w:t>
            </w:r>
          </w:p>
        </w:tc>
        <w:tc>
          <w:tcPr>
            <w:tcW w:w="2077"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街道办应急器材库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2</w:t>
            </w:r>
          </w:p>
        </w:tc>
        <w:tc>
          <w:tcPr>
            <w:tcW w:w="2910"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安全警示带</w:t>
            </w:r>
          </w:p>
        </w:tc>
        <w:tc>
          <w:tcPr>
            <w:tcW w:w="1546"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盘</w:t>
            </w:r>
          </w:p>
        </w:tc>
        <w:tc>
          <w:tcPr>
            <w:tcW w:w="1155"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2</w:t>
            </w:r>
          </w:p>
        </w:tc>
        <w:tc>
          <w:tcPr>
            <w:tcW w:w="2077"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街道办应急器材库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二</w:t>
            </w:r>
          </w:p>
        </w:tc>
        <w:tc>
          <w:tcPr>
            <w:tcW w:w="7688" w:type="dxa"/>
            <w:gridSpan w:val="4"/>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消防类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3</w:t>
            </w:r>
          </w:p>
        </w:tc>
        <w:tc>
          <w:tcPr>
            <w:tcW w:w="2910"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消防头盔</w:t>
            </w:r>
          </w:p>
        </w:tc>
        <w:tc>
          <w:tcPr>
            <w:tcW w:w="1546"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顶</w:t>
            </w:r>
          </w:p>
        </w:tc>
        <w:tc>
          <w:tcPr>
            <w:tcW w:w="1155"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7</w:t>
            </w:r>
          </w:p>
        </w:tc>
        <w:tc>
          <w:tcPr>
            <w:tcW w:w="2077"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街道办应急器材库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4</w:t>
            </w:r>
          </w:p>
        </w:tc>
        <w:tc>
          <w:tcPr>
            <w:tcW w:w="2910"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消防手套</w:t>
            </w:r>
          </w:p>
        </w:tc>
        <w:tc>
          <w:tcPr>
            <w:tcW w:w="1546"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付</w:t>
            </w:r>
          </w:p>
        </w:tc>
        <w:tc>
          <w:tcPr>
            <w:tcW w:w="1155"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7</w:t>
            </w:r>
          </w:p>
        </w:tc>
        <w:tc>
          <w:tcPr>
            <w:tcW w:w="2077"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街道办应急器材库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5</w:t>
            </w:r>
          </w:p>
        </w:tc>
        <w:tc>
          <w:tcPr>
            <w:tcW w:w="2910"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消防靴</w:t>
            </w:r>
          </w:p>
        </w:tc>
        <w:tc>
          <w:tcPr>
            <w:tcW w:w="1546"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双</w:t>
            </w:r>
          </w:p>
        </w:tc>
        <w:tc>
          <w:tcPr>
            <w:tcW w:w="1155"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7</w:t>
            </w:r>
          </w:p>
        </w:tc>
        <w:tc>
          <w:tcPr>
            <w:tcW w:w="2077"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街道办应急器材库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6</w:t>
            </w:r>
          </w:p>
        </w:tc>
        <w:tc>
          <w:tcPr>
            <w:tcW w:w="2910"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避火服</w:t>
            </w:r>
          </w:p>
        </w:tc>
        <w:tc>
          <w:tcPr>
            <w:tcW w:w="1546"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套</w:t>
            </w:r>
          </w:p>
        </w:tc>
        <w:tc>
          <w:tcPr>
            <w:tcW w:w="1155"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7</w:t>
            </w:r>
          </w:p>
        </w:tc>
        <w:tc>
          <w:tcPr>
            <w:tcW w:w="2077"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街道办应急器材库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三</w:t>
            </w:r>
          </w:p>
        </w:tc>
        <w:tc>
          <w:tcPr>
            <w:tcW w:w="7688" w:type="dxa"/>
            <w:gridSpan w:val="4"/>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防高空坠落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7</w:t>
            </w:r>
          </w:p>
        </w:tc>
        <w:tc>
          <w:tcPr>
            <w:tcW w:w="2910"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安全带</w:t>
            </w:r>
          </w:p>
        </w:tc>
        <w:tc>
          <w:tcPr>
            <w:tcW w:w="1546"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根</w:t>
            </w:r>
          </w:p>
        </w:tc>
        <w:tc>
          <w:tcPr>
            <w:tcW w:w="1155"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7</w:t>
            </w:r>
          </w:p>
        </w:tc>
        <w:tc>
          <w:tcPr>
            <w:tcW w:w="2077"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街道办应急器材库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8</w:t>
            </w:r>
          </w:p>
        </w:tc>
        <w:tc>
          <w:tcPr>
            <w:tcW w:w="2910"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救生绳</w:t>
            </w:r>
          </w:p>
        </w:tc>
        <w:tc>
          <w:tcPr>
            <w:tcW w:w="1546"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根</w:t>
            </w:r>
          </w:p>
        </w:tc>
        <w:tc>
          <w:tcPr>
            <w:tcW w:w="1155"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2</w:t>
            </w:r>
          </w:p>
        </w:tc>
        <w:tc>
          <w:tcPr>
            <w:tcW w:w="2077"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街道办应急器材库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四</w:t>
            </w:r>
          </w:p>
        </w:tc>
        <w:tc>
          <w:tcPr>
            <w:tcW w:w="7688" w:type="dxa"/>
            <w:gridSpan w:val="4"/>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通用防护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9</w:t>
            </w:r>
          </w:p>
        </w:tc>
        <w:tc>
          <w:tcPr>
            <w:tcW w:w="2910"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呼吸器</w:t>
            </w:r>
          </w:p>
        </w:tc>
        <w:tc>
          <w:tcPr>
            <w:tcW w:w="1546"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个</w:t>
            </w:r>
          </w:p>
        </w:tc>
        <w:tc>
          <w:tcPr>
            <w:tcW w:w="1155"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3</w:t>
            </w:r>
          </w:p>
        </w:tc>
        <w:tc>
          <w:tcPr>
            <w:tcW w:w="2077"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街道办应急器材库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五</w:t>
            </w:r>
          </w:p>
        </w:tc>
        <w:tc>
          <w:tcPr>
            <w:tcW w:w="7688" w:type="dxa"/>
            <w:gridSpan w:val="4"/>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破拆起重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10</w:t>
            </w:r>
          </w:p>
        </w:tc>
        <w:tc>
          <w:tcPr>
            <w:tcW w:w="2910"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手动破拆工具组</w:t>
            </w:r>
          </w:p>
        </w:tc>
        <w:tc>
          <w:tcPr>
            <w:tcW w:w="1546"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组</w:t>
            </w:r>
          </w:p>
        </w:tc>
        <w:tc>
          <w:tcPr>
            <w:tcW w:w="1155"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1</w:t>
            </w:r>
          </w:p>
        </w:tc>
        <w:tc>
          <w:tcPr>
            <w:tcW w:w="2077"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街道办应急器材库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六</w:t>
            </w:r>
          </w:p>
        </w:tc>
        <w:tc>
          <w:tcPr>
            <w:tcW w:w="7688" w:type="dxa"/>
            <w:gridSpan w:val="4"/>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现场照明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11</w:t>
            </w:r>
          </w:p>
        </w:tc>
        <w:tc>
          <w:tcPr>
            <w:tcW w:w="2910"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手电筒</w:t>
            </w:r>
          </w:p>
        </w:tc>
        <w:tc>
          <w:tcPr>
            <w:tcW w:w="1546"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个</w:t>
            </w:r>
          </w:p>
        </w:tc>
        <w:tc>
          <w:tcPr>
            <w:tcW w:w="1155"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200</w:t>
            </w:r>
          </w:p>
        </w:tc>
        <w:tc>
          <w:tcPr>
            <w:tcW w:w="2077"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街道办应急器材库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七</w:t>
            </w:r>
          </w:p>
        </w:tc>
        <w:tc>
          <w:tcPr>
            <w:tcW w:w="7688" w:type="dxa"/>
            <w:gridSpan w:val="4"/>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通讯类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12</w:t>
            </w:r>
          </w:p>
        </w:tc>
        <w:tc>
          <w:tcPr>
            <w:tcW w:w="2910"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对讲机</w:t>
            </w:r>
          </w:p>
        </w:tc>
        <w:tc>
          <w:tcPr>
            <w:tcW w:w="1546"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个</w:t>
            </w:r>
          </w:p>
        </w:tc>
        <w:tc>
          <w:tcPr>
            <w:tcW w:w="1155"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10</w:t>
            </w:r>
          </w:p>
        </w:tc>
        <w:tc>
          <w:tcPr>
            <w:tcW w:w="2077"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街道办应急器材库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13</w:t>
            </w:r>
          </w:p>
        </w:tc>
        <w:tc>
          <w:tcPr>
            <w:tcW w:w="2910"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手持扩音器</w:t>
            </w:r>
          </w:p>
        </w:tc>
        <w:tc>
          <w:tcPr>
            <w:tcW w:w="1546"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个</w:t>
            </w:r>
          </w:p>
        </w:tc>
        <w:tc>
          <w:tcPr>
            <w:tcW w:w="1155"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1</w:t>
            </w:r>
          </w:p>
        </w:tc>
        <w:tc>
          <w:tcPr>
            <w:tcW w:w="2077"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街道办应急器材库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八</w:t>
            </w:r>
          </w:p>
        </w:tc>
        <w:tc>
          <w:tcPr>
            <w:tcW w:w="7688" w:type="dxa"/>
            <w:gridSpan w:val="4"/>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通用工具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14</w:t>
            </w:r>
          </w:p>
        </w:tc>
        <w:tc>
          <w:tcPr>
            <w:tcW w:w="2910"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斧子</w:t>
            </w:r>
          </w:p>
        </w:tc>
        <w:tc>
          <w:tcPr>
            <w:tcW w:w="1546"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把</w:t>
            </w:r>
          </w:p>
        </w:tc>
        <w:tc>
          <w:tcPr>
            <w:tcW w:w="1155"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1</w:t>
            </w:r>
          </w:p>
        </w:tc>
        <w:tc>
          <w:tcPr>
            <w:tcW w:w="2077"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街道办应急器材库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15</w:t>
            </w:r>
          </w:p>
        </w:tc>
        <w:tc>
          <w:tcPr>
            <w:tcW w:w="2910"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油锯</w:t>
            </w:r>
          </w:p>
        </w:tc>
        <w:tc>
          <w:tcPr>
            <w:tcW w:w="1546"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台</w:t>
            </w:r>
          </w:p>
        </w:tc>
        <w:tc>
          <w:tcPr>
            <w:tcW w:w="1155"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17</w:t>
            </w:r>
          </w:p>
        </w:tc>
        <w:tc>
          <w:tcPr>
            <w:tcW w:w="2077"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街道办应急器材库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16</w:t>
            </w:r>
          </w:p>
        </w:tc>
        <w:tc>
          <w:tcPr>
            <w:tcW w:w="2910"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扳手</w:t>
            </w:r>
          </w:p>
        </w:tc>
        <w:tc>
          <w:tcPr>
            <w:tcW w:w="1546"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把</w:t>
            </w:r>
          </w:p>
        </w:tc>
        <w:tc>
          <w:tcPr>
            <w:tcW w:w="1155"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2</w:t>
            </w:r>
          </w:p>
        </w:tc>
        <w:tc>
          <w:tcPr>
            <w:tcW w:w="2077"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街道办应急器材库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17</w:t>
            </w:r>
          </w:p>
        </w:tc>
        <w:tc>
          <w:tcPr>
            <w:tcW w:w="2910"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铁锹</w:t>
            </w:r>
          </w:p>
        </w:tc>
        <w:tc>
          <w:tcPr>
            <w:tcW w:w="1546"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把</w:t>
            </w:r>
          </w:p>
        </w:tc>
        <w:tc>
          <w:tcPr>
            <w:tcW w:w="1155"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100</w:t>
            </w:r>
          </w:p>
        </w:tc>
        <w:tc>
          <w:tcPr>
            <w:tcW w:w="2077"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街道办应急器材库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18</w:t>
            </w:r>
          </w:p>
        </w:tc>
        <w:tc>
          <w:tcPr>
            <w:tcW w:w="2910"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断线钳</w:t>
            </w:r>
          </w:p>
        </w:tc>
        <w:tc>
          <w:tcPr>
            <w:tcW w:w="1546"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把</w:t>
            </w:r>
          </w:p>
        </w:tc>
        <w:tc>
          <w:tcPr>
            <w:tcW w:w="1155"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1</w:t>
            </w:r>
          </w:p>
        </w:tc>
        <w:tc>
          <w:tcPr>
            <w:tcW w:w="2077"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街道办应急器材库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九</w:t>
            </w:r>
          </w:p>
        </w:tc>
        <w:tc>
          <w:tcPr>
            <w:tcW w:w="7688" w:type="dxa"/>
            <w:gridSpan w:val="4"/>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攀高营救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19</w:t>
            </w:r>
          </w:p>
        </w:tc>
        <w:tc>
          <w:tcPr>
            <w:tcW w:w="2910"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单杠梯</w:t>
            </w:r>
          </w:p>
        </w:tc>
        <w:tc>
          <w:tcPr>
            <w:tcW w:w="1546"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个</w:t>
            </w:r>
          </w:p>
        </w:tc>
        <w:tc>
          <w:tcPr>
            <w:tcW w:w="1155"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1</w:t>
            </w:r>
          </w:p>
        </w:tc>
        <w:tc>
          <w:tcPr>
            <w:tcW w:w="2077"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街道办应急器材库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20</w:t>
            </w:r>
          </w:p>
        </w:tc>
        <w:tc>
          <w:tcPr>
            <w:tcW w:w="2910"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两节拉梯</w:t>
            </w:r>
          </w:p>
        </w:tc>
        <w:tc>
          <w:tcPr>
            <w:tcW w:w="1546"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个</w:t>
            </w:r>
          </w:p>
        </w:tc>
        <w:tc>
          <w:tcPr>
            <w:tcW w:w="1155"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1</w:t>
            </w:r>
          </w:p>
        </w:tc>
        <w:tc>
          <w:tcPr>
            <w:tcW w:w="2077"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街道办应急器材库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十</w:t>
            </w:r>
          </w:p>
        </w:tc>
        <w:tc>
          <w:tcPr>
            <w:tcW w:w="7688" w:type="dxa"/>
            <w:gridSpan w:val="4"/>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火灾处理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21</w:t>
            </w:r>
          </w:p>
        </w:tc>
        <w:tc>
          <w:tcPr>
            <w:tcW w:w="2910"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消防车</w:t>
            </w:r>
          </w:p>
        </w:tc>
        <w:tc>
          <w:tcPr>
            <w:tcW w:w="1546"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辆</w:t>
            </w:r>
          </w:p>
        </w:tc>
        <w:tc>
          <w:tcPr>
            <w:tcW w:w="1155"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1</w:t>
            </w:r>
          </w:p>
        </w:tc>
        <w:tc>
          <w:tcPr>
            <w:tcW w:w="2077"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街道办应急器材库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22</w:t>
            </w:r>
          </w:p>
        </w:tc>
        <w:tc>
          <w:tcPr>
            <w:tcW w:w="2910"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灭火器</w:t>
            </w:r>
          </w:p>
        </w:tc>
        <w:tc>
          <w:tcPr>
            <w:tcW w:w="1546"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具</w:t>
            </w:r>
          </w:p>
        </w:tc>
        <w:tc>
          <w:tcPr>
            <w:tcW w:w="1155"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30</w:t>
            </w:r>
          </w:p>
        </w:tc>
        <w:tc>
          <w:tcPr>
            <w:tcW w:w="2077"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街道办应急器材库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十一</w:t>
            </w:r>
          </w:p>
        </w:tc>
        <w:tc>
          <w:tcPr>
            <w:tcW w:w="7688" w:type="dxa"/>
            <w:gridSpan w:val="4"/>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通用防护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23</w:t>
            </w:r>
          </w:p>
        </w:tc>
        <w:tc>
          <w:tcPr>
            <w:tcW w:w="2910"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雨衣</w:t>
            </w:r>
          </w:p>
        </w:tc>
        <w:tc>
          <w:tcPr>
            <w:tcW w:w="1546"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套</w:t>
            </w:r>
          </w:p>
        </w:tc>
        <w:tc>
          <w:tcPr>
            <w:tcW w:w="1155"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200</w:t>
            </w:r>
          </w:p>
        </w:tc>
        <w:tc>
          <w:tcPr>
            <w:tcW w:w="2077"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街道办应急器材库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24</w:t>
            </w:r>
          </w:p>
        </w:tc>
        <w:tc>
          <w:tcPr>
            <w:tcW w:w="2910"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水靴</w:t>
            </w:r>
          </w:p>
        </w:tc>
        <w:tc>
          <w:tcPr>
            <w:tcW w:w="1546"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双</w:t>
            </w:r>
          </w:p>
        </w:tc>
        <w:tc>
          <w:tcPr>
            <w:tcW w:w="1155"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200</w:t>
            </w:r>
          </w:p>
        </w:tc>
        <w:tc>
          <w:tcPr>
            <w:tcW w:w="2077"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街道办应急器材库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25</w:t>
            </w:r>
          </w:p>
        </w:tc>
        <w:tc>
          <w:tcPr>
            <w:tcW w:w="2910"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救生衣</w:t>
            </w:r>
          </w:p>
        </w:tc>
        <w:tc>
          <w:tcPr>
            <w:tcW w:w="1546"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件</w:t>
            </w:r>
          </w:p>
        </w:tc>
        <w:tc>
          <w:tcPr>
            <w:tcW w:w="1155"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100</w:t>
            </w:r>
          </w:p>
        </w:tc>
        <w:tc>
          <w:tcPr>
            <w:tcW w:w="2077"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街道办应急器材库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26</w:t>
            </w:r>
          </w:p>
        </w:tc>
        <w:tc>
          <w:tcPr>
            <w:tcW w:w="2910"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自吸式离心泵</w:t>
            </w:r>
          </w:p>
        </w:tc>
        <w:tc>
          <w:tcPr>
            <w:tcW w:w="1546"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台</w:t>
            </w:r>
          </w:p>
        </w:tc>
        <w:tc>
          <w:tcPr>
            <w:tcW w:w="1155"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5</w:t>
            </w:r>
          </w:p>
        </w:tc>
        <w:tc>
          <w:tcPr>
            <w:tcW w:w="2077"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街道办应急器材库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十二</w:t>
            </w:r>
          </w:p>
        </w:tc>
        <w:tc>
          <w:tcPr>
            <w:tcW w:w="7688" w:type="dxa"/>
            <w:gridSpan w:val="4"/>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应急动力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27</w:t>
            </w:r>
          </w:p>
        </w:tc>
        <w:tc>
          <w:tcPr>
            <w:tcW w:w="2910"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汽油发电机</w:t>
            </w:r>
          </w:p>
        </w:tc>
        <w:tc>
          <w:tcPr>
            <w:tcW w:w="1546"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台</w:t>
            </w:r>
          </w:p>
        </w:tc>
        <w:tc>
          <w:tcPr>
            <w:tcW w:w="1155"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3</w:t>
            </w:r>
          </w:p>
        </w:tc>
        <w:tc>
          <w:tcPr>
            <w:tcW w:w="2077"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街道办应急器材库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十三</w:t>
            </w:r>
          </w:p>
        </w:tc>
        <w:tc>
          <w:tcPr>
            <w:tcW w:w="7688" w:type="dxa"/>
            <w:gridSpan w:val="4"/>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防洪排涝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28</w:t>
            </w:r>
          </w:p>
        </w:tc>
        <w:tc>
          <w:tcPr>
            <w:tcW w:w="2910"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编织袋</w:t>
            </w:r>
          </w:p>
        </w:tc>
        <w:tc>
          <w:tcPr>
            <w:tcW w:w="1546"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个</w:t>
            </w:r>
          </w:p>
        </w:tc>
        <w:tc>
          <w:tcPr>
            <w:tcW w:w="1155"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1000</w:t>
            </w:r>
          </w:p>
        </w:tc>
        <w:tc>
          <w:tcPr>
            <w:tcW w:w="2077"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街道办应急器材库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十四</w:t>
            </w:r>
          </w:p>
        </w:tc>
        <w:tc>
          <w:tcPr>
            <w:tcW w:w="7688" w:type="dxa"/>
            <w:gridSpan w:val="4"/>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卫生防疫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29</w:t>
            </w:r>
          </w:p>
        </w:tc>
        <w:tc>
          <w:tcPr>
            <w:tcW w:w="2910"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口罩</w:t>
            </w:r>
          </w:p>
        </w:tc>
        <w:tc>
          <w:tcPr>
            <w:tcW w:w="1546"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个</w:t>
            </w:r>
          </w:p>
        </w:tc>
        <w:tc>
          <w:tcPr>
            <w:tcW w:w="1155"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77</w:t>
            </w:r>
          </w:p>
        </w:tc>
        <w:tc>
          <w:tcPr>
            <w:tcW w:w="2077"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街道办应急器材库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30</w:t>
            </w:r>
          </w:p>
        </w:tc>
        <w:tc>
          <w:tcPr>
            <w:tcW w:w="2910"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防护服</w:t>
            </w:r>
          </w:p>
        </w:tc>
        <w:tc>
          <w:tcPr>
            <w:tcW w:w="1546"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套</w:t>
            </w:r>
          </w:p>
        </w:tc>
        <w:tc>
          <w:tcPr>
            <w:tcW w:w="1155"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511</w:t>
            </w:r>
          </w:p>
        </w:tc>
        <w:tc>
          <w:tcPr>
            <w:tcW w:w="2077"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街道办应急器材库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31</w:t>
            </w:r>
          </w:p>
        </w:tc>
        <w:tc>
          <w:tcPr>
            <w:tcW w:w="2910"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面罩</w:t>
            </w:r>
          </w:p>
        </w:tc>
        <w:tc>
          <w:tcPr>
            <w:tcW w:w="1546"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个</w:t>
            </w:r>
          </w:p>
        </w:tc>
        <w:tc>
          <w:tcPr>
            <w:tcW w:w="1155"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28</w:t>
            </w:r>
          </w:p>
        </w:tc>
        <w:tc>
          <w:tcPr>
            <w:tcW w:w="2077"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街道办应急器材库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32</w:t>
            </w:r>
          </w:p>
        </w:tc>
        <w:tc>
          <w:tcPr>
            <w:tcW w:w="2910"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手套</w:t>
            </w:r>
          </w:p>
        </w:tc>
        <w:tc>
          <w:tcPr>
            <w:tcW w:w="1546"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付</w:t>
            </w:r>
          </w:p>
        </w:tc>
        <w:tc>
          <w:tcPr>
            <w:tcW w:w="1155"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306</w:t>
            </w:r>
          </w:p>
        </w:tc>
        <w:tc>
          <w:tcPr>
            <w:tcW w:w="2077"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街道办应急器材库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33</w:t>
            </w:r>
          </w:p>
        </w:tc>
        <w:tc>
          <w:tcPr>
            <w:tcW w:w="2910"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橡胶大手套</w:t>
            </w:r>
          </w:p>
        </w:tc>
        <w:tc>
          <w:tcPr>
            <w:tcW w:w="1546"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付</w:t>
            </w:r>
          </w:p>
        </w:tc>
        <w:tc>
          <w:tcPr>
            <w:tcW w:w="1155"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198</w:t>
            </w:r>
          </w:p>
        </w:tc>
        <w:tc>
          <w:tcPr>
            <w:tcW w:w="2077" w:type="dxa"/>
            <w:tcBorders>
              <w:top w:val="single" w:color="000000" w:sz="4" w:space="0"/>
              <w:left w:val="single" w:color="000000" w:sz="4" w:space="0"/>
              <w:bottom w:val="single" w:color="000000" w:sz="4" w:space="0"/>
              <w:right w:val="single" w:color="000000" w:sz="4" w:space="0"/>
            </w:tcBorders>
            <w:tcMar>
              <w:top w:w="85" w:type="dxa"/>
              <w:left w:w="57" w:type="dxa"/>
              <w:bottom w:w="85" w:type="dxa"/>
              <w:right w:w="57"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街道办应急器材库</w:t>
            </w:r>
          </w:p>
        </w:tc>
      </w:tr>
    </w:tbl>
    <w:p>
      <w:pPr>
        <w:pStyle w:val="3"/>
        <w:overflowPunct w:val="0"/>
        <w:topLinePunct/>
        <w:adjustRightInd w:val="0"/>
        <w:snapToGrid w:val="0"/>
        <w:spacing w:before="312" w:beforeLines="100" w:after="0" w:line="360" w:lineRule="auto"/>
        <w:textAlignment w:val="top"/>
        <w:rPr>
          <w:rFonts w:hint="eastAsia" w:ascii="仿宋_GB2312" w:hAnsi="仿宋_GB2312" w:eastAsia="仿宋_GB2312" w:cs="仿宋_GB2312"/>
          <w:color w:val="auto"/>
          <w:sz w:val="30"/>
          <w:szCs w:val="30"/>
        </w:rPr>
      </w:pPr>
      <w:bookmarkStart w:id="181" w:name="_Toc155861828"/>
      <w:bookmarkStart w:id="182" w:name="_Toc154517022"/>
      <w:bookmarkStart w:id="183" w:name="_Toc154514440"/>
      <w:bookmarkStart w:id="184" w:name="_Hlk154496875"/>
      <w:r>
        <w:rPr>
          <w:rFonts w:hint="eastAsia" w:ascii="仿宋_GB2312" w:hAnsi="仿宋_GB2312" w:eastAsia="仿宋_GB2312" w:cs="仿宋_GB2312"/>
          <w:color w:val="auto"/>
          <w:sz w:val="30"/>
          <w:szCs w:val="30"/>
        </w:rPr>
        <w:t>8.3  外部救援电话</w:t>
      </w:r>
      <w:bookmarkEnd w:id="181"/>
      <w:bookmarkEnd w:id="182"/>
      <w:bookmarkEnd w:id="183"/>
    </w:p>
    <w:bookmarkEnd w:id="184"/>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济南市环保应急电话：12369</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市天气预报电话：121</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历城区应急管理局：0531-88066006</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历城区环保局：0531-88065337</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历城区公安局：0531-88902987</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历城区人民政府应急办：0531-88788079</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历城区人民医院：0531-58673292</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济南市应急管理局：0531-66608400</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济南市应急管理局危化处：0531-66608351</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济南市应急管理局应急指挥中心：0531-66608361</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济南市职业病防治医院：0531-88920967</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火警电话：119</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急救电话：120</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交通电话：122</w:t>
      </w:r>
    </w:p>
    <w:p>
      <w:pPr>
        <w:overflowPunct w:val="0"/>
        <w:topLinePunct/>
        <w:adjustRightInd w:val="0"/>
        <w:snapToGrid w:val="0"/>
        <w:spacing w:line="360" w:lineRule="auto"/>
        <w:ind w:firstLine="560" w:firstLineChars="200"/>
        <w:textAlignment w:val="top"/>
        <w:rPr>
          <w:rFonts w:hint="eastAsia" w:ascii="仿宋_GB2312" w:hAnsi="仿宋_GB2312" w:eastAsia="仿宋_GB2312" w:cs="仿宋_GB2312"/>
          <w:color w:val="auto"/>
        </w:rPr>
      </w:pPr>
      <w:r>
        <w:rPr>
          <w:rFonts w:hint="eastAsia" w:ascii="仿宋_GB2312" w:hAnsi="仿宋_GB2312" w:eastAsia="仿宋_GB2312" w:cs="仿宋_GB2312"/>
          <w:color w:val="auto"/>
        </w:rPr>
        <w:t>治安刑事案件报警电话：110</w:t>
      </w:r>
    </w:p>
    <w:p>
      <w:pPr>
        <w:pStyle w:val="3"/>
        <w:overflowPunct w:val="0"/>
        <w:topLinePunct/>
        <w:adjustRightInd w:val="0"/>
        <w:snapToGrid w:val="0"/>
        <w:spacing w:before="0" w:after="0" w:line="360" w:lineRule="auto"/>
        <w:textAlignment w:val="top"/>
        <w:rPr>
          <w:rFonts w:hint="eastAsia" w:ascii="仿宋_GB2312" w:hAnsi="仿宋_GB2312" w:eastAsia="仿宋_GB2312" w:cs="仿宋_GB2312"/>
          <w:color w:val="auto"/>
          <w:sz w:val="30"/>
          <w:szCs w:val="30"/>
        </w:rPr>
      </w:pPr>
      <w:bookmarkStart w:id="185" w:name="_Toc154514441"/>
      <w:bookmarkStart w:id="186" w:name="_Toc154517023"/>
      <w:bookmarkStart w:id="187" w:name="_Toc155861829"/>
      <w:r>
        <w:rPr>
          <w:rFonts w:hint="eastAsia" w:ascii="仿宋_GB2312" w:hAnsi="仿宋_GB2312" w:eastAsia="仿宋_GB2312" w:cs="仿宋_GB2312"/>
          <w:color w:val="auto"/>
          <w:sz w:val="30"/>
          <w:szCs w:val="30"/>
        </w:rPr>
        <w:t>8.4  本街道应急指挥部人员</w:t>
      </w:r>
      <w:bookmarkEnd w:id="185"/>
      <w:bookmarkEnd w:id="186"/>
      <w:bookmarkEnd w:id="187"/>
    </w:p>
    <w:p>
      <w:pPr>
        <w:overflowPunct w:val="0"/>
        <w:topLinePunct/>
        <w:adjustRightInd w:val="0"/>
        <w:snapToGrid w:val="0"/>
        <w:spacing w:before="78" w:beforeLines="25" w:after="78" w:afterLines="25"/>
        <w:jc w:val="center"/>
        <w:textAlignment w:val="top"/>
        <w:rPr>
          <w:rFonts w:hint="eastAsia" w:ascii="仿宋_GB2312" w:hAnsi="仿宋_GB2312" w:eastAsia="仿宋_GB2312" w:cs="仿宋_GB2312"/>
          <w:b/>
          <w:color w:val="auto"/>
        </w:rPr>
      </w:pPr>
      <w:r>
        <w:rPr>
          <w:rFonts w:hint="eastAsia" w:ascii="仿宋_GB2312" w:hAnsi="仿宋_GB2312" w:eastAsia="仿宋_GB2312" w:cs="仿宋_GB2312"/>
          <w:b/>
          <w:color w:val="auto"/>
        </w:rPr>
        <w:t>表 8.4-1  唐王街道应急管理委员会</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5"/>
        <w:gridCol w:w="1842"/>
        <w:gridCol w:w="4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555"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应急职务</w:t>
            </w:r>
          </w:p>
        </w:tc>
        <w:tc>
          <w:tcPr>
            <w:tcW w:w="184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姓名</w:t>
            </w:r>
          </w:p>
        </w:tc>
        <w:tc>
          <w:tcPr>
            <w:tcW w:w="483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现有职务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主  任</w:t>
            </w:r>
          </w:p>
        </w:tc>
        <w:tc>
          <w:tcPr>
            <w:tcW w:w="184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王  勇</w:t>
            </w:r>
          </w:p>
        </w:tc>
        <w:tc>
          <w:tcPr>
            <w:tcW w:w="483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党工委副书记、主任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副主任</w:t>
            </w:r>
          </w:p>
        </w:tc>
        <w:tc>
          <w:tcPr>
            <w:tcW w:w="184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刘  波</w:t>
            </w:r>
          </w:p>
        </w:tc>
        <w:tc>
          <w:tcPr>
            <w:tcW w:w="483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党工委副书记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副主任</w:t>
            </w:r>
          </w:p>
        </w:tc>
        <w:tc>
          <w:tcPr>
            <w:tcW w:w="184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周  杰</w:t>
            </w:r>
          </w:p>
        </w:tc>
        <w:tc>
          <w:tcPr>
            <w:tcW w:w="483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党工委委员、纪工委书记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副主任</w:t>
            </w:r>
          </w:p>
        </w:tc>
        <w:tc>
          <w:tcPr>
            <w:tcW w:w="184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张延国</w:t>
            </w:r>
          </w:p>
        </w:tc>
        <w:tc>
          <w:tcPr>
            <w:tcW w:w="483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党工委委员、副主任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副主任</w:t>
            </w:r>
          </w:p>
        </w:tc>
        <w:tc>
          <w:tcPr>
            <w:tcW w:w="184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王  民</w:t>
            </w:r>
          </w:p>
        </w:tc>
        <w:tc>
          <w:tcPr>
            <w:tcW w:w="483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党工委委员、副主任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副主任</w:t>
            </w:r>
          </w:p>
        </w:tc>
        <w:tc>
          <w:tcPr>
            <w:tcW w:w="184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赵  芸</w:t>
            </w:r>
          </w:p>
        </w:tc>
        <w:tc>
          <w:tcPr>
            <w:tcW w:w="483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党工委委员、副主任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副主任</w:t>
            </w:r>
          </w:p>
        </w:tc>
        <w:tc>
          <w:tcPr>
            <w:tcW w:w="184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刘  滨</w:t>
            </w:r>
          </w:p>
        </w:tc>
        <w:tc>
          <w:tcPr>
            <w:tcW w:w="483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党工委委员、副主任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副主任</w:t>
            </w:r>
          </w:p>
        </w:tc>
        <w:tc>
          <w:tcPr>
            <w:tcW w:w="184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柳  坤</w:t>
            </w:r>
          </w:p>
        </w:tc>
        <w:tc>
          <w:tcPr>
            <w:tcW w:w="483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综合治理服务中心主任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副主任</w:t>
            </w:r>
          </w:p>
        </w:tc>
        <w:tc>
          <w:tcPr>
            <w:tcW w:w="184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李成国</w:t>
            </w:r>
          </w:p>
        </w:tc>
        <w:tc>
          <w:tcPr>
            <w:tcW w:w="483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公共文化服务中心主任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副主任</w:t>
            </w:r>
          </w:p>
        </w:tc>
        <w:tc>
          <w:tcPr>
            <w:tcW w:w="184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李长庚</w:t>
            </w:r>
          </w:p>
        </w:tc>
        <w:tc>
          <w:tcPr>
            <w:tcW w:w="483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民生保障服务中心主任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成  员</w:t>
            </w:r>
          </w:p>
        </w:tc>
        <w:tc>
          <w:tcPr>
            <w:tcW w:w="184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张  明</w:t>
            </w:r>
          </w:p>
        </w:tc>
        <w:tc>
          <w:tcPr>
            <w:tcW w:w="483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应急办主任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成  员</w:t>
            </w:r>
          </w:p>
        </w:tc>
        <w:tc>
          <w:tcPr>
            <w:tcW w:w="184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刘  涛</w:t>
            </w:r>
          </w:p>
        </w:tc>
        <w:tc>
          <w:tcPr>
            <w:tcW w:w="483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党政办公室主任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成  员</w:t>
            </w:r>
          </w:p>
        </w:tc>
        <w:tc>
          <w:tcPr>
            <w:tcW w:w="184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张  伟</w:t>
            </w:r>
          </w:p>
        </w:tc>
        <w:tc>
          <w:tcPr>
            <w:tcW w:w="483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教育办主任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成  员</w:t>
            </w:r>
          </w:p>
        </w:tc>
        <w:tc>
          <w:tcPr>
            <w:tcW w:w="184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林永建</w:t>
            </w:r>
          </w:p>
        </w:tc>
        <w:tc>
          <w:tcPr>
            <w:tcW w:w="483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城管科副科长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成  员</w:t>
            </w:r>
          </w:p>
        </w:tc>
        <w:tc>
          <w:tcPr>
            <w:tcW w:w="184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张育闽</w:t>
            </w:r>
          </w:p>
        </w:tc>
        <w:tc>
          <w:tcPr>
            <w:tcW w:w="483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综合执法中队队长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成  员</w:t>
            </w:r>
          </w:p>
        </w:tc>
        <w:tc>
          <w:tcPr>
            <w:tcW w:w="184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李庆江</w:t>
            </w:r>
          </w:p>
        </w:tc>
        <w:tc>
          <w:tcPr>
            <w:tcW w:w="483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济钢交警中队长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成  员</w:t>
            </w:r>
          </w:p>
        </w:tc>
        <w:tc>
          <w:tcPr>
            <w:tcW w:w="184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朱家伟</w:t>
            </w:r>
          </w:p>
        </w:tc>
        <w:tc>
          <w:tcPr>
            <w:tcW w:w="483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供电所所长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成  员</w:t>
            </w:r>
          </w:p>
        </w:tc>
        <w:tc>
          <w:tcPr>
            <w:tcW w:w="184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韩  平</w:t>
            </w:r>
          </w:p>
        </w:tc>
        <w:tc>
          <w:tcPr>
            <w:tcW w:w="483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卫生院院长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成  员</w:t>
            </w:r>
          </w:p>
        </w:tc>
        <w:tc>
          <w:tcPr>
            <w:tcW w:w="184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腾  宝</w:t>
            </w:r>
          </w:p>
        </w:tc>
        <w:tc>
          <w:tcPr>
            <w:tcW w:w="483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市场监管所所长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成  员</w:t>
            </w:r>
          </w:p>
        </w:tc>
        <w:tc>
          <w:tcPr>
            <w:tcW w:w="184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陈继星</w:t>
            </w:r>
          </w:p>
        </w:tc>
        <w:tc>
          <w:tcPr>
            <w:tcW w:w="483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畜牧站站长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成  员</w:t>
            </w:r>
          </w:p>
        </w:tc>
        <w:tc>
          <w:tcPr>
            <w:tcW w:w="184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张乃谅</w:t>
            </w:r>
          </w:p>
        </w:tc>
        <w:tc>
          <w:tcPr>
            <w:tcW w:w="483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渔场总经理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成  员</w:t>
            </w:r>
          </w:p>
        </w:tc>
        <w:tc>
          <w:tcPr>
            <w:tcW w:w="184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范小刚</w:t>
            </w:r>
          </w:p>
        </w:tc>
        <w:tc>
          <w:tcPr>
            <w:tcW w:w="483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国土所所长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成  员</w:t>
            </w:r>
          </w:p>
        </w:tc>
        <w:tc>
          <w:tcPr>
            <w:tcW w:w="184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徐高鹏</w:t>
            </w:r>
          </w:p>
        </w:tc>
        <w:tc>
          <w:tcPr>
            <w:tcW w:w="483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中国联通唐王营服中心主任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成  员</w:t>
            </w:r>
          </w:p>
        </w:tc>
        <w:tc>
          <w:tcPr>
            <w:tcW w:w="184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邱继富</w:t>
            </w:r>
          </w:p>
        </w:tc>
        <w:tc>
          <w:tcPr>
            <w:tcW w:w="483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农业发展服务中心主任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成  员</w:t>
            </w:r>
          </w:p>
        </w:tc>
        <w:tc>
          <w:tcPr>
            <w:tcW w:w="184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卢念进</w:t>
            </w:r>
          </w:p>
        </w:tc>
        <w:tc>
          <w:tcPr>
            <w:tcW w:w="483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经发科科长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成  员</w:t>
            </w:r>
          </w:p>
        </w:tc>
        <w:tc>
          <w:tcPr>
            <w:tcW w:w="184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郭盈含</w:t>
            </w:r>
          </w:p>
        </w:tc>
        <w:tc>
          <w:tcPr>
            <w:tcW w:w="483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宣传科科长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成  员</w:t>
            </w:r>
          </w:p>
        </w:tc>
        <w:tc>
          <w:tcPr>
            <w:tcW w:w="184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周广东</w:t>
            </w:r>
          </w:p>
        </w:tc>
        <w:tc>
          <w:tcPr>
            <w:tcW w:w="483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文化站站长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成  员</w:t>
            </w:r>
          </w:p>
        </w:tc>
        <w:tc>
          <w:tcPr>
            <w:tcW w:w="184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李丕娟</w:t>
            </w:r>
          </w:p>
        </w:tc>
        <w:tc>
          <w:tcPr>
            <w:tcW w:w="483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社会事务科科长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成  员</w:t>
            </w:r>
          </w:p>
        </w:tc>
        <w:tc>
          <w:tcPr>
            <w:tcW w:w="184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陈延杰</w:t>
            </w:r>
          </w:p>
        </w:tc>
        <w:tc>
          <w:tcPr>
            <w:tcW w:w="483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唐王管区主任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成  员</w:t>
            </w:r>
          </w:p>
        </w:tc>
        <w:tc>
          <w:tcPr>
            <w:tcW w:w="184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彭  蔚</w:t>
            </w:r>
          </w:p>
        </w:tc>
        <w:tc>
          <w:tcPr>
            <w:tcW w:w="483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纸坊管区主任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成  员</w:t>
            </w:r>
          </w:p>
        </w:tc>
        <w:tc>
          <w:tcPr>
            <w:tcW w:w="184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韩春梅</w:t>
            </w:r>
          </w:p>
        </w:tc>
        <w:tc>
          <w:tcPr>
            <w:tcW w:w="483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崔家管区主任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成  员</w:t>
            </w:r>
          </w:p>
        </w:tc>
        <w:tc>
          <w:tcPr>
            <w:tcW w:w="184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邱  霞</w:t>
            </w:r>
          </w:p>
        </w:tc>
        <w:tc>
          <w:tcPr>
            <w:tcW w:w="483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娄家管区主任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成  员</w:t>
            </w:r>
          </w:p>
        </w:tc>
        <w:tc>
          <w:tcPr>
            <w:tcW w:w="184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王为政</w:t>
            </w:r>
          </w:p>
        </w:tc>
        <w:tc>
          <w:tcPr>
            <w:tcW w:w="483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老僧口管区主任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成  员</w:t>
            </w:r>
          </w:p>
        </w:tc>
        <w:tc>
          <w:tcPr>
            <w:tcW w:w="184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郑元宝</w:t>
            </w:r>
          </w:p>
        </w:tc>
        <w:tc>
          <w:tcPr>
            <w:tcW w:w="483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派出所教导员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应急职务</w:t>
            </w:r>
          </w:p>
        </w:tc>
        <w:tc>
          <w:tcPr>
            <w:tcW w:w="184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姓名</w:t>
            </w:r>
          </w:p>
        </w:tc>
        <w:tc>
          <w:tcPr>
            <w:tcW w:w="483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现有职务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主  任</w:t>
            </w:r>
          </w:p>
        </w:tc>
        <w:tc>
          <w:tcPr>
            <w:tcW w:w="184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王  勇</w:t>
            </w:r>
          </w:p>
        </w:tc>
        <w:tc>
          <w:tcPr>
            <w:tcW w:w="483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党工委副书记、主任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副主任</w:t>
            </w:r>
          </w:p>
        </w:tc>
        <w:tc>
          <w:tcPr>
            <w:tcW w:w="184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刘  波</w:t>
            </w:r>
          </w:p>
        </w:tc>
        <w:tc>
          <w:tcPr>
            <w:tcW w:w="483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党工委副书记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副主任</w:t>
            </w:r>
          </w:p>
        </w:tc>
        <w:tc>
          <w:tcPr>
            <w:tcW w:w="184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周  杰</w:t>
            </w:r>
          </w:p>
        </w:tc>
        <w:tc>
          <w:tcPr>
            <w:tcW w:w="483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党工委委员、纪工委书记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副主任</w:t>
            </w:r>
          </w:p>
        </w:tc>
        <w:tc>
          <w:tcPr>
            <w:tcW w:w="184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赵  芸</w:t>
            </w:r>
          </w:p>
        </w:tc>
        <w:tc>
          <w:tcPr>
            <w:tcW w:w="483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党工委委员、副主任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副主任</w:t>
            </w:r>
          </w:p>
        </w:tc>
        <w:tc>
          <w:tcPr>
            <w:tcW w:w="184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刘  滨</w:t>
            </w:r>
          </w:p>
        </w:tc>
        <w:tc>
          <w:tcPr>
            <w:tcW w:w="483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党工委委员、副主任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副主任</w:t>
            </w:r>
          </w:p>
        </w:tc>
        <w:tc>
          <w:tcPr>
            <w:tcW w:w="184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张延国</w:t>
            </w:r>
          </w:p>
        </w:tc>
        <w:tc>
          <w:tcPr>
            <w:tcW w:w="483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副主任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副主任</w:t>
            </w:r>
          </w:p>
        </w:tc>
        <w:tc>
          <w:tcPr>
            <w:tcW w:w="184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王  民</w:t>
            </w:r>
          </w:p>
        </w:tc>
        <w:tc>
          <w:tcPr>
            <w:tcW w:w="483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副主任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副主任</w:t>
            </w:r>
          </w:p>
        </w:tc>
        <w:tc>
          <w:tcPr>
            <w:tcW w:w="184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柳  坤</w:t>
            </w:r>
          </w:p>
        </w:tc>
        <w:tc>
          <w:tcPr>
            <w:tcW w:w="483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综合治理服务中心主任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副主任</w:t>
            </w:r>
          </w:p>
        </w:tc>
        <w:tc>
          <w:tcPr>
            <w:tcW w:w="184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李成国</w:t>
            </w:r>
          </w:p>
        </w:tc>
        <w:tc>
          <w:tcPr>
            <w:tcW w:w="483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公共文化服务中心主任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副主任</w:t>
            </w:r>
          </w:p>
        </w:tc>
        <w:tc>
          <w:tcPr>
            <w:tcW w:w="184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李长庚</w:t>
            </w:r>
          </w:p>
        </w:tc>
        <w:tc>
          <w:tcPr>
            <w:tcW w:w="483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民生保障服务中心主任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成  员</w:t>
            </w:r>
          </w:p>
        </w:tc>
        <w:tc>
          <w:tcPr>
            <w:tcW w:w="184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张  明</w:t>
            </w:r>
          </w:p>
        </w:tc>
        <w:tc>
          <w:tcPr>
            <w:tcW w:w="483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应急办主任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成  员</w:t>
            </w:r>
          </w:p>
        </w:tc>
        <w:tc>
          <w:tcPr>
            <w:tcW w:w="184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刘  涛</w:t>
            </w:r>
          </w:p>
        </w:tc>
        <w:tc>
          <w:tcPr>
            <w:tcW w:w="483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党政办公室主任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成  员</w:t>
            </w:r>
          </w:p>
        </w:tc>
        <w:tc>
          <w:tcPr>
            <w:tcW w:w="184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张  伟</w:t>
            </w:r>
          </w:p>
        </w:tc>
        <w:tc>
          <w:tcPr>
            <w:tcW w:w="483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教育办主任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成  员</w:t>
            </w:r>
          </w:p>
        </w:tc>
        <w:tc>
          <w:tcPr>
            <w:tcW w:w="184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林永建</w:t>
            </w:r>
          </w:p>
        </w:tc>
        <w:tc>
          <w:tcPr>
            <w:tcW w:w="483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城管科副科长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成  员</w:t>
            </w:r>
          </w:p>
        </w:tc>
        <w:tc>
          <w:tcPr>
            <w:tcW w:w="184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张育闽</w:t>
            </w:r>
          </w:p>
        </w:tc>
        <w:tc>
          <w:tcPr>
            <w:tcW w:w="483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综合执法中队队长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成  员</w:t>
            </w:r>
          </w:p>
        </w:tc>
        <w:tc>
          <w:tcPr>
            <w:tcW w:w="184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李庆江</w:t>
            </w:r>
          </w:p>
        </w:tc>
        <w:tc>
          <w:tcPr>
            <w:tcW w:w="483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济钢交警中队长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成  员</w:t>
            </w:r>
          </w:p>
        </w:tc>
        <w:tc>
          <w:tcPr>
            <w:tcW w:w="184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朱家伟</w:t>
            </w:r>
          </w:p>
        </w:tc>
        <w:tc>
          <w:tcPr>
            <w:tcW w:w="483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供电所所长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成  员</w:t>
            </w:r>
          </w:p>
        </w:tc>
        <w:tc>
          <w:tcPr>
            <w:tcW w:w="184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韩  平</w:t>
            </w:r>
          </w:p>
        </w:tc>
        <w:tc>
          <w:tcPr>
            <w:tcW w:w="483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卫生院院长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成  员</w:t>
            </w:r>
          </w:p>
        </w:tc>
        <w:tc>
          <w:tcPr>
            <w:tcW w:w="184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腾  宝</w:t>
            </w:r>
          </w:p>
        </w:tc>
        <w:tc>
          <w:tcPr>
            <w:tcW w:w="483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市场监管所所长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成  员</w:t>
            </w:r>
          </w:p>
        </w:tc>
        <w:tc>
          <w:tcPr>
            <w:tcW w:w="184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陈继星</w:t>
            </w:r>
          </w:p>
        </w:tc>
        <w:tc>
          <w:tcPr>
            <w:tcW w:w="483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畜牧站站长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成  员</w:t>
            </w:r>
          </w:p>
        </w:tc>
        <w:tc>
          <w:tcPr>
            <w:tcW w:w="184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张乃谅</w:t>
            </w:r>
          </w:p>
        </w:tc>
        <w:tc>
          <w:tcPr>
            <w:tcW w:w="483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渔场总经理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成  员</w:t>
            </w:r>
          </w:p>
        </w:tc>
        <w:tc>
          <w:tcPr>
            <w:tcW w:w="184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范小刚</w:t>
            </w:r>
          </w:p>
        </w:tc>
        <w:tc>
          <w:tcPr>
            <w:tcW w:w="483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国土所所长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成  员</w:t>
            </w:r>
          </w:p>
        </w:tc>
        <w:tc>
          <w:tcPr>
            <w:tcW w:w="184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徐高鹏</w:t>
            </w:r>
          </w:p>
        </w:tc>
        <w:tc>
          <w:tcPr>
            <w:tcW w:w="483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中国联通唐王营服中心主任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成  员</w:t>
            </w:r>
          </w:p>
        </w:tc>
        <w:tc>
          <w:tcPr>
            <w:tcW w:w="184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邱继富</w:t>
            </w:r>
          </w:p>
        </w:tc>
        <w:tc>
          <w:tcPr>
            <w:tcW w:w="483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农业发展服务中心主任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成  员</w:t>
            </w:r>
          </w:p>
        </w:tc>
        <w:tc>
          <w:tcPr>
            <w:tcW w:w="184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卢念进</w:t>
            </w:r>
          </w:p>
        </w:tc>
        <w:tc>
          <w:tcPr>
            <w:tcW w:w="483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经发科科长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成  员</w:t>
            </w:r>
          </w:p>
        </w:tc>
        <w:tc>
          <w:tcPr>
            <w:tcW w:w="184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郭盈含</w:t>
            </w:r>
          </w:p>
        </w:tc>
        <w:tc>
          <w:tcPr>
            <w:tcW w:w="483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宣传科科长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成  员</w:t>
            </w:r>
          </w:p>
        </w:tc>
        <w:tc>
          <w:tcPr>
            <w:tcW w:w="184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周广东</w:t>
            </w:r>
          </w:p>
        </w:tc>
        <w:tc>
          <w:tcPr>
            <w:tcW w:w="483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文化站站长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成  员</w:t>
            </w:r>
          </w:p>
        </w:tc>
        <w:tc>
          <w:tcPr>
            <w:tcW w:w="184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李丕娟</w:t>
            </w:r>
          </w:p>
        </w:tc>
        <w:tc>
          <w:tcPr>
            <w:tcW w:w="483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社会事务科科长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成  员</w:t>
            </w:r>
          </w:p>
        </w:tc>
        <w:tc>
          <w:tcPr>
            <w:tcW w:w="184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陈延杰</w:t>
            </w:r>
          </w:p>
        </w:tc>
        <w:tc>
          <w:tcPr>
            <w:tcW w:w="483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唐王管区主任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成  员</w:t>
            </w:r>
          </w:p>
        </w:tc>
        <w:tc>
          <w:tcPr>
            <w:tcW w:w="184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彭  蔚</w:t>
            </w:r>
          </w:p>
        </w:tc>
        <w:tc>
          <w:tcPr>
            <w:tcW w:w="483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纸坊管区主任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成  员</w:t>
            </w:r>
          </w:p>
        </w:tc>
        <w:tc>
          <w:tcPr>
            <w:tcW w:w="184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韩春梅</w:t>
            </w:r>
          </w:p>
        </w:tc>
        <w:tc>
          <w:tcPr>
            <w:tcW w:w="483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崔家管区主任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成  员</w:t>
            </w:r>
          </w:p>
        </w:tc>
        <w:tc>
          <w:tcPr>
            <w:tcW w:w="184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邱  霞</w:t>
            </w:r>
          </w:p>
        </w:tc>
        <w:tc>
          <w:tcPr>
            <w:tcW w:w="483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娄家管区主任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成  员</w:t>
            </w:r>
          </w:p>
        </w:tc>
        <w:tc>
          <w:tcPr>
            <w:tcW w:w="184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王为政</w:t>
            </w:r>
          </w:p>
        </w:tc>
        <w:tc>
          <w:tcPr>
            <w:tcW w:w="483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老僧口管区主任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成  员</w:t>
            </w:r>
          </w:p>
        </w:tc>
        <w:tc>
          <w:tcPr>
            <w:tcW w:w="184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郑元宝</w:t>
            </w:r>
          </w:p>
        </w:tc>
        <w:tc>
          <w:tcPr>
            <w:tcW w:w="4832" w:type="dxa"/>
            <w:tcMar>
              <w:top w:w="113" w:type="dxa"/>
              <w:bottom w:w="113" w:type="dxa"/>
            </w:tcMar>
            <w:vAlign w:val="center"/>
          </w:tcPr>
          <w:p>
            <w:pPr>
              <w:overflowPunct w:val="0"/>
              <w:topLinePunct/>
              <w:contextualSpacing/>
              <w:jc w:val="center"/>
              <w:textAlignment w:val="top"/>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派出所教导员</w:t>
            </w:r>
          </w:p>
        </w:tc>
      </w:tr>
    </w:tbl>
    <w:p>
      <w:pPr>
        <w:overflowPunct w:val="0"/>
        <w:topLinePunct/>
        <w:adjustRightInd w:val="0"/>
        <w:snapToGrid w:val="0"/>
        <w:spacing w:before="78" w:beforeLines="25" w:after="78" w:afterLines="25"/>
        <w:jc w:val="center"/>
        <w:textAlignment w:val="top"/>
        <w:rPr>
          <w:rFonts w:hint="eastAsia" w:ascii="仿宋_GB2312" w:hAnsi="仿宋_GB2312" w:eastAsia="仿宋_GB2312" w:cs="仿宋_GB2312"/>
          <w:b/>
          <w:color w:val="auto"/>
        </w:rPr>
      </w:pPr>
    </w:p>
    <w:p>
      <w:pPr>
        <w:overflowPunct w:val="0"/>
        <w:topLinePunct/>
        <w:adjustRightInd w:val="0"/>
        <w:snapToGrid w:val="0"/>
        <w:spacing w:before="78" w:beforeLines="25" w:after="78" w:afterLines="25"/>
        <w:jc w:val="center"/>
        <w:textAlignment w:val="top"/>
        <w:rPr>
          <w:b/>
        </w:rPr>
      </w:pPr>
    </w:p>
    <w:p>
      <w:pPr>
        <w:overflowPunct w:val="0"/>
        <w:topLinePunct/>
        <w:adjustRightInd w:val="0"/>
        <w:snapToGrid w:val="0"/>
        <w:spacing w:before="78" w:beforeLines="25" w:after="78" w:afterLines="25"/>
        <w:jc w:val="center"/>
        <w:textAlignment w:val="top"/>
        <w:rPr>
          <w:b/>
        </w:rPr>
      </w:pPr>
    </w:p>
    <w:p>
      <w:pPr>
        <w:overflowPunct w:val="0"/>
        <w:topLinePunct/>
        <w:adjustRightInd w:val="0"/>
        <w:snapToGrid w:val="0"/>
        <w:spacing w:before="78" w:beforeLines="25" w:after="78" w:afterLines="25"/>
        <w:jc w:val="center"/>
        <w:textAlignment w:val="top"/>
        <w:rPr>
          <w:b/>
        </w:rPr>
      </w:pPr>
    </w:p>
    <w:p>
      <w:pPr>
        <w:pStyle w:val="8"/>
        <w:rPr>
          <w:b/>
        </w:rPr>
      </w:pPr>
    </w:p>
    <w:p>
      <w:pPr>
        <w:pStyle w:val="8"/>
        <w:rPr>
          <w:b/>
        </w:rPr>
      </w:pPr>
    </w:p>
    <w:p>
      <w:pPr>
        <w:pStyle w:val="8"/>
        <w:rPr>
          <w:b/>
        </w:rPr>
      </w:pPr>
    </w:p>
    <w:p>
      <w:pPr>
        <w:pStyle w:val="8"/>
        <w:rPr>
          <w:b/>
        </w:rPr>
      </w:pPr>
    </w:p>
    <w:p>
      <w:pPr>
        <w:pStyle w:val="8"/>
        <w:rPr>
          <w:b/>
        </w:rPr>
      </w:pPr>
    </w:p>
    <w:p>
      <w:pPr>
        <w:pStyle w:val="8"/>
        <w:rPr>
          <w:b/>
        </w:rPr>
      </w:pPr>
    </w:p>
    <w:p>
      <w:pPr>
        <w:pStyle w:val="8"/>
        <w:rPr>
          <w:b/>
        </w:rPr>
      </w:pPr>
    </w:p>
    <w:tbl>
      <w:tblPr>
        <w:tblStyle w:val="20"/>
        <w:tblpPr w:leftFromText="180" w:rightFromText="180" w:vertAnchor="text" w:horzAnchor="page" w:tblpX="1525" w:tblpY="12049"/>
        <w:tblOverlap w:val="never"/>
        <w:tblW w:w="0" w:type="auto"/>
        <w:tblInd w:w="0" w:type="dxa"/>
        <w:tblBorders>
          <w:top w:val="single" w:color="auto" w:sz="8" w:space="0"/>
          <w:left w:val="none" w:color="auto" w:sz="0" w:space="0"/>
          <w:bottom w:val="single" w:color="auto" w:sz="8" w:space="0"/>
          <w:right w:val="none" w:color="auto" w:sz="0" w:space="0"/>
          <w:insideH w:val="single" w:color="auto" w:sz="6" w:space="0"/>
          <w:insideV w:val="none" w:color="auto" w:sz="0" w:space="0"/>
        </w:tblBorders>
        <w:tblLayout w:type="autofit"/>
        <w:tblCellMar>
          <w:top w:w="0" w:type="dxa"/>
          <w:left w:w="108" w:type="dxa"/>
          <w:bottom w:w="0" w:type="dxa"/>
          <w:right w:w="108" w:type="dxa"/>
        </w:tblCellMar>
      </w:tblPr>
      <w:tblGrid>
        <w:gridCol w:w="9075"/>
      </w:tblGrid>
      <w:tr>
        <w:tblPrEx>
          <w:tblBorders>
            <w:top w:val="single" w:color="auto" w:sz="8" w:space="0"/>
            <w:left w:val="none" w:color="auto" w:sz="0" w:space="0"/>
            <w:bottom w:val="single" w:color="auto" w:sz="8" w:space="0"/>
            <w:right w:val="none" w:color="auto" w:sz="0" w:space="0"/>
            <w:insideH w:val="single" w:color="auto" w:sz="6" w:space="0"/>
            <w:insideV w:val="none" w:color="auto" w:sz="0" w:space="0"/>
          </w:tblBorders>
          <w:tblCellMar>
            <w:top w:w="0" w:type="dxa"/>
            <w:left w:w="108" w:type="dxa"/>
            <w:bottom w:w="0" w:type="dxa"/>
            <w:right w:w="108" w:type="dxa"/>
          </w:tblCellMar>
        </w:tblPrEx>
        <w:trPr>
          <w:trHeight w:val="609" w:hRule="atLeast"/>
        </w:trPr>
        <w:tc>
          <w:tcPr>
            <w:tcW w:w="9075" w:type="dxa"/>
            <w:tcBorders>
              <w:tl2br w:val="nil"/>
              <w:tr2bl w:val="nil"/>
            </w:tcBorders>
            <w:noWrap/>
            <w:vAlign w:val="top"/>
          </w:tcPr>
          <w:p>
            <w:pPr>
              <w:widowControl w:val="0"/>
              <w:spacing w:line="560" w:lineRule="exact"/>
              <w:ind w:right="280" w:rightChars="100" w:firstLine="280" w:firstLineChars="100"/>
              <w:textAlignment w:val="center"/>
              <w:rPr>
                <w:rFonts w:ascii="宋体" w:hAnsi="宋体" w:eastAsia="宋体" w:cs="宋体"/>
                <w:sz w:val="32"/>
                <w:szCs w:val="32"/>
              </w:rPr>
            </w:pPr>
            <w:r>
              <w:rPr>
                <w:rFonts w:hint="eastAsia" w:ascii="仿宋_GB2312" w:hAnsi="仿宋_GB2312" w:eastAsia="仿宋_GB2312" w:cs="仿宋_GB2312"/>
                <w:sz w:val="28"/>
                <w:szCs w:val="28"/>
              </w:rPr>
              <w:t xml:space="preserve">济南市历城区唐王街道党政办公室     </w:t>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t xml:space="preserve"> </w:t>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t>2023年</w:t>
            </w:r>
            <w:r>
              <w:rPr>
                <w:rFonts w:hint="eastAsia" w:ascii="仿宋_GB2312" w:hAnsi="仿宋_GB2312" w:eastAsia="仿宋_GB2312" w:cs="仿宋_GB2312"/>
                <w:sz w:val="28"/>
                <w:szCs w:val="28"/>
                <w:lang w:val="en-US" w:eastAsia="zh-CN"/>
              </w:rPr>
              <w:t>12</w:t>
            </w:r>
            <w:r>
              <w:rPr>
                <w:rFonts w:hint="eastAsia" w:ascii="仿宋_GB2312" w:hAnsi="仿宋_GB2312" w:eastAsia="仿宋_GB2312" w:cs="仿宋_GB2312"/>
                <w:sz w:val="28"/>
                <w:szCs w:val="28"/>
              </w:rPr>
              <w:t>月</w:t>
            </w:r>
            <w:r>
              <w:rPr>
                <w:rFonts w:hint="eastAsia" w:ascii="仿宋_GB2312" w:hAnsi="仿宋_GB2312" w:eastAsia="仿宋_GB2312" w:cs="仿宋_GB2312"/>
                <w:sz w:val="28"/>
                <w:szCs w:val="28"/>
                <w:lang w:val="en-US" w:eastAsia="zh-CN"/>
              </w:rPr>
              <w:t>29</w:t>
            </w:r>
            <w:r>
              <w:rPr>
                <w:rFonts w:hint="eastAsia" w:ascii="仿宋_GB2312" w:hAnsi="仿宋_GB2312" w:eastAsia="仿宋_GB2312" w:cs="仿宋_GB2312"/>
                <w:sz w:val="28"/>
                <w:szCs w:val="28"/>
              </w:rPr>
              <w:t>日印发</w:t>
            </w:r>
          </w:p>
        </w:tc>
      </w:tr>
    </w:tbl>
    <w:p>
      <w:pPr>
        <w:pStyle w:val="8"/>
        <w:rPr>
          <w:b/>
        </w:rPr>
      </w:pPr>
    </w:p>
    <w:sectPr>
      <w:pgSz w:w="11906" w:h="16838"/>
      <w:pgMar w:top="1440" w:right="1418" w:bottom="1440" w:left="1418"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Light">
    <w:altName w:val="宋体"/>
    <w:panose1 w:val="02010600030101010101"/>
    <w:charset w:val="86"/>
    <w:family w:val="auto"/>
    <w:pitch w:val="default"/>
    <w:sig w:usb0="00000000" w:usb1="00000000" w:usb2="00000016" w:usb3="00000000" w:csb0="0004000F" w:csb1="00000000"/>
  </w:font>
  <w:font w:name="等线">
    <w:altName w:val="Arial Unicode MS"/>
    <w:panose1 w:val="02010600030101010101"/>
    <w:charset w:val="86"/>
    <w:family w:val="auto"/>
    <w:pitch w:val="default"/>
    <w:sig w:usb0="00000000" w:usb1="00000000" w:usb2="00000016" w:usb3="00000000" w:csb0="0004000F"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12"/>
                    </w:pPr>
                    <w: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I3YzMxZWM4ZWJkMDgwZDZhOWQxMjAzNTViNjNjMDQifQ=="/>
  </w:docVars>
  <w:rsids>
    <w:rsidRoot w:val="00864F22"/>
    <w:rsid w:val="00003920"/>
    <w:rsid w:val="000042D8"/>
    <w:rsid w:val="000063DF"/>
    <w:rsid w:val="000101DE"/>
    <w:rsid w:val="00014150"/>
    <w:rsid w:val="00015863"/>
    <w:rsid w:val="000172DC"/>
    <w:rsid w:val="00017B9B"/>
    <w:rsid w:val="0002055D"/>
    <w:rsid w:val="000235BA"/>
    <w:rsid w:val="0002525C"/>
    <w:rsid w:val="00026EC5"/>
    <w:rsid w:val="00034C43"/>
    <w:rsid w:val="0004306B"/>
    <w:rsid w:val="000451A8"/>
    <w:rsid w:val="00045ACE"/>
    <w:rsid w:val="00051B94"/>
    <w:rsid w:val="00054632"/>
    <w:rsid w:val="0006327E"/>
    <w:rsid w:val="00065C72"/>
    <w:rsid w:val="00065DFB"/>
    <w:rsid w:val="00067961"/>
    <w:rsid w:val="000800BE"/>
    <w:rsid w:val="000A14DE"/>
    <w:rsid w:val="000A4797"/>
    <w:rsid w:val="000A6266"/>
    <w:rsid w:val="000B01E0"/>
    <w:rsid w:val="000B26A4"/>
    <w:rsid w:val="000B3EBF"/>
    <w:rsid w:val="000C0B3C"/>
    <w:rsid w:val="000C291C"/>
    <w:rsid w:val="000C3B42"/>
    <w:rsid w:val="000D32C4"/>
    <w:rsid w:val="000D3F94"/>
    <w:rsid w:val="000E0A87"/>
    <w:rsid w:val="000F3E77"/>
    <w:rsid w:val="000F6051"/>
    <w:rsid w:val="000F653D"/>
    <w:rsid w:val="001048A8"/>
    <w:rsid w:val="00110C7F"/>
    <w:rsid w:val="00113652"/>
    <w:rsid w:val="001239BD"/>
    <w:rsid w:val="00126E93"/>
    <w:rsid w:val="00133274"/>
    <w:rsid w:val="001339C5"/>
    <w:rsid w:val="00142A09"/>
    <w:rsid w:val="00143B45"/>
    <w:rsid w:val="001514C1"/>
    <w:rsid w:val="00151D4A"/>
    <w:rsid w:val="00153733"/>
    <w:rsid w:val="00163AE6"/>
    <w:rsid w:val="00163C55"/>
    <w:rsid w:val="00170C46"/>
    <w:rsid w:val="0018164B"/>
    <w:rsid w:val="00185C96"/>
    <w:rsid w:val="00194253"/>
    <w:rsid w:val="00196B1D"/>
    <w:rsid w:val="001A6763"/>
    <w:rsid w:val="001B4687"/>
    <w:rsid w:val="001C05E1"/>
    <w:rsid w:val="001C106B"/>
    <w:rsid w:val="001D02FB"/>
    <w:rsid w:val="001D64AD"/>
    <w:rsid w:val="001D6C66"/>
    <w:rsid w:val="001D708F"/>
    <w:rsid w:val="001D75FB"/>
    <w:rsid w:val="001E2855"/>
    <w:rsid w:val="001F0DB1"/>
    <w:rsid w:val="001F0DD8"/>
    <w:rsid w:val="001F3DD5"/>
    <w:rsid w:val="00202042"/>
    <w:rsid w:val="0021471B"/>
    <w:rsid w:val="00222DD8"/>
    <w:rsid w:val="002406DA"/>
    <w:rsid w:val="00254927"/>
    <w:rsid w:val="00262913"/>
    <w:rsid w:val="00263923"/>
    <w:rsid w:val="00265B9F"/>
    <w:rsid w:val="00265FC3"/>
    <w:rsid w:val="00274C1B"/>
    <w:rsid w:val="002779FE"/>
    <w:rsid w:val="002804B8"/>
    <w:rsid w:val="00282280"/>
    <w:rsid w:val="00283CB3"/>
    <w:rsid w:val="00293782"/>
    <w:rsid w:val="002A11C7"/>
    <w:rsid w:val="002A7625"/>
    <w:rsid w:val="002B263C"/>
    <w:rsid w:val="002B2961"/>
    <w:rsid w:val="002B3643"/>
    <w:rsid w:val="002B5BB0"/>
    <w:rsid w:val="002B7976"/>
    <w:rsid w:val="002C2E28"/>
    <w:rsid w:val="002C7142"/>
    <w:rsid w:val="002D3BE8"/>
    <w:rsid w:val="002D5E36"/>
    <w:rsid w:val="002E5A46"/>
    <w:rsid w:val="002E732B"/>
    <w:rsid w:val="002F01B5"/>
    <w:rsid w:val="002F16C6"/>
    <w:rsid w:val="002F49EB"/>
    <w:rsid w:val="002F505F"/>
    <w:rsid w:val="002F6ABB"/>
    <w:rsid w:val="00301C62"/>
    <w:rsid w:val="00304AEA"/>
    <w:rsid w:val="00305588"/>
    <w:rsid w:val="00311D3B"/>
    <w:rsid w:val="003143D4"/>
    <w:rsid w:val="003150BA"/>
    <w:rsid w:val="00315760"/>
    <w:rsid w:val="0031797D"/>
    <w:rsid w:val="00320835"/>
    <w:rsid w:val="00321940"/>
    <w:rsid w:val="00322EDB"/>
    <w:rsid w:val="00325BA5"/>
    <w:rsid w:val="00326509"/>
    <w:rsid w:val="0033307C"/>
    <w:rsid w:val="003417FE"/>
    <w:rsid w:val="003420F5"/>
    <w:rsid w:val="0034516C"/>
    <w:rsid w:val="00351546"/>
    <w:rsid w:val="00351972"/>
    <w:rsid w:val="00354D13"/>
    <w:rsid w:val="003562BB"/>
    <w:rsid w:val="0035676A"/>
    <w:rsid w:val="00360EF8"/>
    <w:rsid w:val="00367156"/>
    <w:rsid w:val="00373E95"/>
    <w:rsid w:val="00390742"/>
    <w:rsid w:val="00390C96"/>
    <w:rsid w:val="00391E7F"/>
    <w:rsid w:val="00393DBA"/>
    <w:rsid w:val="00393E77"/>
    <w:rsid w:val="003949DB"/>
    <w:rsid w:val="00397718"/>
    <w:rsid w:val="003A0F1E"/>
    <w:rsid w:val="003A2459"/>
    <w:rsid w:val="003B0301"/>
    <w:rsid w:val="003B32F2"/>
    <w:rsid w:val="003B353C"/>
    <w:rsid w:val="003B6534"/>
    <w:rsid w:val="003C1090"/>
    <w:rsid w:val="003C7464"/>
    <w:rsid w:val="003C7B94"/>
    <w:rsid w:val="003D1777"/>
    <w:rsid w:val="003E14B9"/>
    <w:rsid w:val="003E2C8E"/>
    <w:rsid w:val="003E7605"/>
    <w:rsid w:val="003F2602"/>
    <w:rsid w:val="003F6ECC"/>
    <w:rsid w:val="00405131"/>
    <w:rsid w:val="00406395"/>
    <w:rsid w:val="00411E02"/>
    <w:rsid w:val="00415E42"/>
    <w:rsid w:val="00420EC8"/>
    <w:rsid w:val="00430EEB"/>
    <w:rsid w:val="00436DF0"/>
    <w:rsid w:val="00440BE0"/>
    <w:rsid w:val="00440C90"/>
    <w:rsid w:val="00445CDA"/>
    <w:rsid w:val="00446C17"/>
    <w:rsid w:val="00452D0B"/>
    <w:rsid w:val="00457DFE"/>
    <w:rsid w:val="00461746"/>
    <w:rsid w:val="0046525E"/>
    <w:rsid w:val="00465D38"/>
    <w:rsid w:val="00467B63"/>
    <w:rsid w:val="004716F6"/>
    <w:rsid w:val="0047197D"/>
    <w:rsid w:val="00474FC0"/>
    <w:rsid w:val="004761BE"/>
    <w:rsid w:val="00476591"/>
    <w:rsid w:val="00485A23"/>
    <w:rsid w:val="00491B14"/>
    <w:rsid w:val="0049399F"/>
    <w:rsid w:val="004A074E"/>
    <w:rsid w:val="004A6C0A"/>
    <w:rsid w:val="004B1FDE"/>
    <w:rsid w:val="004B4758"/>
    <w:rsid w:val="004B4CD0"/>
    <w:rsid w:val="004B5D06"/>
    <w:rsid w:val="004C2150"/>
    <w:rsid w:val="004C306A"/>
    <w:rsid w:val="004C3543"/>
    <w:rsid w:val="004D15BB"/>
    <w:rsid w:val="004D1747"/>
    <w:rsid w:val="004D32D3"/>
    <w:rsid w:val="004D63C9"/>
    <w:rsid w:val="004E433D"/>
    <w:rsid w:val="00501EB7"/>
    <w:rsid w:val="00517EF0"/>
    <w:rsid w:val="00520E25"/>
    <w:rsid w:val="00524BB8"/>
    <w:rsid w:val="00524BC4"/>
    <w:rsid w:val="00531C8A"/>
    <w:rsid w:val="00537026"/>
    <w:rsid w:val="0053722B"/>
    <w:rsid w:val="00544AB5"/>
    <w:rsid w:val="00544FD6"/>
    <w:rsid w:val="00557CFB"/>
    <w:rsid w:val="005674F8"/>
    <w:rsid w:val="0057203C"/>
    <w:rsid w:val="00576DD8"/>
    <w:rsid w:val="00581D63"/>
    <w:rsid w:val="00583F7B"/>
    <w:rsid w:val="00592C36"/>
    <w:rsid w:val="005A181E"/>
    <w:rsid w:val="005A1F0F"/>
    <w:rsid w:val="005A20B3"/>
    <w:rsid w:val="005B00D2"/>
    <w:rsid w:val="005B025A"/>
    <w:rsid w:val="005B321B"/>
    <w:rsid w:val="005B32F8"/>
    <w:rsid w:val="005B4450"/>
    <w:rsid w:val="005B5D7E"/>
    <w:rsid w:val="005C1389"/>
    <w:rsid w:val="005D5A0F"/>
    <w:rsid w:val="005D6689"/>
    <w:rsid w:val="005D7F27"/>
    <w:rsid w:val="005E3818"/>
    <w:rsid w:val="005E5E45"/>
    <w:rsid w:val="005F1D38"/>
    <w:rsid w:val="005F4ACA"/>
    <w:rsid w:val="005F6287"/>
    <w:rsid w:val="006002B5"/>
    <w:rsid w:val="00604A43"/>
    <w:rsid w:val="0060709B"/>
    <w:rsid w:val="0061033D"/>
    <w:rsid w:val="00612C4E"/>
    <w:rsid w:val="006145FD"/>
    <w:rsid w:val="00621409"/>
    <w:rsid w:val="0062241B"/>
    <w:rsid w:val="006238E7"/>
    <w:rsid w:val="006241BB"/>
    <w:rsid w:val="00625076"/>
    <w:rsid w:val="006268F4"/>
    <w:rsid w:val="006311D3"/>
    <w:rsid w:val="006371F3"/>
    <w:rsid w:val="006373AB"/>
    <w:rsid w:val="0064716C"/>
    <w:rsid w:val="00652E0E"/>
    <w:rsid w:val="00662320"/>
    <w:rsid w:val="00662C1B"/>
    <w:rsid w:val="00665FE3"/>
    <w:rsid w:val="0067748B"/>
    <w:rsid w:val="00685E2F"/>
    <w:rsid w:val="0068786E"/>
    <w:rsid w:val="00691C11"/>
    <w:rsid w:val="00693B87"/>
    <w:rsid w:val="006A2591"/>
    <w:rsid w:val="006A3932"/>
    <w:rsid w:val="006A6C13"/>
    <w:rsid w:val="006A75ED"/>
    <w:rsid w:val="006B0A32"/>
    <w:rsid w:val="006B1E4A"/>
    <w:rsid w:val="006B213B"/>
    <w:rsid w:val="006B3192"/>
    <w:rsid w:val="006B5BFC"/>
    <w:rsid w:val="006C1197"/>
    <w:rsid w:val="006C1959"/>
    <w:rsid w:val="006C1CC7"/>
    <w:rsid w:val="006C74B4"/>
    <w:rsid w:val="006D28B5"/>
    <w:rsid w:val="006E017A"/>
    <w:rsid w:val="006E0A27"/>
    <w:rsid w:val="006E0F69"/>
    <w:rsid w:val="006E2B6E"/>
    <w:rsid w:val="006E5604"/>
    <w:rsid w:val="006E6308"/>
    <w:rsid w:val="006E79DC"/>
    <w:rsid w:val="006F638A"/>
    <w:rsid w:val="006F6C02"/>
    <w:rsid w:val="00713133"/>
    <w:rsid w:val="00713FCD"/>
    <w:rsid w:val="00720236"/>
    <w:rsid w:val="00722205"/>
    <w:rsid w:val="00723336"/>
    <w:rsid w:val="00727F6F"/>
    <w:rsid w:val="00732354"/>
    <w:rsid w:val="00734FF7"/>
    <w:rsid w:val="00742CDD"/>
    <w:rsid w:val="007515B5"/>
    <w:rsid w:val="0075221F"/>
    <w:rsid w:val="00763B4E"/>
    <w:rsid w:val="00764733"/>
    <w:rsid w:val="007904CE"/>
    <w:rsid w:val="00791AD5"/>
    <w:rsid w:val="007A11D4"/>
    <w:rsid w:val="007A29E2"/>
    <w:rsid w:val="007A5DD1"/>
    <w:rsid w:val="007B0764"/>
    <w:rsid w:val="007B2846"/>
    <w:rsid w:val="007B464F"/>
    <w:rsid w:val="007B4D9A"/>
    <w:rsid w:val="007B7DC4"/>
    <w:rsid w:val="007C546B"/>
    <w:rsid w:val="007E77B9"/>
    <w:rsid w:val="007F03F4"/>
    <w:rsid w:val="007F1F93"/>
    <w:rsid w:val="007F26CC"/>
    <w:rsid w:val="007F2D56"/>
    <w:rsid w:val="007F3BA5"/>
    <w:rsid w:val="0080015D"/>
    <w:rsid w:val="00800B26"/>
    <w:rsid w:val="0080215E"/>
    <w:rsid w:val="00806B03"/>
    <w:rsid w:val="00810035"/>
    <w:rsid w:val="00814443"/>
    <w:rsid w:val="00815FB4"/>
    <w:rsid w:val="00816CD4"/>
    <w:rsid w:val="00830DB0"/>
    <w:rsid w:val="00835AB7"/>
    <w:rsid w:val="008541C0"/>
    <w:rsid w:val="0085779F"/>
    <w:rsid w:val="0086098F"/>
    <w:rsid w:val="008629FA"/>
    <w:rsid w:val="00864F22"/>
    <w:rsid w:val="00871B18"/>
    <w:rsid w:val="00876043"/>
    <w:rsid w:val="008761F0"/>
    <w:rsid w:val="00877BA0"/>
    <w:rsid w:val="008829C1"/>
    <w:rsid w:val="008851D0"/>
    <w:rsid w:val="00890939"/>
    <w:rsid w:val="0089391A"/>
    <w:rsid w:val="00893C4C"/>
    <w:rsid w:val="00895BA7"/>
    <w:rsid w:val="008A67EC"/>
    <w:rsid w:val="008A7619"/>
    <w:rsid w:val="008C5F8A"/>
    <w:rsid w:val="008C7FD9"/>
    <w:rsid w:val="008D27AE"/>
    <w:rsid w:val="008D5D85"/>
    <w:rsid w:val="008F416C"/>
    <w:rsid w:val="008F7A78"/>
    <w:rsid w:val="0091012D"/>
    <w:rsid w:val="009130AC"/>
    <w:rsid w:val="00914B2C"/>
    <w:rsid w:val="0092069D"/>
    <w:rsid w:val="00922ABA"/>
    <w:rsid w:val="009309D0"/>
    <w:rsid w:val="00930D36"/>
    <w:rsid w:val="00931583"/>
    <w:rsid w:val="00932260"/>
    <w:rsid w:val="00936963"/>
    <w:rsid w:val="00943529"/>
    <w:rsid w:val="00946332"/>
    <w:rsid w:val="00955940"/>
    <w:rsid w:val="00960587"/>
    <w:rsid w:val="00964BB9"/>
    <w:rsid w:val="009653F6"/>
    <w:rsid w:val="0097637A"/>
    <w:rsid w:val="00977D20"/>
    <w:rsid w:val="009836E8"/>
    <w:rsid w:val="009848F0"/>
    <w:rsid w:val="00992915"/>
    <w:rsid w:val="00994C89"/>
    <w:rsid w:val="0099704D"/>
    <w:rsid w:val="009A39A1"/>
    <w:rsid w:val="009A570B"/>
    <w:rsid w:val="009A71C2"/>
    <w:rsid w:val="009B21F6"/>
    <w:rsid w:val="009D06B2"/>
    <w:rsid w:val="009D3117"/>
    <w:rsid w:val="009D5563"/>
    <w:rsid w:val="009E076F"/>
    <w:rsid w:val="009E1086"/>
    <w:rsid w:val="009F0CB4"/>
    <w:rsid w:val="009F7A78"/>
    <w:rsid w:val="00A03F61"/>
    <w:rsid w:val="00A10F0E"/>
    <w:rsid w:val="00A11D0B"/>
    <w:rsid w:val="00A130F6"/>
    <w:rsid w:val="00A13C50"/>
    <w:rsid w:val="00A15C19"/>
    <w:rsid w:val="00A165B0"/>
    <w:rsid w:val="00A16896"/>
    <w:rsid w:val="00A24177"/>
    <w:rsid w:val="00A242E4"/>
    <w:rsid w:val="00A25D04"/>
    <w:rsid w:val="00A400E1"/>
    <w:rsid w:val="00A422C7"/>
    <w:rsid w:val="00A45422"/>
    <w:rsid w:val="00A47BC8"/>
    <w:rsid w:val="00A51849"/>
    <w:rsid w:val="00A51C15"/>
    <w:rsid w:val="00A60BC8"/>
    <w:rsid w:val="00A60BD2"/>
    <w:rsid w:val="00A70644"/>
    <w:rsid w:val="00A7088D"/>
    <w:rsid w:val="00A75DCC"/>
    <w:rsid w:val="00A81F64"/>
    <w:rsid w:val="00A95FC0"/>
    <w:rsid w:val="00AA2C02"/>
    <w:rsid w:val="00AA36D5"/>
    <w:rsid w:val="00AA4FB0"/>
    <w:rsid w:val="00AA62B2"/>
    <w:rsid w:val="00AB209C"/>
    <w:rsid w:val="00AB674C"/>
    <w:rsid w:val="00AD2F15"/>
    <w:rsid w:val="00AD4BF4"/>
    <w:rsid w:val="00AD5B81"/>
    <w:rsid w:val="00AE72D9"/>
    <w:rsid w:val="00AF14A5"/>
    <w:rsid w:val="00AF183D"/>
    <w:rsid w:val="00AF6765"/>
    <w:rsid w:val="00AF782F"/>
    <w:rsid w:val="00AF7C0C"/>
    <w:rsid w:val="00B1388A"/>
    <w:rsid w:val="00B152FA"/>
    <w:rsid w:val="00B15A59"/>
    <w:rsid w:val="00B2111F"/>
    <w:rsid w:val="00B2620A"/>
    <w:rsid w:val="00B30760"/>
    <w:rsid w:val="00B31A6F"/>
    <w:rsid w:val="00B33EBA"/>
    <w:rsid w:val="00B34852"/>
    <w:rsid w:val="00B35A36"/>
    <w:rsid w:val="00B35C4E"/>
    <w:rsid w:val="00B40B96"/>
    <w:rsid w:val="00B50478"/>
    <w:rsid w:val="00B51403"/>
    <w:rsid w:val="00B51DAD"/>
    <w:rsid w:val="00B56190"/>
    <w:rsid w:val="00B63882"/>
    <w:rsid w:val="00B719FA"/>
    <w:rsid w:val="00B75D35"/>
    <w:rsid w:val="00B837D3"/>
    <w:rsid w:val="00B91022"/>
    <w:rsid w:val="00B917AB"/>
    <w:rsid w:val="00B918A9"/>
    <w:rsid w:val="00B91ABE"/>
    <w:rsid w:val="00B924AC"/>
    <w:rsid w:val="00B92ACE"/>
    <w:rsid w:val="00B92B51"/>
    <w:rsid w:val="00B93A61"/>
    <w:rsid w:val="00B94B74"/>
    <w:rsid w:val="00B94F9D"/>
    <w:rsid w:val="00B9661E"/>
    <w:rsid w:val="00BA1763"/>
    <w:rsid w:val="00BB010B"/>
    <w:rsid w:val="00BB135B"/>
    <w:rsid w:val="00BB34A7"/>
    <w:rsid w:val="00BB3EF6"/>
    <w:rsid w:val="00BC3778"/>
    <w:rsid w:val="00BC7D4C"/>
    <w:rsid w:val="00BD281D"/>
    <w:rsid w:val="00BD3F07"/>
    <w:rsid w:val="00BD58DA"/>
    <w:rsid w:val="00BD61AB"/>
    <w:rsid w:val="00BD6365"/>
    <w:rsid w:val="00BE7A5F"/>
    <w:rsid w:val="00BF07AA"/>
    <w:rsid w:val="00C02D2B"/>
    <w:rsid w:val="00C043C5"/>
    <w:rsid w:val="00C122DF"/>
    <w:rsid w:val="00C127C7"/>
    <w:rsid w:val="00C237E2"/>
    <w:rsid w:val="00C27DC5"/>
    <w:rsid w:val="00C327F4"/>
    <w:rsid w:val="00C343AC"/>
    <w:rsid w:val="00C37404"/>
    <w:rsid w:val="00C51911"/>
    <w:rsid w:val="00C53D77"/>
    <w:rsid w:val="00C566D6"/>
    <w:rsid w:val="00C5683A"/>
    <w:rsid w:val="00C64326"/>
    <w:rsid w:val="00C67CAF"/>
    <w:rsid w:val="00C70CD0"/>
    <w:rsid w:val="00C7490F"/>
    <w:rsid w:val="00C809AA"/>
    <w:rsid w:val="00C923BC"/>
    <w:rsid w:val="00C93619"/>
    <w:rsid w:val="00C946EC"/>
    <w:rsid w:val="00C94BE0"/>
    <w:rsid w:val="00C95F98"/>
    <w:rsid w:val="00CA7DBD"/>
    <w:rsid w:val="00CB0602"/>
    <w:rsid w:val="00CB0AC2"/>
    <w:rsid w:val="00CC16FC"/>
    <w:rsid w:val="00CC579E"/>
    <w:rsid w:val="00CC675C"/>
    <w:rsid w:val="00CD012E"/>
    <w:rsid w:val="00CD53AA"/>
    <w:rsid w:val="00CD6D23"/>
    <w:rsid w:val="00CE57FE"/>
    <w:rsid w:val="00CE6F6C"/>
    <w:rsid w:val="00CF362A"/>
    <w:rsid w:val="00CF406E"/>
    <w:rsid w:val="00CF4DD6"/>
    <w:rsid w:val="00CF5098"/>
    <w:rsid w:val="00CF5ABF"/>
    <w:rsid w:val="00D03C97"/>
    <w:rsid w:val="00D04F54"/>
    <w:rsid w:val="00D0575C"/>
    <w:rsid w:val="00D07AEC"/>
    <w:rsid w:val="00D10BB4"/>
    <w:rsid w:val="00D13319"/>
    <w:rsid w:val="00D206FA"/>
    <w:rsid w:val="00D26CC3"/>
    <w:rsid w:val="00D27140"/>
    <w:rsid w:val="00D300AC"/>
    <w:rsid w:val="00D35451"/>
    <w:rsid w:val="00D43B1B"/>
    <w:rsid w:val="00D43C86"/>
    <w:rsid w:val="00D44DFC"/>
    <w:rsid w:val="00D7336C"/>
    <w:rsid w:val="00D80934"/>
    <w:rsid w:val="00D812BD"/>
    <w:rsid w:val="00D81DF6"/>
    <w:rsid w:val="00D86517"/>
    <w:rsid w:val="00D91AAC"/>
    <w:rsid w:val="00D93CA6"/>
    <w:rsid w:val="00D96ECF"/>
    <w:rsid w:val="00DA00DA"/>
    <w:rsid w:val="00DA098A"/>
    <w:rsid w:val="00DA4E99"/>
    <w:rsid w:val="00DB4768"/>
    <w:rsid w:val="00DC0B27"/>
    <w:rsid w:val="00DC6C27"/>
    <w:rsid w:val="00DC72BE"/>
    <w:rsid w:val="00DD3469"/>
    <w:rsid w:val="00DD670D"/>
    <w:rsid w:val="00DE0CEC"/>
    <w:rsid w:val="00DE1974"/>
    <w:rsid w:val="00DE273F"/>
    <w:rsid w:val="00DE59BA"/>
    <w:rsid w:val="00E054C1"/>
    <w:rsid w:val="00E15E53"/>
    <w:rsid w:val="00E16678"/>
    <w:rsid w:val="00E202F8"/>
    <w:rsid w:val="00E211E3"/>
    <w:rsid w:val="00E238C7"/>
    <w:rsid w:val="00E23F35"/>
    <w:rsid w:val="00E24B28"/>
    <w:rsid w:val="00E255B0"/>
    <w:rsid w:val="00E31225"/>
    <w:rsid w:val="00E31A26"/>
    <w:rsid w:val="00E371BD"/>
    <w:rsid w:val="00E4006D"/>
    <w:rsid w:val="00E44DD7"/>
    <w:rsid w:val="00E52296"/>
    <w:rsid w:val="00E530F2"/>
    <w:rsid w:val="00E55AF3"/>
    <w:rsid w:val="00E5631E"/>
    <w:rsid w:val="00E57C57"/>
    <w:rsid w:val="00E629AC"/>
    <w:rsid w:val="00E62D75"/>
    <w:rsid w:val="00E658FB"/>
    <w:rsid w:val="00E666B9"/>
    <w:rsid w:val="00E67C69"/>
    <w:rsid w:val="00E70EF3"/>
    <w:rsid w:val="00E77341"/>
    <w:rsid w:val="00E86908"/>
    <w:rsid w:val="00E911F3"/>
    <w:rsid w:val="00E95262"/>
    <w:rsid w:val="00E96729"/>
    <w:rsid w:val="00EA02B6"/>
    <w:rsid w:val="00EB1E8C"/>
    <w:rsid w:val="00EC6A1E"/>
    <w:rsid w:val="00ED073B"/>
    <w:rsid w:val="00ED1DB0"/>
    <w:rsid w:val="00ED4EE1"/>
    <w:rsid w:val="00ED6443"/>
    <w:rsid w:val="00ED7B03"/>
    <w:rsid w:val="00ED7D95"/>
    <w:rsid w:val="00EE00A4"/>
    <w:rsid w:val="00EE106B"/>
    <w:rsid w:val="00EF5487"/>
    <w:rsid w:val="00EF6284"/>
    <w:rsid w:val="00F0053C"/>
    <w:rsid w:val="00F21370"/>
    <w:rsid w:val="00F2475E"/>
    <w:rsid w:val="00F3246B"/>
    <w:rsid w:val="00F33A05"/>
    <w:rsid w:val="00F4244B"/>
    <w:rsid w:val="00F45F46"/>
    <w:rsid w:val="00F5214F"/>
    <w:rsid w:val="00F56808"/>
    <w:rsid w:val="00F64D10"/>
    <w:rsid w:val="00F75B81"/>
    <w:rsid w:val="00F85AD0"/>
    <w:rsid w:val="00F94756"/>
    <w:rsid w:val="00F969C7"/>
    <w:rsid w:val="00FB007A"/>
    <w:rsid w:val="00FB2AAF"/>
    <w:rsid w:val="00FB5F55"/>
    <w:rsid w:val="00FC5038"/>
    <w:rsid w:val="00FC7C4C"/>
    <w:rsid w:val="00FD0BA7"/>
    <w:rsid w:val="00FD3F84"/>
    <w:rsid w:val="00FD489C"/>
    <w:rsid w:val="00FE397F"/>
    <w:rsid w:val="00FE62DF"/>
    <w:rsid w:val="00FF3483"/>
    <w:rsid w:val="00FF4172"/>
    <w:rsid w:val="08125B16"/>
    <w:rsid w:val="09261D06"/>
    <w:rsid w:val="13632ACA"/>
    <w:rsid w:val="1B851A02"/>
    <w:rsid w:val="34E554D7"/>
    <w:rsid w:val="3D101CB4"/>
    <w:rsid w:val="3DD2502C"/>
    <w:rsid w:val="41591395"/>
    <w:rsid w:val="473C009B"/>
    <w:rsid w:val="5CAD5813"/>
    <w:rsid w:val="5DB15CCC"/>
    <w:rsid w:val="671E55EE"/>
    <w:rsid w:val="6E6C04B2"/>
    <w:rsid w:val="7C1B19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8"/>
      <w:szCs w:val="28"/>
      <w:lang w:val="en-US" w:eastAsia="zh-CN" w:bidi="ar-SA"/>
    </w:rPr>
  </w:style>
  <w:style w:type="paragraph" w:styleId="2">
    <w:name w:val="heading 1"/>
    <w:basedOn w:val="1"/>
    <w:next w:val="1"/>
    <w:link w:val="23"/>
    <w:autoRedefine/>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4"/>
    <w:autoRedefine/>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7"/>
    <w:autoRedefine/>
    <w:unhideWhenUsed/>
    <w:qFormat/>
    <w:uiPriority w:val="9"/>
    <w:pPr>
      <w:keepNext/>
      <w:keepLines/>
      <w:spacing w:before="260" w:after="260" w:line="416" w:lineRule="auto"/>
      <w:outlineLvl w:val="2"/>
    </w:pPr>
    <w:rPr>
      <w:b/>
      <w:bCs/>
      <w:sz w:val="32"/>
      <w:szCs w:val="32"/>
    </w:rPr>
  </w:style>
  <w:style w:type="character" w:default="1" w:styleId="21">
    <w:name w:val="Default Paragraph Font"/>
    <w:autoRedefine/>
    <w:unhideWhenUsed/>
    <w:qFormat/>
    <w:uiPriority w:val="1"/>
  </w:style>
  <w:style w:type="table" w:default="1" w:styleId="19">
    <w:name w:val="Normal Table"/>
    <w:autoRedefine/>
    <w:semiHidden/>
    <w:unhideWhenUsed/>
    <w:qFormat/>
    <w:uiPriority w:val="99"/>
    <w:tblPr>
      <w:tblCellMar>
        <w:top w:w="0" w:type="dxa"/>
        <w:left w:w="108" w:type="dxa"/>
        <w:bottom w:w="0" w:type="dxa"/>
        <w:right w:w="108" w:type="dxa"/>
      </w:tblCellMar>
    </w:tblPr>
  </w:style>
  <w:style w:type="paragraph" w:styleId="5">
    <w:name w:val="toc 7"/>
    <w:basedOn w:val="1"/>
    <w:next w:val="1"/>
    <w:autoRedefine/>
    <w:unhideWhenUsed/>
    <w:qFormat/>
    <w:uiPriority w:val="39"/>
    <w:pPr>
      <w:ind w:left="1680"/>
      <w:jc w:val="left"/>
    </w:pPr>
    <w:rPr>
      <w:rFonts w:asciiTheme="minorHAnsi" w:eastAsiaTheme="minorHAnsi"/>
      <w:sz w:val="18"/>
      <w:szCs w:val="18"/>
    </w:rPr>
  </w:style>
  <w:style w:type="paragraph" w:styleId="6">
    <w:name w:val="Normal Indent"/>
    <w:basedOn w:val="1"/>
    <w:autoRedefine/>
    <w:semiHidden/>
    <w:unhideWhenUsed/>
    <w:qFormat/>
    <w:uiPriority w:val="99"/>
    <w:pPr>
      <w:ind w:firstLine="420" w:firstLineChars="200"/>
    </w:pPr>
  </w:style>
  <w:style w:type="paragraph" w:styleId="7">
    <w:name w:val="Body Text Indent"/>
    <w:basedOn w:val="1"/>
    <w:next w:val="6"/>
    <w:link w:val="28"/>
    <w:autoRedefine/>
    <w:qFormat/>
    <w:uiPriority w:val="0"/>
    <w:pPr>
      <w:spacing w:after="120" w:line="360" w:lineRule="auto"/>
      <w:ind w:left="420" w:leftChars="200"/>
      <w:jc w:val="left"/>
    </w:pPr>
    <w:rPr>
      <w:sz w:val="24"/>
      <w:szCs w:val="21"/>
    </w:rPr>
  </w:style>
  <w:style w:type="paragraph" w:styleId="8">
    <w:name w:val="List 2"/>
    <w:basedOn w:val="1"/>
    <w:autoRedefine/>
    <w:qFormat/>
    <w:uiPriority w:val="0"/>
    <w:pPr>
      <w:spacing w:line="360" w:lineRule="auto"/>
    </w:pPr>
    <w:rPr>
      <w:rFonts w:ascii="Times New Roman" w:hAnsi="Times New Roman" w:eastAsia="宋体" w:cs="Times New Roman"/>
      <w:sz w:val="28"/>
      <w:szCs w:val="24"/>
    </w:rPr>
  </w:style>
  <w:style w:type="paragraph" w:styleId="9">
    <w:name w:val="toc 5"/>
    <w:basedOn w:val="1"/>
    <w:next w:val="1"/>
    <w:autoRedefine/>
    <w:unhideWhenUsed/>
    <w:qFormat/>
    <w:uiPriority w:val="39"/>
    <w:pPr>
      <w:ind w:left="1120"/>
      <w:jc w:val="left"/>
    </w:pPr>
    <w:rPr>
      <w:rFonts w:asciiTheme="minorHAnsi" w:eastAsiaTheme="minorHAnsi"/>
      <w:sz w:val="18"/>
      <w:szCs w:val="18"/>
    </w:rPr>
  </w:style>
  <w:style w:type="paragraph" w:styleId="10">
    <w:name w:val="toc 3"/>
    <w:basedOn w:val="1"/>
    <w:next w:val="1"/>
    <w:autoRedefine/>
    <w:unhideWhenUsed/>
    <w:qFormat/>
    <w:uiPriority w:val="39"/>
    <w:pPr>
      <w:ind w:left="560"/>
      <w:jc w:val="left"/>
    </w:pPr>
    <w:rPr>
      <w:rFonts w:asciiTheme="minorHAnsi" w:eastAsiaTheme="minorHAnsi"/>
      <w:i/>
      <w:iCs/>
      <w:sz w:val="20"/>
      <w:szCs w:val="20"/>
    </w:rPr>
  </w:style>
  <w:style w:type="paragraph" w:styleId="11">
    <w:name w:val="toc 8"/>
    <w:basedOn w:val="1"/>
    <w:next w:val="1"/>
    <w:autoRedefine/>
    <w:unhideWhenUsed/>
    <w:qFormat/>
    <w:uiPriority w:val="39"/>
    <w:pPr>
      <w:ind w:left="1960"/>
      <w:jc w:val="left"/>
    </w:pPr>
    <w:rPr>
      <w:rFonts w:asciiTheme="minorHAnsi" w:eastAsiaTheme="minorHAnsi"/>
      <w:sz w:val="18"/>
      <w:szCs w:val="18"/>
    </w:rPr>
  </w:style>
  <w:style w:type="paragraph" w:styleId="12">
    <w:name w:val="footer"/>
    <w:basedOn w:val="1"/>
    <w:link w:val="26"/>
    <w:autoRedefine/>
    <w:unhideWhenUsed/>
    <w:qFormat/>
    <w:uiPriority w:val="99"/>
    <w:pPr>
      <w:tabs>
        <w:tab w:val="center" w:pos="4153"/>
        <w:tab w:val="right" w:pos="8306"/>
      </w:tabs>
      <w:snapToGrid w:val="0"/>
      <w:jc w:val="left"/>
    </w:pPr>
    <w:rPr>
      <w:sz w:val="18"/>
      <w:szCs w:val="18"/>
    </w:rPr>
  </w:style>
  <w:style w:type="paragraph" w:styleId="13">
    <w:name w:val="header"/>
    <w:basedOn w:val="1"/>
    <w:link w:val="25"/>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autoRedefine/>
    <w:unhideWhenUsed/>
    <w:qFormat/>
    <w:uiPriority w:val="39"/>
    <w:pPr>
      <w:spacing w:before="120" w:after="120"/>
      <w:jc w:val="left"/>
    </w:pPr>
    <w:rPr>
      <w:rFonts w:asciiTheme="minorHAnsi" w:eastAsiaTheme="minorHAnsi"/>
      <w:b/>
      <w:bCs/>
      <w:caps/>
      <w:sz w:val="20"/>
      <w:szCs w:val="20"/>
    </w:rPr>
  </w:style>
  <w:style w:type="paragraph" w:styleId="15">
    <w:name w:val="toc 4"/>
    <w:basedOn w:val="1"/>
    <w:next w:val="1"/>
    <w:autoRedefine/>
    <w:unhideWhenUsed/>
    <w:qFormat/>
    <w:uiPriority w:val="39"/>
    <w:pPr>
      <w:ind w:left="840"/>
      <w:jc w:val="left"/>
    </w:pPr>
    <w:rPr>
      <w:rFonts w:asciiTheme="minorHAnsi" w:eastAsiaTheme="minorHAnsi"/>
      <w:sz w:val="18"/>
      <w:szCs w:val="18"/>
    </w:rPr>
  </w:style>
  <w:style w:type="paragraph" w:styleId="16">
    <w:name w:val="toc 6"/>
    <w:basedOn w:val="1"/>
    <w:next w:val="1"/>
    <w:autoRedefine/>
    <w:unhideWhenUsed/>
    <w:qFormat/>
    <w:uiPriority w:val="39"/>
    <w:pPr>
      <w:ind w:left="1400"/>
      <w:jc w:val="left"/>
    </w:pPr>
    <w:rPr>
      <w:rFonts w:asciiTheme="minorHAnsi" w:eastAsiaTheme="minorHAnsi"/>
      <w:sz w:val="18"/>
      <w:szCs w:val="18"/>
    </w:rPr>
  </w:style>
  <w:style w:type="paragraph" w:styleId="17">
    <w:name w:val="toc 2"/>
    <w:basedOn w:val="1"/>
    <w:next w:val="1"/>
    <w:autoRedefine/>
    <w:unhideWhenUsed/>
    <w:qFormat/>
    <w:uiPriority w:val="39"/>
    <w:pPr>
      <w:ind w:left="280"/>
      <w:jc w:val="left"/>
    </w:pPr>
    <w:rPr>
      <w:rFonts w:asciiTheme="minorHAnsi" w:eastAsiaTheme="minorHAnsi"/>
      <w:smallCaps/>
      <w:sz w:val="20"/>
      <w:szCs w:val="20"/>
    </w:rPr>
  </w:style>
  <w:style w:type="paragraph" w:styleId="18">
    <w:name w:val="toc 9"/>
    <w:basedOn w:val="1"/>
    <w:next w:val="1"/>
    <w:autoRedefine/>
    <w:unhideWhenUsed/>
    <w:qFormat/>
    <w:uiPriority w:val="39"/>
    <w:pPr>
      <w:ind w:left="2240"/>
      <w:jc w:val="left"/>
    </w:pPr>
    <w:rPr>
      <w:rFonts w:asciiTheme="minorHAnsi" w:eastAsiaTheme="minorHAnsi"/>
      <w:sz w:val="18"/>
      <w:szCs w:val="18"/>
    </w:rPr>
  </w:style>
  <w:style w:type="table" w:styleId="20">
    <w:name w:val="Table Grid"/>
    <w:basedOn w:val="19"/>
    <w:autoRedefine/>
    <w:qFormat/>
    <w:uiPriority w:val="0"/>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Hyperlink"/>
    <w:basedOn w:val="21"/>
    <w:autoRedefine/>
    <w:unhideWhenUsed/>
    <w:qFormat/>
    <w:uiPriority w:val="99"/>
    <w:rPr>
      <w:color w:val="0563C1" w:themeColor="hyperlink"/>
      <w:u w:val="single"/>
      <w14:textFill>
        <w14:solidFill>
          <w14:schemeClr w14:val="hlink"/>
        </w14:solidFill>
      </w14:textFill>
    </w:rPr>
  </w:style>
  <w:style w:type="character" w:customStyle="1" w:styleId="23">
    <w:name w:val="标题 1 字符"/>
    <w:basedOn w:val="21"/>
    <w:link w:val="2"/>
    <w:autoRedefine/>
    <w:qFormat/>
    <w:uiPriority w:val="9"/>
    <w:rPr>
      <w:b/>
      <w:bCs/>
      <w:kern w:val="44"/>
      <w:sz w:val="44"/>
      <w:szCs w:val="44"/>
    </w:rPr>
  </w:style>
  <w:style w:type="character" w:customStyle="1" w:styleId="24">
    <w:name w:val="标题 2 字符"/>
    <w:basedOn w:val="21"/>
    <w:link w:val="3"/>
    <w:autoRedefine/>
    <w:qFormat/>
    <w:uiPriority w:val="9"/>
    <w:rPr>
      <w:rFonts w:asciiTheme="majorHAnsi" w:hAnsiTheme="majorHAnsi" w:eastAsiaTheme="majorEastAsia" w:cstheme="majorBidi"/>
      <w:b/>
      <w:bCs/>
      <w:sz w:val="32"/>
      <w:szCs w:val="32"/>
    </w:rPr>
  </w:style>
  <w:style w:type="character" w:customStyle="1" w:styleId="25">
    <w:name w:val="页眉 字符"/>
    <w:basedOn w:val="21"/>
    <w:link w:val="13"/>
    <w:autoRedefine/>
    <w:qFormat/>
    <w:uiPriority w:val="99"/>
    <w:rPr>
      <w:sz w:val="18"/>
      <w:szCs w:val="18"/>
    </w:rPr>
  </w:style>
  <w:style w:type="character" w:customStyle="1" w:styleId="26">
    <w:name w:val="页脚 字符"/>
    <w:basedOn w:val="21"/>
    <w:link w:val="12"/>
    <w:autoRedefine/>
    <w:qFormat/>
    <w:uiPriority w:val="99"/>
    <w:rPr>
      <w:sz w:val="18"/>
      <w:szCs w:val="18"/>
    </w:rPr>
  </w:style>
  <w:style w:type="character" w:customStyle="1" w:styleId="27">
    <w:name w:val="标题 3 字符"/>
    <w:basedOn w:val="21"/>
    <w:link w:val="4"/>
    <w:autoRedefine/>
    <w:qFormat/>
    <w:uiPriority w:val="9"/>
    <w:rPr>
      <w:b/>
      <w:bCs/>
      <w:sz w:val="32"/>
      <w:szCs w:val="32"/>
    </w:rPr>
  </w:style>
  <w:style w:type="character" w:customStyle="1" w:styleId="28">
    <w:name w:val="正文文本缩进 字符"/>
    <w:basedOn w:val="21"/>
    <w:link w:val="7"/>
    <w:autoRedefine/>
    <w:qFormat/>
    <w:uiPriority w:val="0"/>
    <w:rPr>
      <w:sz w:val="24"/>
      <w:szCs w:val="21"/>
    </w:rPr>
  </w:style>
  <w:style w:type="table" w:customStyle="1" w:styleId="29">
    <w:name w:val="三线型1"/>
    <w:basedOn w:val="19"/>
    <w:autoRedefine/>
    <w:qFormat/>
    <w:uiPriority w:val="3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
    <w:name w:val="三线型2"/>
    <w:basedOn w:val="19"/>
    <w:autoRedefine/>
    <w:qFormat/>
    <w:uiPriority w:val="3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1">
    <w:name w:val="Unresolved Mention"/>
    <w:basedOn w:val="21"/>
    <w:autoRedefine/>
    <w:semiHidden/>
    <w:unhideWhenUsed/>
    <w:qFormat/>
    <w:uiPriority w:val="99"/>
    <w:rPr>
      <w:color w:val="605E5C"/>
      <w:shd w:val="clear" w:color="auto" w:fill="E1DFDD"/>
    </w:rPr>
  </w:style>
  <w:style w:type="table" w:customStyle="1" w:styleId="32">
    <w:name w:val="三线型11"/>
    <w:basedOn w:val="19"/>
    <w:autoRedefine/>
    <w:qFormat/>
    <w:uiPriority w:val="5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
    <w:name w:val="三线型3"/>
    <w:basedOn w:val="19"/>
    <w:autoRedefine/>
    <w:qFormat/>
    <w:uiPriority w:val="3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
    <w:name w:val="三线型4"/>
    <w:basedOn w:val="19"/>
    <w:autoRedefine/>
    <w:qFormat/>
    <w:uiPriority w:val="3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DD6C8F9-4866-46F2-8545-2C4ECFC74093}">
  <ds:schemaRefs/>
</ds:datastoreItem>
</file>

<file path=docProps/app.xml><?xml version="1.0" encoding="utf-8"?>
<Properties xmlns="http://schemas.openxmlformats.org/officeDocument/2006/extended-properties" xmlns:vt="http://schemas.openxmlformats.org/officeDocument/2006/docPropsVTypes">
  <Template>Normal</Template>
  <Pages>41</Pages>
  <Words>3870</Words>
  <Characters>22059</Characters>
  <Lines>183</Lines>
  <Paragraphs>51</Paragraphs>
  <TotalTime>0</TotalTime>
  <ScaleCrop>false</ScaleCrop>
  <LinksUpToDate>false</LinksUpToDate>
  <CharactersWithSpaces>25878</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2023-12-18T15:20:00Z</dcterms:created>
  <dc:creator>ThinkPad</dc:creator>
  <cp:lastModifiedBy>Administrator</cp:lastModifiedBy>
  <cp:lastPrinted>2024-01-23T00:47:00Z</cp:lastPrinted>
  <dcterms:modified xsi:type="dcterms:W3CDTF">2024-01-30T08:19:31Z</dcterms:modified>
  <cp:revision>92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E8DFA968C79742ED824CE58B27579134_12</vt:lpwstr>
  </property>
</Properties>
</file>