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济南市历城区市场监督管理局</w:t>
      </w:r>
    </w:p>
    <w:p>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关于开展制止餐饮浪费专项行动的通知</w:t>
      </w:r>
    </w:p>
    <w:p>
      <w:pPr>
        <w:spacing w:line="570" w:lineRule="exact"/>
        <w:rPr>
          <w:rFonts w:ascii="仿宋_GB2312" w:hAnsi="仿宋_GB2312" w:eastAsia="仿宋_GB2312" w:cs="仿宋_GB2312"/>
          <w:color w:val="auto"/>
          <w:sz w:val="32"/>
          <w:szCs w:val="32"/>
        </w:rPr>
      </w:pPr>
    </w:p>
    <w:p>
      <w:pPr>
        <w:spacing w:line="57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各市场监管所、相关科室，执法大队：</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止餐饮浪费对于保障国家粮食安全、倡导社会文明、建设节约型社会具有重要意义。根据省、市市场监管局《关于开展制止餐饮浪费专项行动的通知》，按照全国和全省动员部署会议要求，区局决定自即日起，组织在全区系统开</w:t>
      </w:r>
      <w:bookmarkStart w:id="0" w:name="_GoBack"/>
      <w:bookmarkEnd w:id="0"/>
      <w:r>
        <w:rPr>
          <w:rFonts w:hint="eastAsia" w:ascii="仿宋_GB2312" w:hAnsi="仿宋_GB2312" w:eastAsia="仿宋_GB2312" w:cs="仿宋_GB2312"/>
          <w:color w:val="auto"/>
          <w:sz w:val="32"/>
          <w:szCs w:val="32"/>
        </w:rPr>
        <w:t>展为期3个月的制止餐饮浪费专项行动，有关事项通知如下。</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一、总体目标</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学习贯彻习近平总书记关于制止餐饮浪费的一系列重要指示批示精神，落实省委、省政府决策部署和市委、市政府工作要求，牢固树立以人民为中心的发展思想，坚持依法监管和宣传引导相结合，聚焦餐饮浪费突出问题，采取有力措施，通过 3 个月专项行动，解决一批突出问题，曝光一批违法案件，推动一批标准宣贯，宣传一批典型经验，出台一批长效机制，坚决遏制餐饮浪费势头，力争取得可感知、可检验、可评判的工作成效。</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二、工作原则</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一是突出重点、注重实效。</w:t>
      </w:r>
      <w:r>
        <w:rPr>
          <w:rFonts w:hint="eastAsia" w:ascii="仿宋_GB2312" w:hAnsi="仿宋_GB2312" w:eastAsia="仿宋_GB2312" w:cs="仿宋_GB2312"/>
          <w:color w:val="auto"/>
          <w:sz w:val="32"/>
          <w:szCs w:val="32"/>
        </w:rPr>
        <w:t>紧紧围绕制止餐饮外卖和婚宴、自助餐、单位食堂浪费等重点问题，依法规范餐饮服务经营行为，将节约理念贯穿餐饮全链条，推动餐饮浪费现象明显减少。</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二是加强统筹、压实责任。</w:t>
      </w:r>
      <w:r>
        <w:rPr>
          <w:rFonts w:hint="eastAsia" w:ascii="仿宋_GB2312" w:hAnsi="仿宋_GB2312" w:eastAsia="仿宋_GB2312" w:cs="仿宋_GB2312"/>
          <w:color w:val="auto"/>
          <w:sz w:val="32"/>
          <w:szCs w:val="32"/>
        </w:rPr>
        <w:t>强化部门协作，调动各方力量，增强专项行动的整体性、系统性。落实部门监管责任，压实平台、商家主体责任，发挥政企协同治理作用。</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三是标本兼治、打建结合。</w:t>
      </w:r>
      <w:r>
        <w:rPr>
          <w:rFonts w:hint="eastAsia" w:ascii="仿宋_GB2312" w:hAnsi="仿宋_GB2312" w:eastAsia="仿宋_GB2312" w:cs="仿宋_GB2312"/>
          <w:color w:val="auto"/>
          <w:sz w:val="32"/>
          <w:szCs w:val="32"/>
        </w:rPr>
        <w:t>积极推进突出问题整治，针对深层次问题健全完善标准规范，加大制度供给力度，建立健全制止餐饮浪费长效机制。</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四是宣传引导、营造氛围。</w:t>
      </w:r>
      <w:r>
        <w:rPr>
          <w:rFonts w:hint="eastAsia" w:ascii="仿宋_GB2312" w:hAnsi="仿宋_GB2312" w:eastAsia="仿宋_GB2312" w:cs="仿宋_GB2312"/>
          <w:color w:val="auto"/>
          <w:sz w:val="32"/>
          <w:szCs w:val="32"/>
        </w:rPr>
        <w:t>拓展宣传渠道，加大引导力度，积极开展法律法规标准宣贯，推动在全社会树立起“浪费可耻、节约为荣”文明新风尚。</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三、重点任务</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（一）着力解决一批突出问题。</w:t>
      </w:r>
      <w:r>
        <w:rPr>
          <w:rFonts w:hint="eastAsia" w:ascii="仿宋_GB2312" w:hAnsi="仿宋_GB2312" w:eastAsia="仿宋_GB2312" w:cs="仿宋_GB2312"/>
          <w:color w:val="auto"/>
          <w:sz w:val="32"/>
          <w:szCs w:val="32"/>
        </w:rPr>
        <w:t>督促餐饮外卖平台落实主体责任，治理诱导过度消费行为，落实好上级单位对规范平台佣金抽成的相关要求。组织召开行政指导会，加强对餐饮外卖平台防范外卖食品浪费的指导规范。按照市场监管总局防范外卖食品浪费的指导意见部署，发挥头部平台示范效应，督促其落实外卖餐品描述、外卖点餐消费提示、消费教育引导、优化商家管理服务等制度要求。倡导平台探索建立对商家的正向激励制度。</w:t>
      </w:r>
      <w:r>
        <w:rPr>
          <w:rFonts w:hint="eastAsia" w:ascii="楷体_GB2312" w:hAnsi="楷体_GB2312" w:eastAsia="楷体_GB2312" w:cs="楷体_GB2312"/>
          <w:color w:val="auto"/>
          <w:sz w:val="32"/>
          <w:szCs w:val="32"/>
        </w:rPr>
        <w:t>（网监科、餐饮服务科依职责落实）</w:t>
      </w:r>
      <w:r>
        <w:rPr>
          <w:rFonts w:hint="eastAsia" w:ascii="仿宋_GB2312" w:hAnsi="仿宋_GB2312" w:eastAsia="仿宋_GB2312" w:cs="仿宋_GB2312"/>
          <w:color w:val="auto"/>
          <w:sz w:val="32"/>
          <w:szCs w:val="32"/>
        </w:rPr>
        <w:t>加大监督检查频次和力度，将反餐饮浪费与餐饮食品安全监督检查同频同步开展，组织开展“随机查餐厅”行动，每月至少组织开展1次“随机查餐厅”行动。</w:t>
      </w:r>
      <w:r>
        <w:rPr>
          <w:rFonts w:hint="eastAsia" w:ascii="楷体_GB2312" w:hAnsi="楷体_GB2312" w:eastAsia="楷体_GB2312" w:cs="楷体_GB2312"/>
          <w:color w:val="auto"/>
          <w:sz w:val="32"/>
          <w:szCs w:val="32"/>
        </w:rPr>
        <w:t>（餐饮服务科）</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（二）着力曝光一批违法案件。</w:t>
      </w:r>
      <w:r>
        <w:rPr>
          <w:rFonts w:hint="eastAsia" w:ascii="仿宋_GB2312" w:hAnsi="仿宋_GB2312" w:eastAsia="仿宋_GB2312" w:cs="仿宋_GB2312"/>
          <w:color w:val="auto"/>
          <w:sz w:val="32"/>
          <w:szCs w:val="32"/>
        </w:rPr>
        <w:t>围绕餐饮外卖点餐和婚宴、自助餐、单位食堂等重点环节，从严从速查处、纠正未主动提示、诱导点餐等违法行为。组织公布典型案例，强化震慑效应。</w:t>
      </w:r>
      <w:r>
        <w:rPr>
          <w:rFonts w:hint="eastAsia" w:ascii="楷体_GB2312" w:hAnsi="楷体_GB2312" w:eastAsia="楷体_GB2312" w:cs="楷体_GB2312"/>
          <w:color w:val="auto"/>
          <w:sz w:val="32"/>
          <w:szCs w:val="32"/>
        </w:rPr>
        <w:t>（执法大队）</w:t>
      </w:r>
      <w:r>
        <w:rPr>
          <w:rFonts w:hint="eastAsia" w:ascii="仿宋_GB2312" w:hAnsi="仿宋_GB2312" w:eastAsia="仿宋_GB2312" w:cs="仿宋_GB2312"/>
          <w:color w:val="auto"/>
          <w:sz w:val="32"/>
          <w:szCs w:val="32"/>
        </w:rPr>
        <w:t>把《反食品浪费法》《山东省反食品浪费规定》纳入区局普法责任制清单，落实执法者普法责任，引导餐饮服务经营者增强守法意识，树立节约理念。</w:t>
      </w:r>
      <w:r>
        <w:rPr>
          <w:rFonts w:hint="eastAsia" w:ascii="楷体_GB2312" w:hAnsi="楷体_GB2312" w:eastAsia="楷体_GB2312" w:cs="楷体_GB2312"/>
          <w:color w:val="auto"/>
          <w:sz w:val="32"/>
          <w:szCs w:val="32"/>
        </w:rPr>
        <w:t>（法规科）</w:t>
      </w:r>
      <w:r>
        <w:rPr>
          <w:rFonts w:hint="eastAsia" w:ascii="仿宋_GB2312" w:hAnsi="仿宋_GB2312" w:eastAsia="仿宋_GB2312" w:cs="仿宋_GB2312"/>
          <w:color w:val="auto"/>
          <w:sz w:val="32"/>
          <w:szCs w:val="32"/>
        </w:rPr>
        <w:t>畅通投诉举报渠道，引导公众参与监督。</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bCs/>
          <w:color w:val="auto"/>
          <w:sz w:val="32"/>
          <w:szCs w:val="32"/>
        </w:rPr>
        <w:t>投诉受理室</w:t>
      </w:r>
      <w:r>
        <w:rPr>
          <w:rFonts w:hint="eastAsia" w:ascii="楷体_GB2312" w:hAnsi="楷体_GB2312" w:eastAsia="楷体_GB2312" w:cs="楷体_GB2312"/>
          <w:color w:val="auto"/>
          <w:sz w:val="32"/>
          <w:szCs w:val="32"/>
        </w:rPr>
        <w:t>牵头，各相关科所配合）</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（三）着力推动一批标准宣贯。</w:t>
      </w:r>
      <w:r>
        <w:rPr>
          <w:rFonts w:hint="eastAsia" w:ascii="仿宋_GB2312" w:hAnsi="仿宋_GB2312" w:eastAsia="仿宋_GB2312" w:cs="仿宋_GB2312"/>
          <w:color w:val="auto"/>
          <w:sz w:val="32"/>
          <w:szCs w:val="32"/>
        </w:rPr>
        <w:t>推动相关行业协会制定一批团体标准，规范行业行为。全面梳理现行国家和地方标准，组织召开《餐饮分餐制服务指南》《餐饮业供应链管理指南》《外卖餐品信息描述规范》《绿色餐饮经营与管理》等四项国家标准宣贯会。依托国家级服务业标准化试点，提炼总结我区制止餐饮浪费的标准化工作经验做法。</w:t>
      </w:r>
      <w:r>
        <w:rPr>
          <w:rFonts w:hint="eastAsia" w:ascii="楷体_GB2312" w:hAnsi="楷体_GB2312" w:eastAsia="楷体_GB2312" w:cs="楷体_GB2312"/>
          <w:color w:val="auto"/>
          <w:sz w:val="32"/>
          <w:szCs w:val="32"/>
        </w:rPr>
        <w:t>（标准化与计量科）</w:t>
      </w:r>
    </w:p>
    <w:p>
      <w:pPr>
        <w:spacing w:line="570" w:lineRule="exact"/>
        <w:ind w:firstLine="640" w:firstLineChars="200"/>
        <w:rPr>
          <w:rFonts w:hint="eastAsia" w:ascii="仿宋_GB2312" w:eastAsia="仿宋_GB2312"/>
          <w:bCs/>
          <w:color w:val="auto"/>
          <w:sz w:val="32"/>
          <w:szCs w:val="32"/>
        </w:rPr>
      </w:pPr>
      <w:r>
        <w:rPr>
          <w:rFonts w:hint="eastAsia" w:ascii="楷体_GB2312" w:hAnsi="楷体_GB2312" w:eastAsia="楷体_GB2312" w:cs="楷体_GB2312"/>
          <w:color w:val="auto"/>
          <w:sz w:val="32"/>
          <w:szCs w:val="32"/>
        </w:rPr>
        <w:t>（四）着力宣传一批典型经验。</w:t>
      </w:r>
      <w:r>
        <w:rPr>
          <w:rFonts w:hint="eastAsia" w:ascii="仿宋_GB2312" w:hAnsi="仿宋_GB2312" w:eastAsia="仿宋_GB2312" w:cs="仿宋_GB2312"/>
          <w:color w:val="auto"/>
          <w:sz w:val="32"/>
          <w:szCs w:val="32"/>
        </w:rPr>
        <w:t>根据工作实际，强化正面宣传，各相关业务科室及时总结本业务领域制止餐饮浪费的经验做法，提供宣传素材，在此基础上</w:t>
      </w:r>
      <w:r>
        <w:rPr>
          <w:rFonts w:hint="eastAsia" w:ascii="仿宋_GB2312" w:hAnsi="仿宋_GB2312" w:eastAsia="仿宋_GB2312" w:cs="仿宋_GB2312"/>
          <w:color w:val="auto"/>
          <w:sz w:val="32"/>
          <w:szCs w:val="32"/>
          <w:lang w:val="en-US" w:eastAsia="zh-CN"/>
        </w:rPr>
        <w:t>办公室</w:t>
      </w:r>
      <w:r>
        <w:rPr>
          <w:rFonts w:hint="eastAsia" w:ascii="仿宋_GB2312" w:hAnsi="仿宋_GB2312" w:eastAsia="仿宋_GB2312" w:cs="仿宋_GB2312"/>
          <w:color w:val="auto"/>
          <w:sz w:val="32"/>
          <w:szCs w:val="32"/>
        </w:rPr>
        <w:t>统筹把握，加强与媒体沟通联系，对重点工作跟踪报道，及时发布阶段性成果。通过群众喜闻乐见的方式，引导市场主体认真履行制止餐饮浪费主体责任，倡导公众科学、理性、文明消费。加强舆情转办处置，有关宣传稿件发布前要进行专门的舆情评估，从源头上杜绝负面舆情风险。对已经发生的舆情，按照线上舆情线下处置、属地处置、快速处置、依法处置的要求，积极稳妥做好工作，强化舆论引导，营造良好舆论氛围。</w:t>
      </w:r>
      <w:r>
        <w:rPr>
          <w:rFonts w:hint="eastAsia" w:ascii="楷体_GB2312" w:hAnsi="楷体_GB2312" w:eastAsia="楷体_GB2312" w:cs="楷体_GB2312"/>
          <w:color w:val="auto"/>
          <w:sz w:val="32"/>
          <w:szCs w:val="32"/>
        </w:rPr>
        <w:t>（相关业务科室，办公室配合）</w:t>
      </w:r>
      <w:r>
        <w:rPr>
          <w:rFonts w:hint="eastAsia" w:ascii="仿宋_GB2312" w:hAnsi="仿宋_GB2312" w:eastAsia="仿宋_GB2312" w:cs="仿宋_GB2312"/>
          <w:color w:val="auto"/>
          <w:sz w:val="32"/>
          <w:szCs w:val="32"/>
        </w:rPr>
        <w:t>在餐饮聚集区、城市综合体和食品安全示范街等重点区域显著位置，设置张贴反餐饮食品浪费公益宣传；推广反餐饮浪费“红黑榜”公示制度，至少公示3批。</w:t>
      </w:r>
      <w:r>
        <w:rPr>
          <w:rFonts w:hint="eastAsia" w:ascii="楷体_GB2312" w:hAnsi="楷体_GB2312" w:eastAsia="楷体_GB2312" w:cs="楷体_GB2312"/>
          <w:color w:val="auto"/>
          <w:sz w:val="32"/>
          <w:szCs w:val="32"/>
        </w:rPr>
        <w:t>（餐饮服务科）</w:t>
      </w:r>
      <w:r>
        <w:rPr>
          <w:rFonts w:hint="eastAsia" w:ascii="仿宋_GB2312" w:eastAsia="仿宋_GB2312"/>
          <w:bCs/>
          <w:color w:val="auto"/>
          <w:sz w:val="32"/>
          <w:szCs w:val="32"/>
        </w:rPr>
        <w:t>向社会发布</w:t>
      </w:r>
      <w:r>
        <w:rPr>
          <w:rFonts w:ascii="仿宋_GB2312" w:eastAsia="仿宋_GB2312"/>
          <w:bCs/>
          <w:color w:val="auto"/>
          <w:sz w:val="32"/>
          <w:szCs w:val="32"/>
        </w:rPr>
        <w:t>反</w:t>
      </w:r>
      <w:r>
        <w:rPr>
          <w:rFonts w:hint="eastAsia" w:ascii="仿宋_GB2312" w:eastAsia="仿宋_GB2312"/>
          <w:bCs/>
          <w:color w:val="auto"/>
          <w:sz w:val="32"/>
          <w:szCs w:val="32"/>
        </w:rPr>
        <w:t>对</w:t>
      </w:r>
      <w:r>
        <w:rPr>
          <w:rFonts w:ascii="仿宋_GB2312" w:eastAsia="仿宋_GB2312"/>
          <w:bCs/>
          <w:color w:val="auto"/>
          <w:sz w:val="32"/>
          <w:szCs w:val="32"/>
        </w:rPr>
        <w:t>餐饮浪费倡议</w:t>
      </w:r>
      <w:r>
        <w:rPr>
          <w:rFonts w:hint="eastAsia" w:ascii="仿宋_GB2312" w:eastAsia="仿宋_GB2312"/>
          <w:bCs/>
          <w:color w:val="auto"/>
          <w:sz w:val="32"/>
          <w:szCs w:val="32"/>
        </w:rPr>
        <w:t>书，联合制发合理适度点餐的宣传海报，邀请专家讲授科学合理膳食知识，组织律师对《反食品浪费法》</w:t>
      </w:r>
      <w:r>
        <w:rPr>
          <w:rFonts w:hint="eastAsia" w:ascii="仿宋_GB2312" w:hAnsi="仿宋_GB2312" w:eastAsia="仿宋_GB2312" w:cs="仿宋_GB2312"/>
          <w:color w:val="auto"/>
          <w:sz w:val="32"/>
          <w:szCs w:val="32"/>
        </w:rPr>
        <w:t>《山东省反食品浪费规定》</w:t>
      </w:r>
      <w:r>
        <w:rPr>
          <w:rFonts w:hint="eastAsia" w:ascii="仿宋_GB2312" w:eastAsia="仿宋_GB2312"/>
          <w:bCs/>
          <w:color w:val="auto"/>
          <w:sz w:val="32"/>
          <w:szCs w:val="32"/>
        </w:rPr>
        <w:t>进行解读，发动志愿者开展反食品浪费行为“随手拍”活动。（投诉受理室）</w:t>
      </w:r>
    </w:p>
    <w:p>
      <w:pPr>
        <w:spacing w:line="570" w:lineRule="exact"/>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rPr>
        <w:t>（五）着力出台一批长效机制。</w:t>
      </w:r>
      <w:r>
        <w:rPr>
          <w:rFonts w:hint="eastAsia" w:ascii="仿宋_GB2312" w:hAnsi="仿宋_GB2312" w:eastAsia="仿宋_GB2312" w:cs="仿宋_GB2312"/>
          <w:color w:val="auto"/>
          <w:sz w:val="32"/>
          <w:szCs w:val="32"/>
        </w:rPr>
        <w:t>督促餐饮服务经营者积极推广“小份菜”、“半份菜”、“网络点餐明示食品重量”等做法，以醒目方式提示消费者适量点餐，主动提供打包服务，倡导使用可降解打包、外卖餐盒餐具。指导行业协会加强行业自律，制定相关制度规范，发布制止餐饮浪费倡议，</w:t>
      </w:r>
      <w:r>
        <w:rPr>
          <w:rFonts w:hint="eastAsia" w:ascii="Times New Roman" w:hAnsi="Times New Roman" w:eastAsia="仿宋_GB2312" w:cs="Times New Roman"/>
          <w:color w:val="auto"/>
          <w:sz w:val="32"/>
          <w:szCs w:val="32"/>
        </w:rPr>
        <w:t>以区县为单位</w:t>
      </w:r>
      <w:r>
        <w:rPr>
          <w:rFonts w:ascii="Times New Roman" w:hAnsi="Times New Roman" w:eastAsia="仿宋_GB2312" w:cs="Times New Roman"/>
          <w:color w:val="auto"/>
          <w:sz w:val="32"/>
          <w:szCs w:val="32"/>
        </w:rPr>
        <w:t>开展“十大节约餐饮单位”评选活动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培树节约标杆企业</w:t>
      </w:r>
      <w:r>
        <w:rPr>
          <w:rFonts w:hint="eastAsia" w:ascii="仿宋_GB2312" w:eastAsia="仿宋_GB2312"/>
          <w:color w:val="auto"/>
          <w:sz w:val="32"/>
          <w:szCs w:val="32"/>
        </w:rPr>
        <w:t>；推行消费者“光盘行动”优惠奖励机制，发挥示范引领作用</w:t>
      </w:r>
      <w:r>
        <w:rPr>
          <w:rFonts w:ascii="Times New Roman" w:hAnsi="Times New Roman" w:eastAsia="仿宋_GB2312" w:cs="Times New Roman"/>
          <w:color w:val="auto"/>
          <w:sz w:val="32"/>
          <w:szCs w:val="32"/>
        </w:rPr>
        <w:t>。</w:t>
      </w:r>
      <w:r>
        <w:rPr>
          <w:rFonts w:hint="eastAsia" w:ascii="楷体_GB2312" w:hAnsi="楷体_GB2312" w:eastAsia="楷体_GB2312" w:cs="楷体_GB2312"/>
          <w:color w:val="auto"/>
          <w:sz w:val="32"/>
          <w:szCs w:val="32"/>
        </w:rPr>
        <w:t>（餐饮服务科）</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四、实施步骤</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（一）制定方案，全面排查（3月底前）。</w:t>
      </w:r>
      <w:r>
        <w:rPr>
          <w:rFonts w:hint="eastAsia" w:ascii="仿宋_GB2312" w:hAnsi="仿宋_GB2312" w:eastAsia="仿宋_GB2312" w:cs="仿宋_GB2312"/>
          <w:color w:val="auto"/>
          <w:sz w:val="32"/>
          <w:szCs w:val="32"/>
        </w:rPr>
        <w:t>区局细化制定专项行动工作方案，成立领导小组，设立工作专班。重点摸清婚宴、自助餐餐饮服务经营者底数，指导经营者与婚宴主办方以主动提醒、签订承诺书等形式，减少餐饮浪费。全面梳理在监督检查、案件查办、投诉举报、媒体曝光中发现的问题线索，聚焦重点任务，全面开展排查整改。督促餐饮服务经营者、网络交易平台对照《反食品浪费法》《山东省反食品浪费规定》开展自查自纠，及时整改到位。充分利用网络监测平台，梳理外卖点餐带来的浪费问题，开展专项监督检查。</w:t>
      </w:r>
      <w:r>
        <w:rPr>
          <w:rFonts w:hint="eastAsia" w:ascii="仿宋_GB2312" w:eastAsia="仿宋_GB2312"/>
          <w:color w:val="auto"/>
          <w:sz w:val="32"/>
          <w:szCs w:val="32"/>
        </w:rPr>
        <w:t>依托餐饮食品安全培训考核“两库一平台”等，通过线上、线下多种方式，开展监管人员、餐饮服务经营者反餐饮浪费专题培训。</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（二）强化执法，集中整治（4月底前）。</w:t>
      </w:r>
      <w:r>
        <w:rPr>
          <w:rFonts w:hint="eastAsia" w:ascii="仿宋_GB2312" w:hAnsi="仿宋_GB2312" w:eastAsia="仿宋_GB2312" w:cs="仿宋_GB2312"/>
          <w:color w:val="auto"/>
          <w:sz w:val="32"/>
          <w:szCs w:val="32"/>
        </w:rPr>
        <w:t>区局工作专班要组织力量，以“四不两直”方式进行明查暗访，针对排查中发现的突出问题，督促加大整改和查处力度，坚持规范引领和监管处罚并重，着力解决外卖点餐和婚宴、自助餐等方面存在的食品浪费行为。强化部门联动，开展重点监督检查，整改一批，处罚一批，推动企业通过自我承诺、自我声明等方式履行制止餐饮浪费主体责任。发挥示范引领作用，总结好做法，挖掘好经验，集中宣传报道，曝光典型案例，发挥震慑作用。</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（三）督导考核，健全机制（5月底前）。</w:t>
      </w:r>
      <w:r>
        <w:rPr>
          <w:rFonts w:hint="eastAsia" w:ascii="仿宋_GB2312" w:hAnsi="仿宋_GB2312" w:eastAsia="仿宋_GB2312" w:cs="仿宋_GB2312"/>
          <w:color w:val="auto"/>
          <w:sz w:val="32"/>
          <w:szCs w:val="32"/>
        </w:rPr>
        <w:t>区局工作专班围绕排查整改、治理突出问题、建立长效机制等重点工作，将践行“光盘行动”纳入食品安全日常监管、“两个责任”、工作评议、示范创建等制度机制，制定考核验收标准和办法，对基层进行跟踪问效。</w:t>
      </w:r>
      <w:r>
        <w:rPr>
          <w:rFonts w:hint="eastAsia" w:ascii="仿宋_GB2312" w:eastAsia="仿宋_GB2312"/>
          <w:color w:val="auto"/>
          <w:sz w:val="32"/>
          <w:szCs w:val="32"/>
        </w:rPr>
        <w:t>指导餐饮行业协会推动重点餐饮企业建立餐费打折、发放优惠券等奖励机制。各重点任务牵头（责任）单位</w:t>
      </w:r>
      <w:r>
        <w:rPr>
          <w:rFonts w:hint="eastAsia" w:ascii="仿宋_GB2312" w:hAnsi="仿宋_GB2312" w:eastAsia="仿宋_GB2312" w:cs="仿宋_GB2312"/>
          <w:color w:val="auto"/>
          <w:sz w:val="32"/>
          <w:szCs w:val="32"/>
        </w:rPr>
        <w:t>总结评估本单位负责工作，梳理专项行动期间解决的突出问题、建立的制度机制、配套的标准规范体系，全面总结工作经验成果，并将有关情况报区局专项行动领导小组综合协调组。</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五、工作要求</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（一）强化组织领导。</w:t>
      </w:r>
      <w:r>
        <w:rPr>
          <w:rFonts w:hint="eastAsia" w:ascii="仿宋_GB2312" w:hAnsi="仿宋_GB2312" w:eastAsia="仿宋_GB2312" w:cs="仿宋_GB2312"/>
          <w:color w:val="auto"/>
          <w:sz w:val="32"/>
          <w:szCs w:val="32"/>
        </w:rPr>
        <w:t>区局成立以主要负责同志为组长的领导小组，下设6个专项工作组。坚持问题导向，紧盯重点平台、重点环节、重点问题，加大督导检查、执法处罚工作力度，集中力量打击浪费严重、社会影响力大的案件，推动餐饮浪费行为得到有效遏制。</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（二）强化协作配合。</w:t>
      </w:r>
      <w:r>
        <w:rPr>
          <w:rFonts w:hint="eastAsia" w:ascii="仿宋_GB2312" w:hAnsi="仿宋_GB2312" w:eastAsia="仿宋_GB2312" w:cs="仿宋_GB2312"/>
          <w:color w:val="auto"/>
          <w:sz w:val="32"/>
          <w:szCs w:val="32"/>
        </w:rPr>
        <w:t>要加强协调联动，及时协商研究解决各类新情况、新问题。畅通信息报送渠道，动态沟通工作情况，形成多部门协作配合、同向发力工作格局。通过调度会、工作简报等多种形式，及时通报专项行动经验做法，推动相互借鉴、比学赶超。</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（三）强化建章立制</w:t>
      </w:r>
      <w:r>
        <w:rPr>
          <w:rFonts w:hint="eastAsia" w:ascii="仿宋_GB2312" w:hAnsi="仿宋_GB2312" w:eastAsia="仿宋_GB2312" w:cs="仿宋_GB2312"/>
          <w:color w:val="auto"/>
          <w:sz w:val="32"/>
          <w:szCs w:val="32"/>
        </w:rPr>
        <w:t>。及时提炼总结专项行动成效做法，积极探索制止餐饮浪费的新思路新方法，将工作推进情况纳入食品安全工作评议和示范创建评审内容，推动建立健全餐饮行业厉行节约、反对浪费的长效工作机制。</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请各重点任务牵头(责任）单位，依职责填写《市场监管系统制止餐饮浪费专项行动统计表》（附件2），并于每月2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日前报区局食品安全协调科公务邮箱。</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联系人：付  杰，电 话：85891801</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 箱：jnslcqsab@jn.shandong.cn</w:t>
      </w:r>
    </w:p>
    <w:p>
      <w:pPr>
        <w:spacing w:line="570" w:lineRule="exact"/>
        <w:ind w:firstLine="640" w:firstLineChars="200"/>
        <w:rPr>
          <w:rFonts w:ascii="仿宋_GB2312" w:hAnsi="仿宋_GB2312" w:eastAsia="仿宋_GB2312" w:cs="仿宋_GB2312"/>
          <w:color w:val="auto"/>
          <w:sz w:val="32"/>
          <w:szCs w:val="32"/>
        </w:rPr>
      </w:pPr>
    </w:p>
    <w:p>
      <w:pPr>
        <w:pStyle w:val="2"/>
        <w:rPr>
          <w:color w:val="auto"/>
        </w:rPr>
      </w:pP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附件：1.济南市历城区市场监督管理局制止餐饮浪费</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专项行动领导小组</w:t>
      </w:r>
    </w:p>
    <w:p>
      <w:pPr>
        <w:spacing w:line="57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2.市场监管系统制止餐饮浪费专项行动统计表</w:t>
      </w:r>
    </w:p>
    <w:p>
      <w:pPr>
        <w:spacing w:line="570" w:lineRule="exact"/>
        <w:ind w:firstLine="2880" w:firstLineChars="900"/>
        <w:rPr>
          <w:rFonts w:ascii="仿宋_GB2312" w:hAnsi="仿宋_GB2312" w:eastAsia="仿宋_GB2312" w:cs="仿宋_GB2312"/>
          <w:color w:val="auto"/>
          <w:sz w:val="32"/>
          <w:szCs w:val="32"/>
        </w:rPr>
      </w:pPr>
    </w:p>
    <w:p>
      <w:pPr>
        <w:spacing w:line="570" w:lineRule="exact"/>
        <w:ind w:firstLine="3520" w:firstLineChars="1100"/>
        <w:rPr>
          <w:rFonts w:ascii="仿宋_GB2312" w:hAnsi="仿宋_GB2312" w:eastAsia="仿宋_GB2312" w:cs="仿宋_GB2312"/>
          <w:color w:val="auto"/>
          <w:sz w:val="32"/>
          <w:szCs w:val="32"/>
        </w:rPr>
      </w:pPr>
    </w:p>
    <w:p>
      <w:pPr>
        <w:wordWrap w:val="0"/>
        <w:spacing w:line="570" w:lineRule="exact"/>
        <w:ind w:firstLine="3520" w:firstLineChars="11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济南市历城区市场监督管理局     </w:t>
      </w:r>
    </w:p>
    <w:p>
      <w:pPr>
        <w:wordWrap w:val="0"/>
        <w:spacing w:line="570" w:lineRule="exact"/>
        <w:ind w:firstLine="4160" w:firstLineChars="13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日       </w:t>
      </w:r>
    </w:p>
    <w:p>
      <w:pPr>
        <w:pStyle w:val="2"/>
        <w:ind w:firstLine="640"/>
        <w:rPr>
          <w:rFonts w:ascii="仿宋_GB2312" w:hAnsi="仿宋_GB2312" w:eastAsia="仿宋_GB2312" w:cs="仿宋_GB2312"/>
          <w:color w:val="auto"/>
          <w:sz w:val="32"/>
          <w:szCs w:val="32"/>
        </w:rPr>
      </w:pPr>
    </w:p>
    <w:p>
      <w:pPr>
        <w:pStyle w:val="2"/>
        <w:ind w:left="0" w:leftChars="0"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spacing w:line="57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57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附件1</w:t>
      </w:r>
    </w:p>
    <w:p>
      <w:pPr>
        <w:spacing w:line="570" w:lineRule="exact"/>
        <w:jc w:val="right"/>
        <w:rPr>
          <w:rFonts w:ascii="仿宋_GB2312" w:hAnsi="仿宋_GB2312" w:eastAsia="仿宋_GB2312" w:cs="仿宋_GB2312"/>
          <w:color w:val="auto"/>
          <w:sz w:val="32"/>
          <w:szCs w:val="32"/>
        </w:rPr>
      </w:pP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济南市历城区市场监督管理局</w:t>
      </w:r>
    </w:p>
    <w:p>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制止餐饮浪费专项行动领导小组</w:t>
      </w:r>
    </w:p>
    <w:p>
      <w:pPr>
        <w:spacing w:line="570" w:lineRule="exact"/>
        <w:ind w:firstLine="640" w:firstLineChars="200"/>
        <w:rPr>
          <w:rFonts w:ascii="仿宋_GB2312" w:hAnsi="仿宋_GB2312" w:eastAsia="仿宋_GB2312" w:cs="仿宋_GB2312"/>
          <w:color w:val="auto"/>
          <w:sz w:val="32"/>
          <w:szCs w:val="32"/>
        </w:rPr>
      </w:pP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为贯彻落实习近平总书记关于制止餐饮浪费的重要批示精神，市市场监管局决定成立制止餐饮浪费专项行动领导小组。</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一、主要职责</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领导小组负责统筹指导专项行动，研究解决重大问题，督促完善工作机制，推动各项任务落地落实。</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二、组成人员</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长：陈学柱   党组书记、局长</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副组长：李福生   党组成员、副处级干部</w:t>
      </w:r>
    </w:p>
    <w:p>
      <w:pPr>
        <w:spacing w:line="570" w:lineRule="exact"/>
        <w:ind w:firstLine="1920" w:firstLineChars="600"/>
        <w:rPr>
          <w:rFonts w:hint="default" w:eastAsia="宋体"/>
          <w:color w:val="auto"/>
          <w:lang w:val="en-US" w:eastAsia="zh-CN"/>
        </w:rPr>
      </w:pPr>
      <w:r>
        <w:rPr>
          <w:rFonts w:hint="eastAsia" w:ascii="仿宋_GB2312" w:hAnsi="仿宋_GB2312" w:eastAsia="仿宋_GB2312" w:cs="仿宋_GB2312"/>
          <w:color w:val="auto"/>
          <w:sz w:val="32"/>
          <w:szCs w:val="32"/>
        </w:rPr>
        <w:t>赵  鑫   副局长</w:t>
      </w:r>
      <w:r>
        <w:rPr>
          <w:rFonts w:hint="eastAsia"/>
          <w:color w:val="auto"/>
          <w:lang w:val="en-US" w:eastAsia="zh-CN"/>
        </w:rPr>
        <w:t xml:space="preserve">         </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  员：陈法新   办公室主任</w:t>
      </w:r>
    </w:p>
    <w:p>
      <w:pPr>
        <w:spacing w:line="570" w:lineRule="exact"/>
        <w:ind w:firstLine="1920" w:firstLineChars="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郭  梓   政策法规科</w:t>
      </w:r>
      <w:r>
        <w:rPr>
          <w:rFonts w:hint="eastAsia" w:ascii="仿宋_GB2312" w:hAnsi="仿宋_GB2312" w:eastAsia="仿宋_GB2312" w:cs="仿宋_GB2312"/>
          <w:color w:val="auto"/>
          <w:sz w:val="32"/>
          <w:szCs w:val="32"/>
          <w:lang w:val="en-US" w:eastAsia="zh-CN"/>
        </w:rPr>
        <w:t>负责人</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王凤福   信用监管科</w:t>
      </w:r>
      <w:r>
        <w:rPr>
          <w:rFonts w:hint="eastAsia" w:ascii="仿宋_GB2312" w:hAnsi="仿宋_GB2312" w:eastAsia="仿宋_GB2312" w:cs="仿宋_GB2312"/>
          <w:color w:val="auto"/>
          <w:sz w:val="32"/>
          <w:szCs w:val="32"/>
          <w:lang w:val="en-US" w:eastAsia="zh-CN"/>
        </w:rPr>
        <w:t>负责人</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  静   价格监督检查和反不正当竞争科科长</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杜志航   网络交易监管科科长</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崔  涛   质量监管科科长</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刘宝娣   食品安全协调科科长</w:t>
      </w:r>
    </w:p>
    <w:p>
      <w:pPr>
        <w:spacing w:line="570" w:lineRule="exact"/>
        <w:ind w:firstLine="1920" w:firstLineChars="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张晓阳   餐饮服务</w:t>
      </w:r>
      <w:r>
        <w:rPr>
          <w:rFonts w:hint="eastAsia" w:ascii="仿宋_GB2312" w:hAnsi="仿宋_GB2312" w:eastAsia="仿宋_GB2312" w:cs="仿宋_GB2312"/>
          <w:color w:val="auto"/>
          <w:sz w:val="32"/>
          <w:szCs w:val="32"/>
          <w:lang w:val="en-US" w:eastAsia="zh-CN"/>
        </w:rPr>
        <w:t>食品安全监管</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val="en-US" w:eastAsia="zh-CN"/>
        </w:rPr>
        <w:t>负责人</w:t>
      </w:r>
    </w:p>
    <w:p>
      <w:pPr>
        <w:spacing w:line="57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王东兴   标准化与计量</w:t>
      </w:r>
      <w:r>
        <w:rPr>
          <w:rFonts w:hint="eastAsia" w:ascii="仿宋_GB2312" w:hAnsi="仿宋_GB2312" w:eastAsia="仿宋_GB2312" w:cs="仿宋_GB2312"/>
          <w:color w:val="auto"/>
          <w:sz w:val="32"/>
          <w:szCs w:val="32"/>
        </w:rPr>
        <w:t>科科长</w:t>
      </w:r>
    </w:p>
    <w:p>
      <w:pPr>
        <w:spacing w:line="570" w:lineRule="exact"/>
        <w:ind w:firstLine="1920" w:firstLineChars="6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方庆海</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综合行政执法大队副大队长</w:t>
      </w:r>
    </w:p>
    <w:p>
      <w:pPr>
        <w:spacing w:line="57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武广艳   投诉受理室负责人</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领导小组下设6个专项工作组：</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(一)综合协调组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主要任务：负责各部门及各专项组工作协调、会议组织筹备、跟踪督办、编发简报、起草重要文件等。</w:t>
      </w:r>
    </w:p>
    <w:p>
      <w:pPr>
        <w:spacing w:line="570" w:lineRule="exact"/>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组长：刘宝娣 食品安全协调科科长</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(二)平台责任落实组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主要任务：落实区局关于平台主体责任的安排部署，压实平台责任，规范外卖行为。</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组长：杜志航 网络交易监管科科长</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(三)餐饮环节监管组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主要任务：落实区局加强餐饮环节浪费行为监管的安排部署，督促餐饮服务经营者落实《反食品浪费法》各项措施，严查违法违规行为。</w:t>
      </w:r>
    </w:p>
    <w:p>
      <w:pPr>
        <w:spacing w:line="57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组长：张晓阳 餐饮服务食品安全监管科</w:t>
      </w:r>
      <w:r>
        <w:rPr>
          <w:rFonts w:hint="eastAsia" w:ascii="仿宋_GB2312" w:hAnsi="仿宋_GB2312" w:eastAsia="仿宋_GB2312" w:cs="仿宋_GB2312"/>
          <w:color w:val="auto"/>
          <w:sz w:val="32"/>
          <w:szCs w:val="32"/>
          <w:lang w:val="en-US" w:eastAsia="zh-CN"/>
        </w:rPr>
        <w:t>负责人</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(四)标准规范组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主要任务：落实区局制止餐饮浪费标准化工作的安排部署，完善反食品浪费相关标准规范。</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组长：王东兴 标准化与计量科科长</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(五)执法稽查组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主要任务：落实区局制止餐饮浪费执法稽查工作的安排部署，组织明查暗访，查办重点案件并公开曝光。</w:t>
      </w:r>
    </w:p>
    <w:p>
      <w:pPr>
        <w:spacing w:line="57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val="en-US" w:eastAsia="zh-CN"/>
        </w:rPr>
        <w:t>方庆海</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综合行政执法大队副大队长</w:t>
      </w:r>
    </w:p>
    <w:p>
      <w:pPr>
        <w:spacing w:line="57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(六)新闻宣传组</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主要任务：落实区局制止餐饮浪费新闻宣传工作的安排部署，组织重点宣传活动，开展系列宣传报道，强化舆情监测。</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组长：陈法新 办公室主任</w:t>
      </w:r>
    </w:p>
    <w:p>
      <w:pPr>
        <w:spacing w:line="57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三、工作机制</w:t>
      </w:r>
    </w:p>
    <w:p>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领导小组和各工作组按以下机制开展工作：</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(一)会商调度机制。</w:t>
      </w:r>
      <w:r>
        <w:rPr>
          <w:rFonts w:hint="eastAsia" w:ascii="仿宋_GB2312" w:hAnsi="仿宋_GB2312" w:eastAsia="仿宋_GB2312" w:cs="仿宋_GB2312"/>
          <w:color w:val="auto"/>
          <w:sz w:val="32"/>
          <w:szCs w:val="32"/>
        </w:rPr>
        <w:t>领导小组定期召开工作会议，听取工作进展情况汇报，研究部署重点任务，交流经验，通报问题，会后以纪要形式明确任务分工和落实措施。</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(二)督促落实机制。</w:t>
      </w:r>
      <w:r>
        <w:rPr>
          <w:rFonts w:hint="eastAsia" w:ascii="仿宋_GB2312" w:hAnsi="仿宋_GB2312" w:eastAsia="仿宋_GB2312" w:cs="仿宋_GB2312"/>
          <w:color w:val="auto"/>
          <w:sz w:val="32"/>
          <w:szCs w:val="32"/>
        </w:rPr>
        <w:t>各专项工作组建立工作台账，定期汇总进展情况，跟踪督办，逐项对照销号；视情采取“四不两直”方式，组织对全区餐饮浪费情况开展明查暗访，现场督办整改；对工作不力、拖沓敷衍的进行通报约谈。</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(三)信息交流机制。</w:t>
      </w:r>
      <w:r>
        <w:rPr>
          <w:rFonts w:hint="eastAsia" w:ascii="仿宋_GB2312" w:hAnsi="仿宋_GB2312" w:eastAsia="仿宋_GB2312" w:cs="仿宋_GB2312"/>
          <w:color w:val="auto"/>
          <w:sz w:val="32"/>
          <w:szCs w:val="32"/>
        </w:rPr>
        <w:t>各专项工作组指定专人负责及时总结工作进展和经验做法，每周报送制止餐饮浪费工作信息，由综合协调组汇总后作为简报信息上报市局。</w:t>
      </w:r>
    </w:p>
    <w:p>
      <w:pPr>
        <w:spacing w:line="57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(四)协调联络机制。</w:t>
      </w:r>
      <w:r>
        <w:rPr>
          <w:rFonts w:hint="eastAsia" w:ascii="仿宋_GB2312" w:hAnsi="仿宋_GB2312" w:eastAsia="仿宋_GB2312" w:cs="仿宋_GB2312"/>
          <w:color w:val="auto"/>
          <w:sz w:val="32"/>
          <w:szCs w:val="32"/>
        </w:rPr>
        <w:t>综合协调组每周汇总各专项工作组工作进展情况、下周工作计划及拟邀请领导出席的重要活动，及时互通内部信息；强化与区文明办、发展改革</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教育体育</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、工业和信息化局（商</w:t>
      </w:r>
      <w:r>
        <w:rPr>
          <w:rFonts w:hint="eastAsia" w:ascii="仿宋_GB2312" w:hAnsi="仿宋_GB2312" w:eastAsia="仿宋_GB2312" w:cs="仿宋_GB2312"/>
          <w:color w:val="auto"/>
          <w:sz w:val="32"/>
          <w:szCs w:val="32"/>
        </w:rPr>
        <w:t>务局）、住房城乡建设局、机关事务服务中心、行业协会等相关部门和单位沟通联络，密切协作配合，形成工作合力。</w:t>
      </w:r>
    </w:p>
    <w:p>
      <w:pPr>
        <w:spacing w:line="570" w:lineRule="exact"/>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br w:type="page"/>
      </w:r>
    </w:p>
    <w:p>
      <w:pPr>
        <w:spacing w:before="236" w:line="52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before="236" w:line="520" w:lineRule="exact"/>
        <w:jc w:val="center"/>
        <w:rPr>
          <w:rFonts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市场监管系统制止餐饮浪费专项行动统计表</w:t>
      </w:r>
    </w:p>
    <w:p>
      <w:pPr>
        <w:keepNext w:val="0"/>
        <w:keepLines w:val="0"/>
        <w:pageBreakBefore w:val="0"/>
        <w:widowControl w:val="0"/>
        <w:kinsoku/>
        <w:wordWrap/>
        <w:overflowPunct/>
        <w:topLinePunct w:val="0"/>
        <w:autoSpaceDE/>
        <w:autoSpaceDN/>
        <w:bidi w:val="0"/>
        <w:adjustRightInd/>
        <w:snapToGrid/>
        <w:spacing w:before="150" w:line="460" w:lineRule="exact"/>
        <w:textAlignment w:val="auto"/>
        <w:rPr>
          <w:rFonts w:ascii="微软雅黑" w:hAnsi="微软雅黑" w:eastAsia="微软雅黑" w:cs="微软雅黑"/>
          <w:color w:val="auto"/>
          <w:sz w:val="32"/>
          <w:szCs w:val="32"/>
        </w:rPr>
      </w:pPr>
      <w:r>
        <w:rPr>
          <w:rFonts w:hint="eastAsia" w:ascii="楷体" w:hAnsi="楷体" w:eastAsia="楷体" w:cs="楷体"/>
          <w:color w:val="auto"/>
          <w:sz w:val="32"/>
          <w:szCs w:val="32"/>
        </w:rPr>
        <w:t>填报单位：</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 xml:space="preserve">                填报时间：</w:t>
      </w:r>
    </w:p>
    <w:p>
      <w:pPr>
        <w:spacing w:line="92" w:lineRule="exact"/>
        <w:rPr>
          <w:color w:val="auto"/>
        </w:rPr>
      </w:pPr>
    </w:p>
    <w:tbl>
      <w:tblPr>
        <w:tblStyle w:val="11"/>
        <w:tblW w:w="9563" w:type="dxa"/>
        <w:tblInd w:w="-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6"/>
        <w:gridCol w:w="7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66" w:type="dxa"/>
            <w:vAlign w:val="center"/>
          </w:tcPr>
          <w:p>
            <w:pPr>
              <w:spacing w:before="77" w:line="224" w:lineRule="auto"/>
              <w:jc w:val="center"/>
              <w:rPr>
                <w:rFonts w:ascii="黑体" w:hAnsi="黑体" w:eastAsia="黑体" w:cs="黑体"/>
                <w:color w:val="auto"/>
                <w:sz w:val="24"/>
                <w:szCs w:val="24"/>
              </w:rPr>
            </w:pPr>
            <w:r>
              <w:rPr>
                <w:rFonts w:ascii="黑体" w:hAnsi="黑体" w:eastAsia="黑体" w:cs="黑体"/>
                <w:color w:val="auto"/>
                <w:spacing w:val="-4"/>
                <w:sz w:val="24"/>
                <w:szCs w:val="24"/>
              </w:rPr>
              <w:t>内</w:t>
            </w:r>
            <w:r>
              <w:rPr>
                <w:rFonts w:ascii="黑体" w:hAnsi="黑体" w:eastAsia="黑体" w:cs="黑体"/>
                <w:color w:val="auto"/>
                <w:spacing w:val="-3"/>
                <w:sz w:val="24"/>
                <w:szCs w:val="24"/>
              </w:rPr>
              <w:t>容</w:t>
            </w:r>
          </w:p>
        </w:tc>
        <w:tc>
          <w:tcPr>
            <w:tcW w:w="7597" w:type="dxa"/>
            <w:vAlign w:val="center"/>
          </w:tcPr>
          <w:p>
            <w:pPr>
              <w:spacing w:before="77" w:line="223" w:lineRule="auto"/>
              <w:jc w:val="center"/>
              <w:rPr>
                <w:rFonts w:ascii="黑体" w:hAnsi="黑体" w:eastAsia="黑体" w:cs="黑体"/>
                <w:color w:val="auto"/>
                <w:sz w:val="24"/>
                <w:szCs w:val="24"/>
              </w:rPr>
            </w:pPr>
            <w:r>
              <w:rPr>
                <w:rFonts w:ascii="黑体" w:hAnsi="黑体" w:eastAsia="黑体" w:cs="黑体"/>
                <w:color w:val="auto"/>
                <w:spacing w:val="11"/>
                <w:sz w:val="24"/>
                <w:szCs w:val="24"/>
              </w:rPr>
              <w:t>具体项</w:t>
            </w:r>
            <w:r>
              <w:rPr>
                <w:rFonts w:ascii="黑体" w:hAnsi="黑体" w:eastAsia="黑体" w:cs="黑体"/>
                <w:color w:val="auto"/>
                <w:spacing w:val="10"/>
                <w:sz w:val="24"/>
                <w:szCs w:val="24"/>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66" w:type="dxa"/>
            <w:vMerge w:val="restart"/>
            <w:tcBorders>
              <w:bottom w:val="nil"/>
            </w:tcBorders>
            <w:vAlign w:val="center"/>
          </w:tcPr>
          <w:p>
            <w:pPr>
              <w:spacing w:line="360" w:lineRule="exact"/>
              <w:jc w:val="center"/>
              <w:rPr>
                <w:rFonts w:ascii="黑体" w:hAnsi="黑体" w:eastAsia="黑体" w:cs="黑体"/>
                <w:color w:val="auto"/>
                <w:spacing w:val="16"/>
                <w:sz w:val="24"/>
                <w:szCs w:val="24"/>
              </w:rPr>
            </w:pPr>
            <w:r>
              <w:rPr>
                <w:rFonts w:ascii="黑体" w:hAnsi="黑体" w:eastAsia="黑体" w:cs="黑体"/>
                <w:color w:val="auto"/>
                <w:spacing w:val="18"/>
                <w:sz w:val="24"/>
                <w:szCs w:val="24"/>
              </w:rPr>
              <w:t>餐</w:t>
            </w:r>
            <w:r>
              <w:rPr>
                <w:rFonts w:ascii="黑体" w:hAnsi="黑体" w:eastAsia="黑体" w:cs="黑体"/>
                <w:color w:val="auto"/>
                <w:spacing w:val="16"/>
                <w:sz w:val="24"/>
                <w:szCs w:val="24"/>
              </w:rPr>
              <w:t>饮企业落实</w:t>
            </w:r>
          </w:p>
          <w:p>
            <w:pPr>
              <w:spacing w:line="360" w:lineRule="exact"/>
              <w:jc w:val="center"/>
              <w:rPr>
                <w:rFonts w:ascii="黑体" w:hAnsi="黑体" w:eastAsia="黑体" w:cs="黑体"/>
                <w:color w:val="auto"/>
                <w:sz w:val="24"/>
                <w:szCs w:val="24"/>
              </w:rPr>
            </w:pPr>
            <w:r>
              <w:rPr>
                <w:rFonts w:ascii="黑体" w:hAnsi="黑体" w:eastAsia="黑体" w:cs="黑体"/>
                <w:color w:val="auto"/>
                <w:spacing w:val="16"/>
                <w:sz w:val="24"/>
                <w:szCs w:val="24"/>
              </w:rPr>
              <w:t>主体责任情</w:t>
            </w:r>
            <w:r>
              <w:rPr>
                <w:rFonts w:ascii="黑体" w:hAnsi="黑体" w:eastAsia="黑体" w:cs="黑体"/>
                <w:color w:val="auto"/>
                <w:spacing w:val="15"/>
                <w:sz w:val="24"/>
                <w:szCs w:val="24"/>
              </w:rPr>
              <w:t>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督促餐饮服务经营者开展自查自纠数（）家，其中提供外卖的（）家、提供婚宴服务的（）家、提供自助餐服务的（）家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将制止餐饮浪费纳入食品安全日管控、周排查、月调度的餐饮服务企业（）家，占辖区餐饮服务企业总数的比例（）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966" w:type="dxa"/>
            <w:vMerge w:val="continue"/>
            <w:tcBorders>
              <w:top w:val="nil"/>
            </w:tcBorders>
            <w:vAlign w:val="center"/>
          </w:tcPr>
          <w:p>
            <w:pPr>
              <w:spacing w:line="360" w:lineRule="exact"/>
              <w:jc w:val="center"/>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大型餐饮服务企业食品安全总监、食品安全员制止餐饮浪费培训考核合格率达（）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restart"/>
            <w:tcBorders>
              <w:bottom w:val="nil"/>
            </w:tcBorders>
            <w:vAlign w:val="center"/>
          </w:tcPr>
          <w:p>
            <w:pPr>
              <w:spacing w:line="360" w:lineRule="exact"/>
              <w:jc w:val="center"/>
              <w:rPr>
                <w:rFonts w:ascii="黑体" w:hAnsi="黑体" w:eastAsia="黑体" w:cs="黑体"/>
                <w:color w:val="auto"/>
                <w:spacing w:val="14"/>
                <w:sz w:val="24"/>
                <w:szCs w:val="24"/>
              </w:rPr>
            </w:pPr>
            <w:r>
              <w:rPr>
                <w:rFonts w:hint="eastAsia" w:ascii="黑体" w:hAnsi="黑体" w:eastAsia="黑体" w:cs="黑体"/>
                <w:color w:val="auto"/>
                <w:spacing w:val="15"/>
                <w:sz w:val="24"/>
                <w:szCs w:val="24"/>
              </w:rPr>
              <w:t>监</w:t>
            </w:r>
            <w:r>
              <w:rPr>
                <w:rFonts w:hint="eastAsia" w:ascii="黑体" w:hAnsi="黑体" w:eastAsia="黑体" w:cs="黑体"/>
                <w:color w:val="auto"/>
                <w:spacing w:val="14"/>
                <w:sz w:val="24"/>
                <w:szCs w:val="24"/>
              </w:rPr>
              <w:t>督检查</w:t>
            </w:r>
          </w:p>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18"/>
                <w:sz w:val="24"/>
                <w:szCs w:val="24"/>
              </w:rPr>
              <w:t>餐</w:t>
            </w:r>
            <w:r>
              <w:rPr>
                <w:rFonts w:hint="eastAsia" w:ascii="黑体" w:hAnsi="黑体" w:eastAsia="黑体" w:cs="黑体"/>
                <w:color w:val="auto"/>
                <w:spacing w:val="16"/>
                <w:sz w:val="24"/>
                <w:szCs w:val="24"/>
              </w:rPr>
              <w:t>饮企业情况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检查餐饮服务经营者（）家，其中提供外卖的（）家、提供婚宴服务的（）家、提供自助餐服务的（）家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黑体" w:hAnsi="黑体" w:eastAsia="黑体" w:cs="黑体"/>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发现存在餐饮浪费行为的餐饮服务经营者（）家次，整改问题（）个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tcBorders>
            <w:vAlign w:val="center"/>
          </w:tcPr>
          <w:p>
            <w:pPr>
              <w:spacing w:line="360" w:lineRule="exact"/>
              <w:jc w:val="center"/>
              <w:rPr>
                <w:rFonts w:ascii="黑体" w:hAnsi="黑体" w:eastAsia="黑体" w:cs="黑体"/>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开展“随机查餐厅”行动（）次，检查餐饮服务经营者（）家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Align w:val="center"/>
          </w:tcPr>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22"/>
                <w:sz w:val="24"/>
                <w:szCs w:val="24"/>
              </w:rPr>
              <w:t>标</w:t>
            </w:r>
            <w:r>
              <w:rPr>
                <w:rFonts w:hint="eastAsia" w:ascii="黑体" w:hAnsi="黑体" w:eastAsia="黑体" w:cs="黑体"/>
                <w:color w:val="auto"/>
                <w:spacing w:val="17"/>
                <w:sz w:val="24"/>
                <w:szCs w:val="24"/>
              </w:rPr>
              <w:t>准制修订情况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制止餐饮浪费相关地方标准制修订（）个(附实施效果定性定量指标)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restart"/>
            <w:tcBorders>
              <w:bottom w:val="nil"/>
            </w:tcBorders>
            <w:vAlign w:val="center"/>
          </w:tcPr>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15"/>
                <w:position w:val="7"/>
                <w:sz w:val="24"/>
                <w:szCs w:val="24"/>
              </w:rPr>
              <w:t>执</w:t>
            </w:r>
            <w:r>
              <w:rPr>
                <w:rFonts w:hint="eastAsia" w:ascii="黑体" w:hAnsi="黑体" w:eastAsia="黑体" w:cs="黑体"/>
                <w:color w:val="auto"/>
                <w:spacing w:val="14"/>
                <w:position w:val="7"/>
                <w:sz w:val="24"/>
                <w:szCs w:val="24"/>
              </w:rPr>
              <w:t>法稽查</w:t>
            </w:r>
          </w:p>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14"/>
                <w:sz w:val="24"/>
                <w:szCs w:val="24"/>
              </w:rPr>
              <w:t>工作情</w:t>
            </w:r>
            <w:r>
              <w:rPr>
                <w:rFonts w:hint="eastAsia" w:ascii="黑体" w:hAnsi="黑体" w:eastAsia="黑体" w:cs="黑体"/>
                <w:color w:val="auto"/>
                <w:spacing w:val="13"/>
                <w:sz w:val="24"/>
                <w:szCs w:val="24"/>
              </w:rPr>
              <w:t>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责令整改并予以警告的案件（）件，罚款（）件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“回头看”未整改到位被行政处罚的案件（）件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公布典型案例（）个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tcBorders>
            <w:vAlign w:val="center"/>
          </w:tcPr>
          <w:p>
            <w:pPr>
              <w:spacing w:line="360" w:lineRule="exact"/>
              <w:jc w:val="center"/>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发布执法指引、指导案例等细化执法标准措施（）个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restart"/>
            <w:tcBorders>
              <w:bottom w:val="nil"/>
            </w:tcBorders>
            <w:vAlign w:val="center"/>
          </w:tcPr>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20"/>
                <w:sz w:val="24"/>
                <w:szCs w:val="24"/>
              </w:rPr>
              <w:t>培</w:t>
            </w:r>
            <w:r>
              <w:rPr>
                <w:rFonts w:hint="eastAsia" w:ascii="黑体" w:hAnsi="黑体" w:eastAsia="黑体" w:cs="黑体"/>
                <w:color w:val="auto"/>
                <w:spacing w:val="16"/>
                <w:sz w:val="24"/>
                <w:szCs w:val="24"/>
              </w:rPr>
              <w:t>训教育情况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培训餐饮从业人员（）名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黑体" w:hAnsi="黑体" w:eastAsia="黑体" w:cs="黑体"/>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发放培训材料（）份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vAlign w:val="center"/>
          </w:tcPr>
          <w:p>
            <w:pPr>
              <w:spacing w:line="360" w:lineRule="exact"/>
              <w:jc w:val="center"/>
              <w:rPr>
                <w:rFonts w:ascii="黑体" w:hAnsi="黑体" w:eastAsia="黑体" w:cs="黑体"/>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培训监管人员（）名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tcBorders>
            <w:vAlign w:val="center"/>
          </w:tcPr>
          <w:p>
            <w:pPr>
              <w:spacing w:line="360" w:lineRule="exact"/>
              <w:jc w:val="center"/>
              <w:rPr>
                <w:rFonts w:ascii="黑体" w:hAnsi="黑体" w:eastAsia="黑体" w:cs="黑体"/>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组织专题培训班（）个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restart"/>
            <w:tcBorders>
              <w:bottom w:val="nil"/>
            </w:tcBorders>
            <w:vAlign w:val="center"/>
          </w:tcPr>
          <w:p>
            <w:pPr>
              <w:spacing w:line="360" w:lineRule="exact"/>
              <w:jc w:val="center"/>
              <w:rPr>
                <w:rFonts w:ascii="黑体" w:hAnsi="黑体" w:eastAsia="黑体" w:cs="黑体"/>
                <w:color w:val="auto"/>
                <w:sz w:val="24"/>
                <w:szCs w:val="24"/>
              </w:rPr>
            </w:pPr>
            <w:r>
              <w:rPr>
                <w:rFonts w:hint="eastAsia" w:ascii="黑体" w:hAnsi="黑体" w:eastAsia="黑体" w:cs="黑体"/>
                <w:color w:val="auto"/>
                <w:spacing w:val="16"/>
                <w:sz w:val="24"/>
                <w:szCs w:val="24"/>
              </w:rPr>
              <w:t>宣传引导情况</w:t>
            </w: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各类报纸版面、广播电视、新媒体平台进行宣传报道（）篇次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nil"/>
            </w:tcBorders>
          </w:tcPr>
          <w:p>
            <w:pPr>
              <w:spacing w:line="360" w:lineRule="exact"/>
              <w:rPr>
                <w:rFonts w:ascii="Arial"/>
                <w:color w:val="auto"/>
                <w:sz w:val="24"/>
                <w:szCs w:val="24"/>
              </w:rPr>
            </w:pPr>
          </w:p>
        </w:tc>
        <w:tc>
          <w:tcPr>
            <w:tcW w:w="7597" w:type="dxa"/>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开展重点宣传活动（）个，制作海报、图解、视频等各类宣传产品（）个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66" w:type="dxa"/>
            <w:vMerge w:val="continue"/>
            <w:tcBorders>
              <w:top w:val="nil"/>
              <w:bottom w:val="single" w:color="auto" w:sz="4" w:space="0"/>
            </w:tcBorders>
          </w:tcPr>
          <w:p>
            <w:pPr>
              <w:spacing w:line="360" w:lineRule="exact"/>
              <w:rPr>
                <w:rFonts w:ascii="Arial"/>
                <w:color w:val="auto"/>
                <w:sz w:val="24"/>
                <w:szCs w:val="24"/>
              </w:rPr>
            </w:pPr>
          </w:p>
        </w:tc>
        <w:tc>
          <w:tcPr>
            <w:tcW w:w="7597" w:type="dxa"/>
            <w:tcBorders>
              <w:bottom w:val="single" w:color="auto" w:sz="4" w:space="0"/>
            </w:tcBorders>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宣传覆盖人群（）人次，宣传报道及产品浏览量（）人次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96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Arial"/>
                <w:color w:val="auto"/>
                <w:sz w:val="24"/>
                <w:szCs w:val="24"/>
              </w:rPr>
            </w:pPr>
            <w:r>
              <w:rPr>
                <w:rFonts w:hint="eastAsia" w:ascii="黑体" w:hAnsi="黑体" w:eastAsia="黑体" w:cs="黑体"/>
                <w:color w:val="auto"/>
                <w:spacing w:val="16"/>
                <w:sz w:val="24"/>
                <w:szCs w:val="24"/>
              </w:rPr>
              <w:t>长效机制情况</w:t>
            </w:r>
          </w:p>
        </w:tc>
        <w:tc>
          <w:tcPr>
            <w:tcW w:w="759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建立长效制度、规范、办法等机制（）个</w:t>
            </w:r>
          </w:p>
        </w:tc>
      </w:tr>
    </w:tbl>
    <w:p>
      <w:pPr>
        <w:keepNext w:val="0"/>
        <w:keepLines w:val="0"/>
        <w:pageBreakBefore w:val="0"/>
        <w:widowControl w:val="0"/>
        <w:kinsoku/>
        <w:wordWrap/>
        <w:overflowPunct/>
        <w:topLinePunct w:val="0"/>
        <w:autoSpaceDE/>
        <w:autoSpaceDN/>
        <w:bidi w:val="0"/>
        <w:adjustRightInd/>
        <w:snapToGrid/>
        <w:spacing w:before="287" w:line="220" w:lineRule="exact"/>
        <w:textAlignment w:val="auto"/>
        <w:rPr>
          <w:rFonts w:ascii="楷体" w:hAnsi="楷体" w:eastAsia="楷体" w:cs="楷体"/>
          <w:color w:val="auto"/>
          <w:sz w:val="24"/>
          <w:szCs w:val="24"/>
        </w:rPr>
      </w:pPr>
      <w:r>
        <w:rPr>
          <w:rFonts w:hint="eastAsia" w:ascii="楷体" w:hAnsi="楷体" w:eastAsia="楷体" w:cs="楷体"/>
          <w:color w:val="auto"/>
          <w:sz w:val="24"/>
          <w:szCs w:val="24"/>
        </w:rPr>
        <w:t>注：</w:t>
      </w:r>
      <w:r>
        <w:rPr>
          <w:rFonts w:hint="eastAsia" w:ascii="楷体" w:hAnsi="楷体" w:eastAsia="楷体" w:cs="楷体"/>
          <w:color w:val="auto"/>
          <w:sz w:val="24"/>
          <w:szCs w:val="24"/>
          <w:lang w:val="en-US" w:eastAsia="zh-CN"/>
        </w:rPr>
        <w:t>各牵头（责任）单位依职责填写，</w:t>
      </w:r>
      <w:r>
        <w:rPr>
          <w:rFonts w:hint="eastAsia" w:ascii="楷体" w:hAnsi="楷体" w:eastAsia="楷体" w:cs="楷体"/>
          <w:color w:val="auto"/>
          <w:sz w:val="24"/>
          <w:szCs w:val="24"/>
        </w:rPr>
        <w:t>每月2</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日前报送</w:t>
      </w:r>
      <w:r>
        <w:rPr>
          <w:rFonts w:hint="eastAsia" w:ascii="楷体" w:hAnsi="楷体" w:eastAsia="楷体" w:cs="楷体"/>
          <w:color w:val="auto"/>
          <w:sz w:val="24"/>
          <w:szCs w:val="24"/>
          <w:lang w:val="en-US" w:eastAsia="zh-CN"/>
        </w:rPr>
        <w:t>区局食品协调科汇总上报</w:t>
      </w:r>
      <w:r>
        <w:rPr>
          <w:rFonts w:hint="eastAsia" w:ascii="楷体" w:hAnsi="楷体" w:eastAsia="楷体" w:cs="楷体"/>
          <w:color w:val="auto"/>
          <w:sz w:val="24"/>
          <w:szCs w:val="24"/>
        </w:rPr>
        <w:t>，填报数为制止餐饮浪费专项行动开展以来累计数。</w:t>
      </w:r>
    </w:p>
    <w:tbl>
      <w:tblPr>
        <w:tblStyle w:val="8"/>
        <w:tblW w:w="0" w:type="auto"/>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vAlign w:val="center"/>
          </w:tcPr>
          <w:p>
            <w:pPr>
              <w:tabs>
                <w:tab w:val="left" w:pos="1869"/>
              </w:tabs>
              <w:spacing w:line="400" w:lineRule="exact"/>
              <w:ind w:left="210" w:leftChars="100" w:right="210" w:rightChars="100"/>
              <w:jc w:val="center"/>
              <w:rPr>
                <w:rFonts w:ascii="仿宋_GB2312" w:hAnsi="仿宋_GB2312" w:eastAsia="仿宋_GB2312" w:cs="仿宋_GB2312"/>
                <w:color w:val="auto"/>
                <w:sz w:val="24"/>
              </w:rPr>
            </w:pPr>
            <w:r>
              <w:rPr>
                <w:rFonts w:hint="eastAsia" w:ascii="仿宋" w:hAnsi="仿宋" w:eastAsia="仿宋" w:cs="仿宋"/>
                <w:color w:val="auto"/>
                <w:sz w:val="28"/>
                <w:szCs w:val="28"/>
              </w:rPr>
              <w:t xml:space="preserve">济南市历城区市场监督管理局办公室        </w:t>
            </w:r>
            <w:r>
              <w:rPr>
                <w:rFonts w:hint="eastAsia" w:ascii="仿宋" w:hAnsi="仿宋" w:eastAsia="仿宋" w:cs="仿宋"/>
                <w:color w:val="auto"/>
                <w:sz w:val="28"/>
                <w:szCs w:val="28"/>
              </w:rPr>
              <w:t>2023年3月1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日印发</w:t>
            </w:r>
          </w:p>
        </w:tc>
      </w:tr>
    </w:tbl>
    <w:p>
      <w:pPr>
        <w:pStyle w:val="2"/>
        <w:spacing w:line="20" w:lineRule="exact"/>
        <w:rPr>
          <w:color w:val="auto"/>
        </w:rPr>
      </w:pPr>
    </w:p>
    <w:sectPr>
      <w:footerReference r:id="rId3" w:type="default"/>
      <w:pgSz w:w="11906" w:h="16838"/>
      <w:pgMar w:top="2098" w:right="1531" w:bottom="1984"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79" w:rightChars="22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MjZlOWM0ZTMwZjQwM2Q1NDA0MGM2Njc3OGU2YTYifQ=="/>
  </w:docVars>
  <w:rsids>
    <w:rsidRoot w:val="00397CDB"/>
    <w:rsid w:val="0019232B"/>
    <w:rsid w:val="001A22E0"/>
    <w:rsid w:val="001C160F"/>
    <w:rsid w:val="001C5710"/>
    <w:rsid w:val="00207985"/>
    <w:rsid w:val="002325C1"/>
    <w:rsid w:val="003035A0"/>
    <w:rsid w:val="00397CDB"/>
    <w:rsid w:val="003A67F2"/>
    <w:rsid w:val="003F13D0"/>
    <w:rsid w:val="00405147"/>
    <w:rsid w:val="004F5384"/>
    <w:rsid w:val="0054405F"/>
    <w:rsid w:val="005F35AE"/>
    <w:rsid w:val="0067554A"/>
    <w:rsid w:val="007020BD"/>
    <w:rsid w:val="007062EB"/>
    <w:rsid w:val="00714C04"/>
    <w:rsid w:val="00734C2C"/>
    <w:rsid w:val="00762200"/>
    <w:rsid w:val="00832D47"/>
    <w:rsid w:val="008415F2"/>
    <w:rsid w:val="008916F8"/>
    <w:rsid w:val="00893D37"/>
    <w:rsid w:val="008B2E0F"/>
    <w:rsid w:val="008D425A"/>
    <w:rsid w:val="009456AC"/>
    <w:rsid w:val="009A41D8"/>
    <w:rsid w:val="009A6559"/>
    <w:rsid w:val="009D4545"/>
    <w:rsid w:val="00A31A23"/>
    <w:rsid w:val="00A34A7B"/>
    <w:rsid w:val="00A72019"/>
    <w:rsid w:val="00A74202"/>
    <w:rsid w:val="00A91823"/>
    <w:rsid w:val="00A936CE"/>
    <w:rsid w:val="00AA363D"/>
    <w:rsid w:val="00AF46EB"/>
    <w:rsid w:val="00B23B47"/>
    <w:rsid w:val="00B26E18"/>
    <w:rsid w:val="00B861EB"/>
    <w:rsid w:val="00B8663A"/>
    <w:rsid w:val="00BC2F95"/>
    <w:rsid w:val="00BF3875"/>
    <w:rsid w:val="00CA4D85"/>
    <w:rsid w:val="00CB770D"/>
    <w:rsid w:val="00D13F99"/>
    <w:rsid w:val="00D360E7"/>
    <w:rsid w:val="00D43A1D"/>
    <w:rsid w:val="00D602D8"/>
    <w:rsid w:val="00EE7C7E"/>
    <w:rsid w:val="023169E5"/>
    <w:rsid w:val="02A45234"/>
    <w:rsid w:val="031C07A5"/>
    <w:rsid w:val="06886853"/>
    <w:rsid w:val="099B31B7"/>
    <w:rsid w:val="09CC19C3"/>
    <w:rsid w:val="0CFB044A"/>
    <w:rsid w:val="0CFF534A"/>
    <w:rsid w:val="0E0F044A"/>
    <w:rsid w:val="0F2E1469"/>
    <w:rsid w:val="12D14387"/>
    <w:rsid w:val="150F38E1"/>
    <w:rsid w:val="160727FA"/>
    <w:rsid w:val="16B7551A"/>
    <w:rsid w:val="18195547"/>
    <w:rsid w:val="188F7246"/>
    <w:rsid w:val="18922133"/>
    <w:rsid w:val="19D70A79"/>
    <w:rsid w:val="1A6F223F"/>
    <w:rsid w:val="1AFE409F"/>
    <w:rsid w:val="1E646B7C"/>
    <w:rsid w:val="20863BC8"/>
    <w:rsid w:val="20BA3290"/>
    <w:rsid w:val="22B52B7E"/>
    <w:rsid w:val="23C313B6"/>
    <w:rsid w:val="2509116A"/>
    <w:rsid w:val="252A655C"/>
    <w:rsid w:val="269E5201"/>
    <w:rsid w:val="26B0354A"/>
    <w:rsid w:val="27EE48B6"/>
    <w:rsid w:val="298D25F7"/>
    <w:rsid w:val="2A2B0D63"/>
    <w:rsid w:val="2B9F19AB"/>
    <w:rsid w:val="2CA67868"/>
    <w:rsid w:val="2D7021CD"/>
    <w:rsid w:val="2D885DEC"/>
    <w:rsid w:val="301F5C4D"/>
    <w:rsid w:val="32086659"/>
    <w:rsid w:val="33B54D27"/>
    <w:rsid w:val="33CC7147"/>
    <w:rsid w:val="36014E21"/>
    <w:rsid w:val="37850CBA"/>
    <w:rsid w:val="38697929"/>
    <w:rsid w:val="39E702E6"/>
    <w:rsid w:val="39FA1764"/>
    <w:rsid w:val="3B553FB5"/>
    <w:rsid w:val="3D525CCC"/>
    <w:rsid w:val="3E393048"/>
    <w:rsid w:val="3EE97AB6"/>
    <w:rsid w:val="40717166"/>
    <w:rsid w:val="407D21EA"/>
    <w:rsid w:val="41C06DDF"/>
    <w:rsid w:val="41CA0535"/>
    <w:rsid w:val="421700B0"/>
    <w:rsid w:val="45584C51"/>
    <w:rsid w:val="476201C1"/>
    <w:rsid w:val="4769333A"/>
    <w:rsid w:val="485B0993"/>
    <w:rsid w:val="48C22822"/>
    <w:rsid w:val="4B5C391B"/>
    <w:rsid w:val="4D5B2DE2"/>
    <w:rsid w:val="4E01608F"/>
    <w:rsid w:val="4E321554"/>
    <w:rsid w:val="4EE06C49"/>
    <w:rsid w:val="4F8751FB"/>
    <w:rsid w:val="4F8F5646"/>
    <w:rsid w:val="51BE432D"/>
    <w:rsid w:val="52084D89"/>
    <w:rsid w:val="52B13BB9"/>
    <w:rsid w:val="55425416"/>
    <w:rsid w:val="55C25DDC"/>
    <w:rsid w:val="568759A4"/>
    <w:rsid w:val="568976F9"/>
    <w:rsid w:val="59DD429F"/>
    <w:rsid w:val="5AE54138"/>
    <w:rsid w:val="5AF06BC9"/>
    <w:rsid w:val="5CB52FF3"/>
    <w:rsid w:val="60E30175"/>
    <w:rsid w:val="610C14EB"/>
    <w:rsid w:val="614A22D4"/>
    <w:rsid w:val="63A85DDA"/>
    <w:rsid w:val="65E240AB"/>
    <w:rsid w:val="674C0673"/>
    <w:rsid w:val="68C96D82"/>
    <w:rsid w:val="69A0261F"/>
    <w:rsid w:val="6B4E1266"/>
    <w:rsid w:val="6BEE7306"/>
    <w:rsid w:val="6D423752"/>
    <w:rsid w:val="6DC9002B"/>
    <w:rsid w:val="6EBD6817"/>
    <w:rsid w:val="6F9E000B"/>
    <w:rsid w:val="6FE737FA"/>
    <w:rsid w:val="71595467"/>
    <w:rsid w:val="73397A01"/>
    <w:rsid w:val="749F1074"/>
    <w:rsid w:val="78697548"/>
    <w:rsid w:val="797F7E84"/>
    <w:rsid w:val="7A717656"/>
    <w:rsid w:val="7B1C4777"/>
    <w:rsid w:val="7C851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4">
    <w:name w:val="Plain Text"/>
    <w:basedOn w:val="1"/>
    <w:qFormat/>
    <w:uiPriority w:val="0"/>
    <w:rPr>
      <w:rFonts w:ascii="Calibri"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济南市人民政府</Company>
  <Pages>12</Pages>
  <Words>5056</Words>
  <Characters>5098</Characters>
  <Lines>37</Lines>
  <Paragraphs>10</Paragraphs>
  <TotalTime>11</TotalTime>
  <ScaleCrop>false</ScaleCrop>
  <LinksUpToDate>false</LinksUpToDate>
  <CharactersWithSpaces>5220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2023-03-19T15:36:00Z</dcterms:created>
  <dc:creator>Administrator</dc:creator>
  <cp:lastModifiedBy>Administrator</cp:lastModifiedBy>
  <cp:lastPrinted>2023-03-20T07:50:53Z</cp:lastPrinted>
  <dcterms:modified xsi:type="dcterms:W3CDTF">2023-03-20T07:53:39Z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EDA646097D5B4728B3ED48B91A1693DA</vt:lpwstr>
  </property>
</Properties>
</file>