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方正小标宋简体" w:hAnsi="Times New Roman" w:eastAsia="方正小标宋简体"/>
          <w:spacing w:val="35"/>
          <w:sz w:val="32"/>
          <w:szCs w:val="32"/>
        </w:rPr>
      </w:pPr>
    </w:p>
    <w:p>
      <w:pPr>
        <w:widowControl/>
        <w:spacing w:line="600" w:lineRule="exact"/>
        <w:jc w:val="center"/>
        <w:rPr>
          <w:rFonts w:hint="eastAsia" w:ascii="方正小标宋简体" w:hAnsi="Times New Roman" w:eastAsia="方正小标宋简体"/>
          <w:sz w:val="52"/>
          <w:szCs w:val="52"/>
        </w:rPr>
      </w:pPr>
    </w:p>
    <w:p>
      <w:pPr>
        <w:widowControl/>
        <w:spacing w:line="600" w:lineRule="exact"/>
        <w:jc w:val="center"/>
        <w:rPr>
          <w:rFonts w:hint="eastAsia" w:ascii="方正小标宋简体" w:hAnsi="Times New Roman" w:eastAsia="方正小标宋简体"/>
          <w:sz w:val="52"/>
          <w:szCs w:val="52"/>
        </w:rPr>
      </w:pPr>
    </w:p>
    <w:p>
      <w:pPr>
        <w:widowControl/>
        <w:spacing w:line="600" w:lineRule="exact"/>
        <w:jc w:val="center"/>
        <w:rPr>
          <w:rFonts w:hint="eastAsia" w:ascii="方正小标宋简体" w:hAnsi="Times New Roman" w:eastAsia="方正小标宋简体"/>
          <w:sz w:val="52"/>
          <w:szCs w:val="52"/>
        </w:rPr>
      </w:pPr>
    </w:p>
    <w:p>
      <w:pPr>
        <w:widowControl/>
        <w:spacing w:line="600" w:lineRule="exact"/>
        <w:jc w:val="center"/>
        <w:rPr>
          <w:rFonts w:hint="eastAsia" w:ascii="方正小标宋简体" w:hAnsi="Times New Roman" w:eastAsia="方正小标宋简体"/>
          <w:sz w:val="44"/>
          <w:szCs w:val="44"/>
        </w:rPr>
      </w:pPr>
      <w:r>
        <w:rPr>
          <w:rFonts w:hint="eastAsia" w:ascii="方正小标宋简体" w:hAnsi="Times New Roman" w:eastAsia="方正小标宋简体"/>
          <w:sz w:val="44"/>
          <w:szCs w:val="44"/>
        </w:rPr>
        <w:t>济南市历城区新型城镇化规划</w:t>
      </w:r>
    </w:p>
    <w:p>
      <w:pPr>
        <w:widowControl/>
        <w:spacing w:line="600"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w:t>
      </w:r>
      <w:r>
        <w:rPr>
          <w:rFonts w:ascii="方正小标宋简体" w:hAnsi="Times New Roman" w:eastAsia="方正小标宋简体"/>
          <w:sz w:val="44"/>
          <w:szCs w:val="44"/>
        </w:rPr>
        <w:t>2021-2035</w:t>
      </w:r>
      <w:r>
        <w:rPr>
          <w:rFonts w:hint="eastAsia" w:ascii="方正小标宋简体" w:hAnsi="Times New Roman" w:eastAsia="方正小标宋简体"/>
          <w:sz w:val="44"/>
          <w:szCs w:val="44"/>
        </w:rPr>
        <w:t>年）</w:t>
      </w:r>
    </w:p>
    <w:p>
      <w:pPr>
        <w:widowControl/>
        <w:spacing w:beforeLines="50" w:afterLines="50" w:line="600" w:lineRule="exact"/>
        <w:jc w:val="center"/>
        <w:rPr>
          <w:rFonts w:ascii="Times New Roman" w:hAnsi="Times New Roman" w:eastAsia="方正小标宋_GBK"/>
          <w:kern w:val="0"/>
          <w:sz w:val="32"/>
          <w:szCs w:val="32"/>
        </w:rPr>
      </w:pPr>
    </w:p>
    <w:p>
      <w:pPr>
        <w:pStyle w:val="4"/>
        <w:ind w:firstLine="420"/>
      </w:pPr>
    </w:p>
    <w:p/>
    <w:p>
      <w:pPr>
        <w:pStyle w:val="4"/>
        <w:ind w:firstLine="420"/>
      </w:pPr>
    </w:p>
    <w:p>
      <w:pPr>
        <w:widowControl/>
        <w:spacing w:beforeLines="50" w:afterLines="50" w:line="600" w:lineRule="exact"/>
        <w:jc w:val="center"/>
        <w:rPr>
          <w:rFonts w:ascii="Times New Roman" w:hAnsi="Times New Roman" w:eastAsia="方正小标宋_GBK"/>
          <w:kern w:val="0"/>
          <w:sz w:val="32"/>
          <w:szCs w:val="32"/>
        </w:rPr>
      </w:pPr>
    </w:p>
    <w:p>
      <w:pPr>
        <w:widowControl/>
        <w:spacing w:beforeLines="50" w:afterLines="50" w:line="600" w:lineRule="exact"/>
        <w:jc w:val="center"/>
        <w:rPr>
          <w:rFonts w:ascii="Times New Roman" w:hAnsi="Times New Roman" w:eastAsia="方正小标宋_GBK"/>
          <w:kern w:val="0"/>
          <w:sz w:val="32"/>
          <w:szCs w:val="32"/>
        </w:rPr>
      </w:pPr>
    </w:p>
    <w:p>
      <w:pPr>
        <w:widowControl/>
        <w:spacing w:beforeLines="50" w:afterLines="50" w:line="600" w:lineRule="exact"/>
        <w:jc w:val="center"/>
        <w:rPr>
          <w:rFonts w:ascii="Times New Roman" w:hAnsi="Times New Roman" w:eastAsia="方正小标宋_GBK"/>
          <w:kern w:val="0"/>
          <w:sz w:val="32"/>
          <w:szCs w:val="32"/>
        </w:rPr>
      </w:pPr>
    </w:p>
    <w:p>
      <w:pPr>
        <w:pStyle w:val="21"/>
        <w:spacing w:after="0" w:line="600" w:lineRule="exact"/>
        <w:ind w:firstLine="640"/>
        <w:rPr>
          <w:rFonts w:ascii="Times New Roman" w:hAnsi="Times New Roman" w:eastAsia="方正小标宋_GBK"/>
          <w:sz w:val="32"/>
          <w:szCs w:val="32"/>
        </w:rPr>
      </w:pPr>
    </w:p>
    <w:p>
      <w:pPr>
        <w:pStyle w:val="21"/>
        <w:spacing w:after="0" w:line="600" w:lineRule="exact"/>
        <w:ind w:firstLine="640"/>
        <w:rPr>
          <w:rFonts w:ascii="Times New Roman" w:hAnsi="Times New Roman" w:eastAsia="方正小标宋_GBK"/>
          <w:sz w:val="32"/>
          <w:szCs w:val="32"/>
        </w:rPr>
      </w:pPr>
    </w:p>
    <w:p>
      <w:pPr>
        <w:pStyle w:val="21"/>
        <w:spacing w:after="0" w:line="600" w:lineRule="exact"/>
        <w:ind w:firstLine="640"/>
        <w:rPr>
          <w:rFonts w:ascii="Times New Roman" w:hAnsi="Times New Roman" w:eastAsia="方正小标宋_GBK"/>
          <w:sz w:val="32"/>
          <w:szCs w:val="32"/>
        </w:rPr>
      </w:pPr>
    </w:p>
    <w:p>
      <w:pPr>
        <w:widowControl/>
        <w:spacing w:beforeLines="50" w:afterLines="50" w:line="600" w:lineRule="exact"/>
        <w:jc w:val="center"/>
        <w:rPr>
          <w:rFonts w:ascii="楷体_GB2312" w:hAnsi="楷体_GB2312" w:eastAsia="楷体_GB2312" w:cs="楷体_GB2312"/>
          <w:kern w:val="0"/>
          <w:sz w:val="32"/>
          <w:szCs w:val="32"/>
        </w:rPr>
      </w:pPr>
    </w:p>
    <w:p>
      <w:pPr>
        <w:widowControl/>
        <w:spacing w:beforeLines="50" w:afterLines="50" w:line="600" w:lineRule="exact"/>
        <w:jc w:val="center"/>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2023年</w:t>
      </w:r>
      <w:r>
        <w:rPr>
          <w:rFonts w:hint="eastAsia" w:ascii="楷体_GB2312" w:hAnsi="楷体_GB2312" w:eastAsia="楷体_GB2312" w:cs="楷体_GB2312"/>
          <w:kern w:val="0"/>
          <w:sz w:val="32"/>
          <w:szCs w:val="32"/>
          <w:lang w:val="en-US" w:eastAsia="zh-CN"/>
        </w:rPr>
        <w:t>9</w:t>
      </w:r>
      <w:r>
        <w:rPr>
          <w:rFonts w:hint="eastAsia" w:ascii="楷体_GB2312" w:hAnsi="楷体_GB2312" w:eastAsia="楷体_GB2312" w:cs="楷体_GB2312"/>
          <w:kern w:val="0"/>
          <w:sz w:val="32"/>
          <w:szCs w:val="32"/>
        </w:rPr>
        <w:t>月</w:t>
      </w:r>
    </w:p>
    <w:p>
      <w:pPr>
        <w:spacing w:line="600" w:lineRule="exact"/>
        <w:jc w:val="left"/>
        <w:rPr>
          <w:rFonts w:ascii="方正小标宋简体" w:eastAsia="方正小标宋简体"/>
          <w:sz w:val="32"/>
          <w:szCs w:val="32"/>
        </w:rPr>
      </w:pPr>
    </w:p>
    <w:p>
      <w:pPr>
        <w:pStyle w:val="11"/>
        <w:widowControl/>
        <w:spacing w:beforeAutospacing="0" w:afterAutospacing="0" w:line="560" w:lineRule="exact"/>
        <w:ind w:right="160" w:firstLine="640" w:firstLineChars="200"/>
        <w:jc w:val="right"/>
        <w:rPr>
          <w:rFonts w:hint="eastAsia" w:ascii="仿宋_GB2312" w:hAnsi="仿宋_GB2312" w:eastAsia="仿宋_GB2312" w:cs="仿宋_GB2312"/>
          <w:color w:val="333333"/>
          <w:sz w:val="32"/>
          <w:szCs w:val="32"/>
        </w:rPr>
      </w:pPr>
    </w:p>
    <w:p>
      <w:pPr>
        <w:pStyle w:val="11"/>
        <w:widowControl/>
        <w:spacing w:beforeAutospacing="0" w:afterAutospacing="0" w:line="560" w:lineRule="exact"/>
        <w:ind w:right="160"/>
        <w:jc w:val="both"/>
        <w:rPr>
          <w:rFonts w:ascii="仿宋_GB2312" w:hAnsi="仿宋_GB2312" w:eastAsia="仿宋_GB2312" w:cs="仿宋_GB2312"/>
          <w:color w:val="333333"/>
          <w:sz w:val="32"/>
          <w:szCs w:val="32"/>
        </w:rPr>
        <w:sectPr>
          <w:footerReference r:id="rId3" w:type="default"/>
          <w:pgSz w:w="11906" w:h="16838"/>
          <w:pgMar w:top="1440" w:right="1701" w:bottom="1440" w:left="1417" w:header="851" w:footer="992" w:gutter="0"/>
          <w:pgNumType w:fmt="decimal" w:start="1"/>
          <w:cols w:space="425" w:num="1"/>
          <w:docGrid w:type="lines" w:linePitch="312" w:charSpace="0"/>
        </w:sectPr>
      </w:pPr>
    </w:p>
    <w:sdt>
      <w:sdtPr>
        <w:rPr>
          <w:rFonts w:ascii="宋体" w:hAnsi="宋体" w:eastAsia="宋体"/>
          <w:b/>
          <w:bCs/>
          <w:sz w:val="32"/>
          <w:szCs w:val="32"/>
        </w:rPr>
        <w:id w:val="147478920"/>
        <w:docPartObj>
          <w:docPartGallery w:val="Table of Contents"/>
          <w:docPartUnique/>
        </w:docPartObj>
      </w:sdtPr>
      <w:sdtEndPr>
        <w:rPr>
          <w:rFonts w:ascii="宋体" w:hAnsi="宋体" w:eastAsia="宋体"/>
          <w:b/>
          <w:bCs/>
          <w:sz w:val="30"/>
          <w:szCs w:val="30"/>
        </w:rPr>
      </w:sdtEndPr>
      <w:sdtContent>
        <w:p>
          <w:pPr>
            <w:spacing w:line="600" w:lineRule="exact"/>
            <w:jc w:val="center"/>
            <w:rPr>
              <w:b/>
              <w:bCs/>
              <w:sz w:val="30"/>
              <w:szCs w:val="30"/>
            </w:rPr>
          </w:pPr>
          <w:r>
            <w:rPr>
              <w:rFonts w:hint="eastAsia" w:ascii="方正小标宋简体" w:hAnsi="宋体" w:eastAsia="方正小标宋简体"/>
              <w:b/>
              <w:bCs/>
              <w:sz w:val="44"/>
              <w:szCs w:val="44"/>
            </w:rPr>
            <w:t>目录</w:t>
          </w:r>
        </w:p>
        <w:p>
          <w:pPr>
            <w:pStyle w:val="9"/>
            <w:spacing w:line="240" w:lineRule="auto"/>
            <w:rPr>
              <w:rFonts w:asciiTheme="minorHAnsi" w:hAnsiTheme="minorHAnsi" w:eastAsiaTheme="minorEastAsia" w:cstheme="minorBidi"/>
              <w:b w:val="0"/>
              <w:bCs w:val="0"/>
              <w:caps w:val="0"/>
              <w:sz w:val="21"/>
              <w:szCs w:val="22"/>
            </w:rPr>
          </w:pPr>
          <w:r>
            <w:rPr>
              <w:rFonts w:ascii="Times New Roman" w:hAnsi="Times New Roman" w:eastAsia="宋体" w:cs="Times New Roman"/>
              <w:b w:val="0"/>
              <w:kern w:val="0"/>
              <w:sz w:val="30"/>
              <w:szCs w:val="30"/>
            </w:rPr>
            <w:fldChar w:fldCharType="begin"/>
          </w:r>
          <w:r>
            <w:rPr>
              <w:sz w:val="30"/>
              <w:szCs w:val="30"/>
            </w:rPr>
            <w:instrText xml:space="preserve">TOC \o "1-2" \h \u </w:instrText>
          </w:r>
          <w:r>
            <w:rPr>
              <w:rFonts w:ascii="Times New Roman" w:hAnsi="Times New Roman" w:eastAsia="宋体" w:cs="Times New Roman"/>
              <w:b w:val="0"/>
              <w:kern w:val="0"/>
              <w:sz w:val="30"/>
              <w:szCs w:val="30"/>
            </w:rPr>
            <w:fldChar w:fldCharType="separate"/>
          </w:r>
          <w:r>
            <w:fldChar w:fldCharType="begin"/>
          </w:r>
          <w:r>
            <w:instrText xml:space="preserve"> HYPERLINK \l "_Toc123911387" </w:instrText>
          </w:r>
          <w:r>
            <w:fldChar w:fldCharType="separate"/>
          </w:r>
          <w:r>
            <w:rPr>
              <w:rStyle w:val="17"/>
              <w:rFonts w:hint="eastAsia" w:eastAsia="方正小标宋简体"/>
              <w:color w:val="auto"/>
            </w:rPr>
            <w:t>第一章</w:t>
          </w:r>
          <w:r>
            <w:rPr>
              <w:rStyle w:val="17"/>
              <w:rFonts w:hint="eastAsia" w:eastAsia="方正小标宋简体"/>
              <w:color w:val="auto"/>
              <w:lang w:val="en-US" w:eastAsia="zh-CN"/>
            </w:rPr>
            <w:t xml:space="preserve"> </w:t>
          </w:r>
          <w:r>
            <w:rPr>
              <w:rStyle w:val="17"/>
              <w:rFonts w:hint="eastAsia" w:eastAsia="方正小标宋简体"/>
              <w:color w:val="auto"/>
            </w:rPr>
            <w:t>精准研判发展趋势科学制定目标要求</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"_Toc123911388" </w:instrText>
          </w:r>
          <w:r>
            <w:fldChar w:fldCharType="separate"/>
          </w:r>
          <w:r>
            <w:rPr>
              <w:rStyle w:val="17"/>
              <w:rFonts w:hint="eastAsia" w:ascii="黑体" w:hAnsi="黑体" w:eastAsia="黑体"/>
              <w:color w:val="auto"/>
              <w:sz w:val="30"/>
              <w:szCs w:val="30"/>
            </w:rPr>
            <w:t>一、发展基础</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"_Toc123911389" </w:instrText>
          </w:r>
          <w:r>
            <w:fldChar w:fldCharType="separate"/>
          </w:r>
          <w:r>
            <w:rPr>
              <w:rStyle w:val="17"/>
              <w:rFonts w:hint="eastAsia" w:ascii="黑体" w:hAnsi="黑体" w:eastAsia="黑体"/>
              <w:color w:val="auto"/>
              <w:sz w:val="30"/>
              <w:szCs w:val="30"/>
            </w:rPr>
            <w:t>二、存在问题</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"_Toc123911390" </w:instrText>
          </w:r>
          <w:r>
            <w:fldChar w:fldCharType="separate"/>
          </w:r>
          <w:r>
            <w:rPr>
              <w:rStyle w:val="17"/>
              <w:rFonts w:hint="eastAsia" w:ascii="黑体" w:hAnsi="黑体" w:eastAsia="黑体"/>
              <w:color w:val="auto"/>
              <w:sz w:val="30"/>
              <w:szCs w:val="30"/>
            </w:rPr>
            <w:t>三、发展趋势</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"_Toc123911391" </w:instrText>
          </w:r>
          <w:r>
            <w:fldChar w:fldCharType="separate"/>
          </w:r>
          <w:r>
            <w:rPr>
              <w:rStyle w:val="17"/>
              <w:rFonts w:hint="eastAsia" w:ascii="黑体" w:hAnsi="黑体" w:eastAsia="黑体"/>
              <w:color w:val="auto"/>
              <w:sz w:val="30"/>
              <w:szCs w:val="30"/>
            </w:rPr>
            <w:t>四、指导思想</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"_Toc123911392" </w:instrText>
          </w:r>
          <w:r>
            <w:fldChar w:fldCharType="separate"/>
          </w:r>
          <w:r>
            <w:rPr>
              <w:rStyle w:val="17"/>
              <w:rFonts w:hint="eastAsia" w:ascii="黑体" w:hAnsi="黑体" w:eastAsia="黑体"/>
              <w:color w:val="auto"/>
              <w:sz w:val="30"/>
              <w:szCs w:val="30"/>
            </w:rPr>
            <w:t>五、主要目标</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"_Toc123911393" </w:instrText>
          </w:r>
          <w:r>
            <w:fldChar w:fldCharType="separate"/>
          </w:r>
          <w:r>
            <w:rPr>
              <w:rStyle w:val="17"/>
              <w:rFonts w:hint="eastAsia" w:eastAsia="方正小标宋简体"/>
              <w:color w:val="auto"/>
            </w:rPr>
            <w:t>第二章</w:t>
          </w:r>
          <w:r>
            <w:rPr>
              <w:rStyle w:val="17"/>
              <w:rFonts w:hint="eastAsia" w:eastAsia="方正小标宋简体"/>
              <w:color w:val="auto"/>
              <w:lang w:val="en-US" w:eastAsia="zh-CN"/>
            </w:rPr>
            <w:t xml:space="preserve"> </w:t>
          </w:r>
          <w:r>
            <w:rPr>
              <w:rStyle w:val="17"/>
              <w:rFonts w:hint="eastAsia" w:eastAsia="方正小标宋简体"/>
              <w:color w:val="auto"/>
            </w:rPr>
            <w:t>加快优化城镇化布局健全完善现代城乡体系</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"_Toc123911394" </w:instrText>
          </w:r>
          <w:r>
            <w:fldChar w:fldCharType="separate"/>
          </w:r>
          <w:r>
            <w:rPr>
              <w:rStyle w:val="17"/>
              <w:rFonts w:hint="eastAsia" w:ascii="黑体" w:hAnsi="黑体" w:eastAsia="黑体" w:cs="Times New Roman"/>
              <w:bCs/>
              <w:color w:val="auto"/>
              <w:sz w:val="30"/>
              <w:szCs w:val="30"/>
            </w:rPr>
            <w:t>一、践行国家与省市战略</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"_Toc123911395" </w:instrText>
          </w:r>
          <w:r>
            <w:fldChar w:fldCharType="separate"/>
          </w:r>
          <w:r>
            <w:rPr>
              <w:rStyle w:val="17"/>
              <w:rFonts w:hint="eastAsia" w:ascii="黑体" w:hAnsi="黑体" w:eastAsia="黑体" w:cs="Times New Roman"/>
              <w:bCs/>
              <w:color w:val="auto"/>
              <w:sz w:val="30"/>
              <w:szCs w:val="30"/>
            </w:rPr>
            <w:t>二、有序推进老城有机更新</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"_Toc123911396" </w:instrText>
          </w:r>
          <w:r>
            <w:fldChar w:fldCharType="separate"/>
          </w:r>
          <w:r>
            <w:rPr>
              <w:rStyle w:val="17"/>
              <w:rFonts w:hint="eastAsia" w:ascii="黑体" w:hAnsi="黑体" w:eastAsia="黑体" w:cs="Times New Roman"/>
              <w:bCs/>
              <w:color w:val="auto"/>
              <w:sz w:val="30"/>
              <w:szCs w:val="30"/>
            </w:rPr>
            <w:t>三、加快推动新区拓展提升</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"_Toc123911397" </w:instrText>
          </w:r>
          <w:r>
            <w:fldChar w:fldCharType="separate"/>
          </w:r>
          <w:r>
            <w:rPr>
              <w:rStyle w:val="17"/>
              <w:rFonts w:hint="eastAsia" w:ascii="黑体" w:hAnsi="黑体" w:eastAsia="黑体" w:cs="Times New Roman"/>
              <w:bCs/>
              <w:color w:val="auto"/>
              <w:sz w:val="30"/>
              <w:szCs w:val="30"/>
            </w:rPr>
            <w:t>四、构建城乡融合发展格局</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"_Toc123911398" </w:instrText>
          </w:r>
          <w:r>
            <w:fldChar w:fldCharType="separate"/>
          </w:r>
          <w:r>
            <w:rPr>
              <w:rStyle w:val="17"/>
              <w:rFonts w:hint="eastAsia" w:eastAsia="方正小标宋简体"/>
              <w:color w:val="auto"/>
            </w:rPr>
            <w:t>第三章</w:t>
          </w:r>
          <w:r>
            <w:rPr>
              <w:rStyle w:val="17"/>
              <w:rFonts w:hint="eastAsia" w:eastAsia="方正小标宋简体"/>
              <w:color w:val="auto"/>
              <w:lang w:val="en-US" w:eastAsia="zh-CN"/>
            </w:rPr>
            <w:t xml:space="preserve"> </w:t>
          </w:r>
          <w:r>
            <w:rPr>
              <w:rStyle w:val="17"/>
              <w:rFonts w:hint="eastAsia" w:eastAsia="方正小标宋简体"/>
              <w:color w:val="auto"/>
            </w:rPr>
            <w:t>深入推进智慧城镇化打造科技强区数智历城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"_Toc123911399" </w:instrText>
          </w:r>
          <w:r>
            <w:fldChar w:fldCharType="separate"/>
          </w:r>
          <w:r>
            <w:rPr>
              <w:rStyle w:val="17"/>
              <w:rFonts w:hint="eastAsia" w:ascii="黑体" w:hAnsi="黑体" w:eastAsia="黑体" w:cs="Times New Roman"/>
              <w:bCs/>
              <w:color w:val="auto"/>
              <w:sz w:val="30"/>
              <w:szCs w:val="30"/>
            </w:rPr>
            <w:t>一、新型基础设施支撑智慧化建设</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"_Toc123911400" </w:instrText>
          </w:r>
          <w:r>
            <w:fldChar w:fldCharType="separate"/>
          </w:r>
          <w:r>
            <w:rPr>
              <w:rStyle w:val="17"/>
              <w:rFonts w:hint="eastAsia" w:ascii="黑体" w:hAnsi="黑体" w:eastAsia="黑体" w:cs="黑体"/>
              <w:color w:val="auto"/>
              <w:sz w:val="30"/>
              <w:szCs w:val="30"/>
            </w:rPr>
            <w:t>二、数字经济赋能城市高质量发展</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"_Toc123911401" </w:instrText>
          </w:r>
          <w:r>
            <w:fldChar w:fldCharType="separate"/>
          </w:r>
          <w:r>
            <w:rPr>
              <w:rStyle w:val="17"/>
              <w:rFonts w:hint="eastAsia" w:ascii="黑体" w:hAnsi="黑体" w:eastAsia="黑体" w:cs="Times New Roman"/>
              <w:bCs/>
              <w:color w:val="auto"/>
              <w:sz w:val="30"/>
              <w:szCs w:val="30"/>
            </w:rPr>
            <w:t>三、数字政府助力城乡现代化治理</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"_Toc123911402" </w:instrText>
          </w:r>
          <w:r>
            <w:fldChar w:fldCharType="separate"/>
          </w:r>
          <w:r>
            <w:rPr>
              <w:rStyle w:val="17"/>
              <w:rFonts w:hint="eastAsia" w:ascii="黑体" w:hAnsi="黑体" w:eastAsia="黑体" w:cs="Times New Roman"/>
              <w:bCs/>
              <w:color w:val="auto"/>
              <w:sz w:val="30"/>
              <w:szCs w:val="30"/>
            </w:rPr>
            <w:t>四、智慧服务开启城乡美好生活</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"_Toc123911403" </w:instrText>
          </w:r>
          <w:r>
            <w:fldChar w:fldCharType="separate"/>
          </w:r>
          <w:r>
            <w:rPr>
              <w:rStyle w:val="17"/>
              <w:rFonts w:hint="eastAsia" w:eastAsia="方正小标宋简体"/>
              <w:color w:val="auto"/>
            </w:rPr>
            <w:t>第四章</w:t>
          </w:r>
          <w:r>
            <w:rPr>
              <w:rStyle w:val="17"/>
              <w:rFonts w:hint="eastAsia" w:eastAsia="方正小标宋简体"/>
              <w:color w:val="auto"/>
              <w:lang w:val="en-US" w:eastAsia="zh-CN"/>
            </w:rPr>
            <w:t xml:space="preserve"> </w:t>
          </w:r>
          <w:r>
            <w:rPr>
              <w:rStyle w:val="17"/>
              <w:rFonts w:hint="eastAsia" w:eastAsia="方正小标宋简体"/>
              <w:color w:val="auto"/>
            </w:rPr>
            <w:t>深入推进绿色城镇化绘就宜居宜业生态历城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"_Toc123911404" </w:instrText>
          </w:r>
          <w:r>
            <w:fldChar w:fldCharType="separate"/>
          </w:r>
          <w:r>
            <w:rPr>
              <w:rStyle w:val="17"/>
              <w:rFonts w:hint="eastAsia" w:ascii="黑体" w:hAnsi="黑体" w:eastAsia="黑体" w:cs="Times New Roman"/>
              <w:bCs/>
              <w:color w:val="auto"/>
              <w:sz w:val="30"/>
              <w:szCs w:val="30"/>
            </w:rPr>
            <w:t>一、创建守红线的精细善治之城</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"_Toc123911405" </w:instrText>
          </w:r>
          <w:r>
            <w:fldChar w:fldCharType="separate"/>
          </w:r>
          <w:r>
            <w:rPr>
              <w:rStyle w:val="17"/>
              <w:rFonts w:hint="eastAsia" w:ascii="黑体" w:hAnsi="黑体" w:eastAsia="黑体" w:cs="Times New Roman"/>
              <w:bCs/>
              <w:color w:val="auto"/>
              <w:sz w:val="30"/>
              <w:szCs w:val="30"/>
            </w:rPr>
            <w:t>二、建设有魅力的绿色低碳之城</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"_Toc123911406" </w:instrText>
          </w:r>
          <w:r>
            <w:fldChar w:fldCharType="separate"/>
          </w:r>
          <w:r>
            <w:rPr>
              <w:rStyle w:val="17"/>
              <w:rFonts w:hint="eastAsia" w:ascii="黑体" w:hAnsi="黑体" w:eastAsia="黑体" w:cs="Times New Roman"/>
              <w:bCs/>
              <w:color w:val="auto"/>
              <w:sz w:val="30"/>
              <w:szCs w:val="30"/>
            </w:rPr>
            <w:t>三、共创可持续的韧性生态之城</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"_Toc123911407" </w:instrText>
          </w:r>
          <w:r>
            <w:fldChar w:fldCharType="separate"/>
          </w:r>
          <w:r>
            <w:rPr>
              <w:rStyle w:val="17"/>
              <w:rFonts w:hint="eastAsia" w:ascii="黑体" w:hAnsi="黑体" w:eastAsia="黑体" w:cs="Times New Roman"/>
              <w:bCs/>
              <w:color w:val="auto"/>
              <w:sz w:val="30"/>
              <w:szCs w:val="30"/>
            </w:rPr>
            <w:t>四、打造聚活力的文旅融合之城</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"_Toc123911408" </w:instrText>
          </w:r>
          <w:r>
            <w:fldChar w:fldCharType="separate"/>
          </w:r>
          <w:r>
            <w:rPr>
              <w:rStyle w:val="17"/>
              <w:rFonts w:hint="eastAsia" w:eastAsia="方正小标宋简体"/>
              <w:color w:val="auto"/>
            </w:rPr>
            <w:t>第五章</w:t>
          </w:r>
          <w:r>
            <w:rPr>
              <w:rStyle w:val="17"/>
              <w:rFonts w:hint="eastAsia" w:eastAsia="方正小标宋简体"/>
              <w:color w:val="auto"/>
              <w:lang w:val="en-US" w:eastAsia="zh-CN"/>
            </w:rPr>
            <w:t xml:space="preserve"> </w:t>
          </w:r>
          <w:r>
            <w:rPr>
              <w:rStyle w:val="17"/>
              <w:rFonts w:hint="eastAsia" w:eastAsia="方正小标宋简体"/>
              <w:color w:val="auto"/>
            </w:rPr>
            <w:t>深入推进均衡城镇化建设协同发展品质历城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"_Toc123911409" </w:instrText>
          </w:r>
          <w:r>
            <w:fldChar w:fldCharType="separate"/>
          </w:r>
          <w:r>
            <w:rPr>
              <w:rStyle w:val="17"/>
              <w:rFonts w:hint="eastAsia" w:ascii="黑体" w:hAnsi="黑体" w:eastAsia="黑体" w:cs="Times New Roman"/>
              <w:bCs/>
              <w:color w:val="auto"/>
              <w:sz w:val="30"/>
              <w:szCs w:val="30"/>
            </w:rPr>
            <w:t>一、</w:t>
          </w:r>
          <w:r>
            <w:rPr>
              <w:rStyle w:val="17"/>
              <w:rFonts w:hint="eastAsia" w:ascii="黑体" w:hAnsi="黑体" w:eastAsia="黑体" w:cs="黑体"/>
              <w:color w:val="auto"/>
              <w:sz w:val="30"/>
              <w:szCs w:val="30"/>
            </w:rPr>
            <w:t>构筑互联互通的城乡基础设施体系</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"_Toc123911410" </w:instrText>
          </w:r>
          <w:r>
            <w:fldChar w:fldCharType="separate"/>
          </w:r>
          <w:r>
            <w:rPr>
              <w:rStyle w:val="17"/>
              <w:rFonts w:hint="eastAsia" w:ascii="黑体" w:hAnsi="黑体" w:eastAsia="黑体" w:cs="Times New Roman"/>
              <w:bCs/>
              <w:color w:val="auto"/>
              <w:sz w:val="30"/>
              <w:szCs w:val="30"/>
            </w:rPr>
            <w:t>二、健全人人共享的基本公共服务体系</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"_Toc123911411" </w:instrText>
          </w:r>
          <w:r>
            <w:fldChar w:fldCharType="separate"/>
          </w:r>
          <w:r>
            <w:rPr>
              <w:rStyle w:val="17"/>
              <w:rFonts w:hint="eastAsia" w:ascii="黑体" w:hAnsi="黑体" w:eastAsia="黑体" w:cs="Times New Roman"/>
              <w:bCs/>
              <w:color w:val="auto"/>
              <w:sz w:val="30"/>
              <w:szCs w:val="30"/>
            </w:rPr>
            <w:t>三、构建协同高效的城乡社会治理体系</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"_Toc123911412" </w:instrText>
          </w:r>
          <w:r>
            <w:fldChar w:fldCharType="separate"/>
          </w:r>
          <w:r>
            <w:rPr>
              <w:rStyle w:val="17"/>
              <w:rFonts w:hint="eastAsia" w:ascii="黑体" w:hAnsi="黑体" w:eastAsia="黑体" w:cs="Times New Roman"/>
              <w:color w:val="auto"/>
              <w:sz w:val="30"/>
              <w:szCs w:val="30"/>
            </w:rPr>
            <w:t>四、擘画共同富裕的城乡安居乐业图景</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"_Toc123911413" </w:instrText>
          </w:r>
          <w:r>
            <w:fldChar w:fldCharType="separate"/>
          </w:r>
          <w:r>
            <w:rPr>
              <w:rStyle w:val="17"/>
              <w:rFonts w:hint="eastAsia" w:eastAsia="方正小标宋简体"/>
              <w:color w:val="auto"/>
            </w:rPr>
            <w:t>第六章</w:t>
          </w:r>
          <w:r>
            <w:rPr>
              <w:rStyle w:val="17"/>
              <w:rFonts w:hint="eastAsia" w:eastAsia="方正小标宋简体"/>
              <w:color w:val="auto"/>
              <w:lang w:val="en-US" w:eastAsia="zh-CN"/>
            </w:rPr>
            <w:t xml:space="preserve"> </w:t>
          </w:r>
          <w:r>
            <w:rPr>
              <w:rStyle w:val="17"/>
              <w:rFonts w:hint="eastAsia" w:eastAsia="方正小标宋简体"/>
              <w:color w:val="auto"/>
            </w:rPr>
            <w:t>深入推进双向城镇化实现城乡融合幸福历城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"_Toc123911414" </w:instrText>
          </w:r>
          <w:r>
            <w:fldChar w:fldCharType="separate"/>
          </w:r>
          <w:r>
            <w:rPr>
              <w:rStyle w:val="17"/>
              <w:rFonts w:hint="eastAsia" w:ascii="黑体" w:hAnsi="黑体" w:eastAsia="黑体"/>
              <w:color w:val="auto"/>
              <w:sz w:val="30"/>
              <w:szCs w:val="30"/>
            </w:rPr>
            <w:t>一、推动外来人口融入城市</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"_Toc123911415" </w:instrText>
          </w:r>
          <w:r>
            <w:fldChar w:fldCharType="separate"/>
          </w:r>
          <w:r>
            <w:rPr>
              <w:rStyle w:val="17"/>
              <w:rFonts w:hint="eastAsia" w:ascii="黑体" w:hAnsi="黑体" w:eastAsia="黑体" w:cs="Times New Roman"/>
              <w:bCs/>
              <w:color w:val="auto"/>
              <w:sz w:val="30"/>
              <w:szCs w:val="30"/>
            </w:rPr>
            <w:t>二、</w:t>
          </w:r>
          <w:r>
            <w:rPr>
              <w:rStyle w:val="17"/>
              <w:rFonts w:hint="eastAsia" w:ascii="黑体" w:hAnsi="黑体" w:eastAsia="黑体" w:cs="黑体"/>
              <w:color w:val="auto"/>
              <w:sz w:val="30"/>
              <w:szCs w:val="30"/>
            </w:rPr>
            <w:t>促进城乡要素自由流动</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"_Toc123911416" </w:instrText>
          </w:r>
          <w:r>
            <w:fldChar w:fldCharType="separate"/>
          </w:r>
          <w:r>
            <w:rPr>
              <w:rStyle w:val="17"/>
              <w:rFonts w:hint="eastAsia" w:ascii="黑体" w:hAnsi="黑体" w:eastAsia="黑体" w:cs="Times New Roman"/>
              <w:bCs/>
              <w:color w:val="auto"/>
              <w:sz w:val="30"/>
              <w:szCs w:val="30"/>
            </w:rPr>
            <w:t>三、推动城乡产业协同发展</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"_Toc123911417" </w:instrText>
          </w:r>
          <w:r>
            <w:fldChar w:fldCharType="separate"/>
          </w:r>
          <w:r>
            <w:rPr>
              <w:rStyle w:val="17"/>
              <w:rFonts w:hint="eastAsia" w:eastAsia="方正小标宋简体"/>
              <w:color w:val="auto"/>
            </w:rPr>
            <w:t>第七章</w:t>
          </w:r>
          <w:r>
            <w:rPr>
              <w:rStyle w:val="17"/>
              <w:rFonts w:hint="eastAsia" w:eastAsia="方正小标宋简体"/>
              <w:color w:val="auto"/>
              <w:lang w:val="en-US" w:eastAsia="zh-CN"/>
            </w:rPr>
            <w:t xml:space="preserve"> </w:t>
          </w:r>
          <w:r>
            <w:rPr>
              <w:rStyle w:val="17"/>
              <w:rFonts w:hint="eastAsia" w:eastAsia="方正小标宋简体"/>
              <w:color w:val="auto"/>
            </w:rPr>
            <w:t>完善规划实施保障机制</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"_Toc123911418" </w:instrText>
          </w:r>
          <w:r>
            <w:fldChar w:fldCharType="separate"/>
          </w:r>
          <w:r>
            <w:rPr>
              <w:rStyle w:val="17"/>
              <w:rFonts w:hint="eastAsia" w:ascii="黑体" w:hAnsi="黑体" w:eastAsia="黑体" w:cs="Times New Roman"/>
              <w:bCs/>
              <w:color w:val="auto"/>
              <w:sz w:val="30"/>
              <w:szCs w:val="30"/>
            </w:rPr>
            <w:t>一、</w:t>
          </w:r>
          <w:r>
            <w:rPr>
              <w:rStyle w:val="17"/>
              <w:rFonts w:hint="eastAsia" w:ascii="黑体" w:hAnsi="黑体" w:eastAsia="黑体" w:cs="黑体"/>
              <w:color w:val="auto"/>
              <w:sz w:val="30"/>
              <w:szCs w:val="30"/>
            </w:rPr>
            <w:t>坚持党的全面领导</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"_Toc123911419" </w:instrText>
          </w:r>
          <w:r>
            <w:fldChar w:fldCharType="separate"/>
          </w:r>
          <w:r>
            <w:rPr>
              <w:rStyle w:val="17"/>
              <w:rFonts w:hint="eastAsia" w:ascii="黑体" w:hAnsi="黑体" w:eastAsia="黑体" w:cs="黑体"/>
              <w:color w:val="auto"/>
              <w:sz w:val="30"/>
              <w:szCs w:val="30"/>
            </w:rPr>
            <w:t>二、健全推进协调机制</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"_Toc123911420" </w:instrText>
          </w:r>
          <w:r>
            <w:fldChar w:fldCharType="separate"/>
          </w:r>
          <w:r>
            <w:rPr>
              <w:rStyle w:val="17"/>
              <w:rFonts w:hint="eastAsia" w:ascii="黑体" w:hAnsi="黑体" w:eastAsia="黑体" w:cs="黑体"/>
              <w:color w:val="auto"/>
              <w:sz w:val="30"/>
              <w:szCs w:val="30"/>
            </w:rPr>
            <w:t>三、强化动态监测评估</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"_Toc123911421" </w:instrText>
          </w:r>
          <w:r>
            <w:fldChar w:fldCharType="separate"/>
          </w:r>
          <w:r>
            <w:rPr>
              <w:rStyle w:val="17"/>
              <w:rFonts w:hint="eastAsia" w:ascii="黑体" w:hAnsi="黑体" w:eastAsia="黑体" w:cs="黑体"/>
              <w:color w:val="auto"/>
              <w:sz w:val="30"/>
              <w:szCs w:val="30"/>
            </w:rPr>
            <w:t>四、凝聚规划实施合力</w:t>
          </w:r>
          <w:r>
            <w:rPr>
              <w:sz w:val="30"/>
              <w:szCs w:val="30"/>
            </w:rPr>
            <w:fldChar w:fldCharType="end"/>
          </w:r>
        </w:p>
        <w:p>
          <w:pPr>
            <w:pStyle w:val="11"/>
            <w:widowControl/>
            <w:spacing w:beforeAutospacing="0" w:afterAutospacing="0" w:line="560" w:lineRule="exact"/>
            <w:ind w:right="160"/>
            <w:jc w:val="both"/>
            <w:rPr>
              <w:rFonts w:ascii="宋体" w:hAnsi="宋体" w:eastAsia="宋体"/>
              <w:b/>
              <w:bCs/>
              <w:sz w:val="30"/>
              <w:szCs w:val="30"/>
            </w:rPr>
          </w:pPr>
          <w:r>
            <w:rPr>
              <w:b/>
              <w:sz w:val="30"/>
              <w:szCs w:val="30"/>
            </w:rPr>
            <w:fldChar w:fldCharType="end"/>
          </w:r>
        </w:p>
      </w:sdtContent>
    </w:sdt>
    <w:p>
      <w:pPr>
        <w:pStyle w:val="11"/>
        <w:widowControl/>
        <w:spacing w:beforeAutospacing="0" w:afterAutospacing="0" w:line="560" w:lineRule="exact"/>
        <w:ind w:right="160"/>
        <w:jc w:val="both"/>
        <w:rPr>
          <w:rFonts w:ascii="宋体" w:hAnsi="宋体" w:eastAsia="宋体"/>
          <w:b/>
          <w:bCs/>
          <w:sz w:val="30"/>
          <w:szCs w:val="30"/>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rPr>
          <w:rFonts w:hint="eastAsia" w:ascii="仿宋_GB2312" w:hAnsi="仿宋_GB2312" w:eastAsia="仿宋_GB2312" w:cs="仿宋_GB2312"/>
          <w:snapToGrid w:val="0"/>
          <w:color w:val="auto"/>
          <w:sz w:val="28"/>
          <w:szCs w:val="28"/>
        </w:rPr>
        <w:sectPr>
          <w:pgSz w:w="11906" w:h="16838"/>
          <w:pgMar w:top="1440" w:right="1800" w:bottom="1440" w:left="1800" w:header="851" w:footer="992" w:gutter="0"/>
          <w:pgNumType w:fmt="decimal"/>
          <w:cols w:space="425" w:num="1"/>
          <w:docGrid w:type="lines" w:linePitch="312" w:charSpace="0"/>
        </w:sectPr>
      </w:pPr>
    </w:p>
    <w:p>
      <w:pPr>
        <w:pageBreakBefore w:val="0"/>
        <w:widowControl w:val="0"/>
        <w:kinsoku/>
        <w:wordWrap/>
        <w:topLinePunct w:val="0"/>
        <w:autoSpaceDE/>
        <w:autoSpaceDN/>
        <w:bidi w:val="0"/>
        <w:adjustRightInd/>
        <w:snapToGrid/>
        <w:spacing w:line="580" w:lineRule="exact"/>
        <w:ind w:firstLine="640" w:firstLineChars="200"/>
        <w:textAlignment w:val="auto"/>
        <w:rPr>
          <w:rFonts w:ascii="仿宋_GB2312" w:hAnsi="Times New Roman" w:eastAsia="仿宋_GB2312"/>
          <w:sz w:val="32"/>
          <w:szCs w:val="32"/>
        </w:rPr>
      </w:pPr>
      <w:bookmarkStart w:id="0" w:name="_Toc95296084"/>
      <w:bookmarkStart w:id="1" w:name="_Toc90649723"/>
      <w:bookmarkStart w:id="2" w:name="_Toc84951487"/>
      <w:bookmarkStart w:id="3" w:name="_Toc67304234"/>
      <w:bookmarkStart w:id="4" w:name="_Toc90813714"/>
      <w:bookmarkStart w:id="5" w:name="_Toc90328726"/>
      <w:bookmarkStart w:id="6" w:name="_Toc20854"/>
      <w:bookmarkStart w:id="7" w:name="_Toc230790857"/>
      <w:bookmarkStart w:id="8" w:name="_Toc28567"/>
      <w:bookmarkStart w:id="9" w:name="_Toc14946"/>
      <w:bookmarkStart w:id="10" w:name="_Toc67304252"/>
      <w:r>
        <w:rPr>
          <w:rFonts w:hint="eastAsia" w:ascii="仿宋_GB2312" w:hAnsi="Arial" w:eastAsia="仿宋_GB2312" w:cs="Arial"/>
          <w:sz w:val="32"/>
          <w:szCs w:val="32"/>
          <w:shd w:val="clear" w:color="auto" w:fill="FFFFFF"/>
        </w:rPr>
        <w:t>城镇化是国家治理现代化的必由之路。党的十九届五中全会提出，要“推进以人为核心的新型城镇化”。《中华人民共和国国民经济和社会发展第十四个五年规划和2035年远景目标纲要》进一步强调，要“坚持走中国特色新型城镇化道路，深入推进以人为核心的新型城镇化战略”。党的二十大报告再次指出,要“推进以人为核心的新型城镇化，加快农业转移人口市民化”。</w:t>
      </w:r>
      <w:r>
        <w:rPr>
          <w:rFonts w:hint="eastAsia" w:ascii="仿宋_GB2312" w:hAnsi="仿宋_GB2312" w:eastAsia="仿宋_GB2312" w:cs="仿宋_GB2312"/>
          <w:sz w:val="32"/>
          <w:szCs w:val="32"/>
        </w:rPr>
        <w:t>准确理解和把握历城区在加快建设新时代社会主义现代化强省会战略</w:t>
      </w:r>
      <w:r>
        <w:rPr>
          <w:rFonts w:hint="eastAsia" w:ascii="仿宋_GB2312" w:hAnsi="Arial" w:eastAsia="仿宋_GB2312" w:cs="Arial"/>
          <w:sz w:val="32"/>
          <w:szCs w:val="32"/>
          <w:shd w:val="clear" w:color="auto" w:fill="FFFFFF"/>
        </w:rPr>
        <w:t>、济南</w:t>
      </w:r>
      <w:r>
        <w:rPr>
          <w:rFonts w:hint="eastAsia" w:ascii="仿宋_GB2312" w:hAnsi="仿宋_GB2312" w:eastAsia="仿宋_GB2312" w:cs="仿宋_GB2312"/>
          <w:sz w:val="32"/>
          <w:szCs w:val="32"/>
        </w:rPr>
        <w:t>构建“东强西兴南美北起中优”城市发展新格局</w:t>
      </w:r>
      <w:r>
        <w:rPr>
          <w:rFonts w:hint="eastAsia" w:ascii="仿宋_GB2312" w:hAnsi="Arial" w:eastAsia="仿宋_GB2312" w:cs="Arial"/>
          <w:sz w:val="32"/>
          <w:szCs w:val="32"/>
          <w:shd w:val="clear" w:color="auto" w:fill="FFFFFF"/>
        </w:rPr>
        <w:t>中的定位与方向，</w:t>
      </w:r>
      <w:r>
        <w:rPr>
          <w:rFonts w:hint="eastAsia" w:ascii="仿宋_GB2312" w:hAnsi="Times New Roman" w:eastAsia="仿宋_GB2312"/>
          <w:sz w:val="32"/>
          <w:szCs w:val="32"/>
        </w:rPr>
        <w:t>坚定不移、高质量推进以人为核心的新型城镇化，对于我区抓住当前历史性机遇，担起新旧动能转换、推进城市转型升级、实现</w:t>
      </w:r>
      <w:r>
        <w:rPr>
          <w:rFonts w:hint="eastAsia" w:ascii="仿宋_GB2312" w:hAnsi="Arial" w:eastAsia="仿宋_GB2312" w:cs="Arial"/>
          <w:sz w:val="32"/>
          <w:szCs w:val="32"/>
          <w:shd w:val="clear" w:color="auto" w:fill="FFFFFF"/>
        </w:rPr>
        <w:t>城乡融合发展等经济社会重大历史责任，</w:t>
      </w:r>
      <w:r>
        <w:rPr>
          <w:rFonts w:hint="eastAsia" w:ascii="仿宋_GB2312" w:hAnsi="Times New Roman" w:eastAsia="仿宋_GB2312"/>
          <w:sz w:val="32"/>
          <w:szCs w:val="32"/>
        </w:rPr>
        <w:t>加快实现“省会社会主义现代化强区”总目标具有重要意义。</w:t>
      </w:r>
    </w:p>
    <w:p>
      <w:pPr>
        <w:pageBreakBefore w:val="0"/>
        <w:widowControl w:val="0"/>
        <w:kinsoku/>
        <w:wordWrap/>
        <w:topLinePunct w:val="0"/>
        <w:autoSpaceDE/>
        <w:autoSpaceDN/>
        <w:bidi w:val="0"/>
        <w:adjustRightInd/>
        <w:snapToGrid/>
        <w:spacing w:line="580" w:lineRule="exact"/>
        <w:ind w:firstLine="640" w:firstLineChars="200"/>
        <w:textAlignment w:val="auto"/>
        <w:rPr>
          <w:rFonts w:ascii="仿宋_GB2312" w:hAnsi="Times New Roman" w:eastAsia="仿宋_GB2312"/>
          <w:sz w:val="32"/>
          <w:szCs w:val="32"/>
        </w:rPr>
      </w:pPr>
      <w:r>
        <w:rPr>
          <w:rFonts w:hint="eastAsia" w:ascii="仿宋_GB2312" w:hAnsi="Times New Roman" w:eastAsia="仿宋_GB2312"/>
          <w:sz w:val="32"/>
          <w:szCs w:val="32"/>
        </w:rPr>
        <w:t>本规划以习近平新时代中国特色社会主义思想为指导，全面贯彻党的十九大和十九届历次全会精神、党的二十大精神，根据《山东省新型城镇化规划（2021-2035年）》《济南市国民经济和社会发展第十四个五年规划和二○三五年远景目标纲要》《济南市新型城镇化规划（2021-2035年）》《济南市历城区国民经济和社会发展第十四个五年规划和二○三五年远景目标纲要》编制，主要明确全区新型城镇化的主要目标、重点任务和实施路径，是指导全区新型城镇化的宏观性、基础性、战略性规划，规划期为2021-2035年。</w:t>
      </w:r>
    </w:p>
    <w:p>
      <w:pPr>
        <w:pStyle w:val="2"/>
        <w:pageBreakBefore w:val="0"/>
        <w:widowControl w:val="0"/>
        <w:kinsoku/>
        <w:wordWrap/>
        <w:overflowPunct w:val="0"/>
        <w:topLinePunct w:val="0"/>
        <w:autoSpaceDE/>
        <w:autoSpaceDN/>
        <w:bidi w:val="0"/>
        <w:adjustRightInd/>
        <w:snapToGrid/>
        <w:spacing w:beforeLines="100" w:afterLines="100" w:line="580" w:lineRule="exact"/>
        <w:textAlignment w:val="auto"/>
        <w:rPr>
          <w:rFonts w:ascii="方正小标宋简体" w:eastAsia="方正小标宋简体"/>
          <w:b w:val="0"/>
          <w:sz w:val="36"/>
          <w:szCs w:val="36"/>
        </w:rPr>
        <w:sectPr>
          <w:pgSz w:w="11906" w:h="16838"/>
          <w:pgMar w:top="1701" w:right="1531" w:bottom="1701" w:left="1531" w:header="851" w:footer="992" w:gutter="0"/>
          <w:pgNumType w:fmt="decimal"/>
          <w:cols w:space="425" w:num="1"/>
          <w:docGrid w:type="lines" w:linePitch="312" w:charSpace="0"/>
        </w:sectPr>
      </w:pPr>
    </w:p>
    <w:p>
      <w:pPr>
        <w:pStyle w:val="2"/>
        <w:pageBreakBefore w:val="0"/>
        <w:kinsoku/>
        <w:wordWrap/>
        <w:overflowPunct w:val="0"/>
        <w:topLinePunct w:val="0"/>
        <w:autoSpaceDE/>
        <w:autoSpaceDN/>
        <w:bidi w:val="0"/>
        <w:spacing w:beforeLines="100" w:afterLines="100" w:line="580" w:lineRule="exact"/>
        <w:jc w:val="center"/>
        <w:rPr>
          <w:rFonts w:ascii="方正小标宋简体" w:hAnsi="黑体" w:eastAsia="方正小标宋简体"/>
          <w:b w:val="0"/>
          <w:sz w:val="36"/>
          <w:szCs w:val="36"/>
        </w:rPr>
      </w:pPr>
      <w:bookmarkStart w:id="11" w:name="_Toc123911387"/>
      <w:bookmarkStart w:id="12" w:name="_Toc5455"/>
      <w:bookmarkStart w:id="13" w:name="_Toc21777"/>
      <w:bookmarkStart w:id="14" w:name="_Toc30327"/>
      <w:r>
        <w:rPr>
          <w:rFonts w:hint="eastAsia" w:ascii="方正小标宋简体" w:eastAsia="方正小标宋简体"/>
          <w:b w:val="0"/>
          <w:sz w:val="36"/>
          <w:szCs w:val="36"/>
        </w:rPr>
        <w:t xml:space="preserve">第一章 </w:t>
      </w:r>
      <w:bookmarkEnd w:id="0"/>
      <w:bookmarkEnd w:id="1"/>
      <w:bookmarkEnd w:id="2"/>
      <w:bookmarkEnd w:id="3"/>
      <w:bookmarkEnd w:id="4"/>
      <w:bookmarkEnd w:id="5"/>
      <w:r>
        <w:rPr>
          <w:rFonts w:hint="eastAsia" w:ascii="方正小标宋简体" w:eastAsia="方正小标宋简体"/>
          <w:b w:val="0"/>
          <w:sz w:val="36"/>
          <w:szCs w:val="36"/>
        </w:rPr>
        <w:t>精准研判发展趋势 科学制定目标要求</w:t>
      </w:r>
      <w:bookmarkEnd w:id="6"/>
      <w:bookmarkEnd w:id="7"/>
      <w:bookmarkEnd w:id="8"/>
      <w:bookmarkEnd w:id="9"/>
      <w:bookmarkEnd w:id="11"/>
      <w:bookmarkEnd w:id="12"/>
      <w:bookmarkEnd w:id="13"/>
      <w:bookmarkEnd w:id="14"/>
    </w:p>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Theme="minorEastAsia"/>
          <w:b w:val="0"/>
        </w:rPr>
      </w:pPr>
      <w:bookmarkStart w:id="15" w:name="_Toc84951488"/>
      <w:bookmarkStart w:id="16" w:name="_Toc90328727"/>
      <w:bookmarkStart w:id="17" w:name="_Toc90813715"/>
      <w:bookmarkStart w:id="18" w:name="_Toc90649724"/>
      <w:bookmarkStart w:id="19" w:name="_Toc95296085"/>
      <w:bookmarkStart w:id="20" w:name="_Toc123911388"/>
      <w:bookmarkStart w:id="21" w:name="_Toc446"/>
      <w:bookmarkStart w:id="22" w:name="_Toc19786"/>
      <w:bookmarkStart w:id="23" w:name="_Toc23754"/>
      <w:bookmarkStart w:id="24" w:name="_Toc18925"/>
      <w:bookmarkStart w:id="25" w:name="_Toc1998"/>
      <w:bookmarkStart w:id="26" w:name="_Toc2040633192"/>
      <w:bookmarkStart w:id="27" w:name="_Toc4975"/>
      <w:r>
        <w:rPr>
          <w:rFonts w:hint="eastAsia" w:ascii="黑体" w:hAnsi="黑体" w:eastAsia="黑体"/>
          <w:b w:val="0"/>
        </w:rPr>
        <w:t>一、</w:t>
      </w:r>
      <w:bookmarkEnd w:id="15"/>
      <w:bookmarkEnd w:id="16"/>
      <w:bookmarkEnd w:id="17"/>
      <w:bookmarkEnd w:id="18"/>
      <w:bookmarkEnd w:id="19"/>
      <w:r>
        <w:rPr>
          <w:rFonts w:hint="eastAsia" w:ascii="黑体" w:hAnsi="黑体" w:eastAsia="黑体"/>
          <w:b w:val="0"/>
        </w:rPr>
        <w:t>发展基础</w:t>
      </w:r>
      <w:bookmarkEnd w:id="20"/>
      <w:bookmarkEnd w:id="21"/>
      <w:bookmarkEnd w:id="22"/>
      <w:bookmarkEnd w:id="23"/>
      <w:bookmarkEnd w:id="24"/>
      <w:bookmarkEnd w:id="25"/>
      <w:bookmarkEnd w:id="26"/>
      <w:bookmarkEnd w:id="27"/>
    </w:p>
    <w:p>
      <w:pPr>
        <w:pageBreakBefore w:val="0"/>
        <w:kinsoku/>
        <w:wordWrap/>
        <w:topLinePunct w:val="0"/>
        <w:autoSpaceDE/>
        <w:autoSpaceDN/>
        <w:bidi w:val="0"/>
        <w:spacing w:line="580" w:lineRule="exact"/>
        <w:ind w:firstLine="640"/>
        <w:rPr>
          <w:rFonts w:ascii="仿宋_GB2312" w:hAnsi="仿宋_GB2312" w:eastAsia="仿宋_GB2312" w:cs="仿宋_GB2312"/>
          <w:sz w:val="32"/>
          <w:szCs w:val="32"/>
        </w:rPr>
      </w:pPr>
      <w:bookmarkStart w:id="28" w:name="_Toc84951489"/>
      <w:r>
        <w:rPr>
          <w:rFonts w:hint="eastAsia" w:ascii="仿宋_GB2312" w:hAnsi="Times New Roman" w:eastAsia="仿宋_GB2312"/>
          <w:sz w:val="32"/>
          <w:szCs w:val="32"/>
        </w:rPr>
        <w:t>历城，因临历山而得名。自西汉景帝4年（公元前153年）建历城县，沿革至1987年撤县设区，已有2100多年历史，素有“齐鲁首邑”之称，具有区域形态丰富，南山北水、有城有乡的特点，是山东省省会、泉城济南的重要核心城区之一。历城区现辖14个街道（不含南山管委会和高新区托管部分）、1个省级经济技术开发区，总面积535.3平方公里。历城区始终坚持以习近平新时代中国特色社会主义思想为指导，全面贯彻落实党的十九大和十九届历次全会精神、党的二十大精神，深入贯彻落实习近平总书记对山东、济南工作重要指示要求，</w:t>
      </w:r>
      <w:r>
        <w:rPr>
          <w:rFonts w:hint="eastAsia" w:ascii="仿宋_GB2312" w:hAnsi="微软雅黑" w:eastAsia="仿宋_GB2312"/>
          <w:sz w:val="32"/>
          <w:szCs w:val="32"/>
          <w:shd w:val="clear" w:color="auto" w:fill="FFFFFF"/>
        </w:rPr>
        <w:t>抢抓黄河流域生态保护和高质量发展、强省会战略机遇，加快融入“东强、中优”城市发展新格局，</w:t>
      </w:r>
      <w:r>
        <w:rPr>
          <w:rFonts w:hint="eastAsia" w:ascii="仿宋_GB2312" w:hAnsi="仿宋_GB2312" w:eastAsia="仿宋_GB2312" w:cs="仿宋_GB2312"/>
          <w:sz w:val="32"/>
          <w:szCs w:val="32"/>
        </w:rPr>
        <w:t>持续推进新型城镇化建设，扎实有效加强城乡规划建设管理，城乡面貌日新月异，多次荣获全国综合实力、投资潜力、新型城镇化、科技创新和绿色发展“五个百强区”称号。</w:t>
      </w:r>
    </w:p>
    <w:p>
      <w:pPr>
        <w:pageBreakBefore w:val="0"/>
        <w:kinsoku/>
        <w:wordWrap/>
        <w:topLinePunct w:val="0"/>
        <w:autoSpaceDE/>
        <w:autoSpaceDN/>
        <w:bidi w:val="0"/>
        <w:adjustRightInd w:val="0"/>
        <w:snapToGrid w:val="0"/>
        <w:spacing w:line="580" w:lineRule="exact"/>
        <w:ind w:firstLine="640" w:firstLineChars="200"/>
        <w:rPr>
          <w:rFonts w:ascii="仿宋_GB2312" w:hAnsi="仿宋_GB2312" w:eastAsia="仿宋_GB2312" w:cs="仿宋_GB2312"/>
          <w:sz w:val="32"/>
          <w:szCs w:val="32"/>
        </w:rPr>
      </w:pPr>
      <w:r>
        <w:rPr>
          <w:rFonts w:hint="eastAsia" w:ascii="楷体_GB2312" w:hAnsi="黑体" w:eastAsia="楷体_GB2312"/>
          <w:sz w:val="32"/>
          <w:szCs w:val="32"/>
        </w:rPr>
        <w:t>（一）综合实力雄厚且持续增强。</w:t>
      </w:r>
      <w:r>
        <w:rPr>
          <w:rFonts w:hint="eastAsia" w:ascii="仿宋_GB2312" w:hAnsi="仿宋_GB2312" w:eastAsia="仿宋_GB2312" w:cs="仿宋_GB2312"/>
          <w:sz w:val="32"/>
          <w:szCs w:val="32"/>
        </w:rPr>
        <w:t>2020年</w:t>
      </w:r>
      <w:r>
        <w:rPr>
          <w:rFonts w:ascii="仿宋_GB2312" w:hAnsi="仿宋_GB2312" w:eastAsia="仿宋_GB2312" w:cs="仿宋_GB2312"/>
          <w:sz w:val="32"/>
          <w:szCs w:val="32"/>
        </w:rPr>
        <w:t>全区实现地区生产总值1017.05亿元，实现过千亿目标，同比增长5.6%</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固定资产投资增长11.9%，总量居全市第一，其中实体经济投资占比达29%。实现一般公共预算收入111.3亿元、</w:t>
      </w:r>
      <w:r>
        <w:rPr>
          <w:rFonts w:hint="eastAsia" w:ascii="仿宋_GB2312" w:hAnsi="仿宋_GB2312" w:eastAsia="仿宋_GB2312" w:cs="仿宋_GB2312"/>
          <w:sz w:val="32"/>
          <w:szCs w:val="32"/>
        </w:rPr>
        <w:t>同</w:t>
      </w:r>
      <w:r>
        <w:rPr>
          <w:rFonts w:ascii="仿宋_GB2312" w:hAnsi="仿宋_GB2312" w:eastAsia="仿宋_GB2312" w:cs="仿宋_GB2312"/>
          <w:sz w:val="32"/>
          <w:szCs w:val="32"/>
        </w:rPr>
        <w:t>比增长9.7%</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全区124家规模以上工业企业实现增加值70亿元、同比增长10.2%。城镇居民人均可支配收入达到51393元、同比增长3.1%，农村居民人均可支配收入达到22942元、同比增长5.9%，均高于全市平均水平。</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（二）农业转移人口市民化加速推进。</w:t>
      </w:r>
      <w:r>
        <w:rPr>
          <w:rFonts w:hint="eastAsia" w:ascii="仿宋_GB2312" w:hAnsi="Times New Roman" w:eastAsia="仿宋_GB2312"/>
          <w:sz w:val="32"/>
          <w:szCs w:val="32"/>
        </w:rPr>
        <w:t>“十三五”时期,全区常住人口增长30%、达到111.2万（七普数据），总量与增幅均居全市第一，城镇化率由62.4%提高到87.2%；积极推动常住人口公平享有城镇基本公共服务，</w:t>
      </w:r>
      <w:r>
        <w:rPr>
          <w:rFonts w:hint="eastAsia" w:ascii="仿宋_GB2312" w:hAnsi="仿宋_GB2312" w:eastAsia="仿宋_GB2312" w:cs="仿宋_GB2312"/>
          <w:sz w:val="32"/>
          <w:szCs w:val="32"/>
        </w:rPr>
        <w:t>在全市率先推行被征地农民养老保险制度，城乡居民养老保险参保人数达23万人，覆盖城乡的养老服务体系进一步健全；教育基础设施均衡发展，投资50余亿元建成60所中小学、幼儿园，新增学位7.3万个；</w:t>
      </w:r>
      <w:r>
        <w:rPr>
          <w:rFonts w:hint="eastAsia" w:ascii="仿宋_GB2312" w:hAnsi="仿宋" w:eastAsia="仿宋_GB2312" w:cs="仿宋"/>
          <w:sz w:val="32"/>
          <w:szCs w:val="32"/>
        </w:rPr>
        <w:t>加强公共卫生体系建设，建成区、街道、社区“三位一体”医疗保障体系，实现基层卫生服务网络和</w:t>
      </w:r>
      <w:r>
        <w:rPr>
          <w:rFonts w:hint="eastAsia" w:ascii="仿宋_GB2312" w:hAnsi="仿宋_GB2312" w:eastAsia="仿宋_GB2312" w:cs="仿宋_GB2312"/>
          <w:sz w:val="32"/>
          <w:szCs w:val="32"/>
        </w:rPr>
        <w:t>街道医保工作站全覆盖，人民群众的安全感和幸福指数显著增强。</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（三）城镇化空间格局全面优化。</w:t>
      </w:r>
      <w:r>
        <w:rPr>
          <w:rFonts w:hint="eastAsia" w:ascii="仿宋_GB2312" w:hAnsi="Times New Roman" w:eastAsia="仿宋_GB2312"/>
          <w:sz w:val="32"/>
          <w:szCs w:val="32"/>
        </w:rPr>
        <w:t>积极融入</w:t>
      </w:r>
      <w:r>
        <w:rPr>
          <w:rFonts w:hint="eastAsia" w:ascii="仿宋_GB2312" w:hAnsi="仿宋_GB2312" w:eastAsia="仿宋_GB2312" w:cs="仿宋_GB2312"/>
          <w:sz w:val="32"/>
          <w:szCs w:val="32"/>
        </w:rPr>
        <w:t>济南“东强西兴南美北起中优”城市发展新格局</w:t>
      </w:r>
      <w:r>
        <w:rPr>
          <w:rFonts w:hint="eastAsia" w:ascii="仿宋_GB2312" w:hAnsi="Times New Roman" w:eastAsia="仿宋_GB2312"/>
          <w:sz w:val="32"/>
          <w:szCs w:val="32"/>
        </w:rPr>
        <w:t>，</w:t>
      </w:r>
      <w:r>
        <w:rPr>
          <w:rFonts w:hint="eastAsia" w:ascii="仿宋_GB2312" w:hAnsi="仿宋_GB2312" w:eastAsia="仿宋_GB2312" w:cs="仿宋_GB2312"/>
          <w:sz w:val="32"/>
          <w:szCs w:val="32"/>
        </w:rPr>
        <w:t>城市发展框架快速拉开，建成区面积大幅增加。</w:t>
      </w:r>
      <w:r>
        <w:rPr>
          <w:rFonts w:hint="eastAsia" w:ascii="仿宋_GB2312" w:hAnsi="Times New Roman" w:eastAsia="仿宋_GB2312"/>
          <w:sz w:val="32"/>
          <w:szCs w:val="32"/>
        </w:rPr>
        <w:t>“十三五”时期,</w:t>
      </w:r>
      <w:r>
        <w:rPr>
          <w:rFonts w:hint="eastAsia" w:ascii="仿宋_GB2312" w:hAnsi="仿宋_GB2312" w:eastAsia="仿宋_GB2312" w:cs="仿宋_GB2312"/>
          <w:sz w:val="32"/>
          <w:szCs w:val="32"/>
        </w:rPr>
        <w:t>累计征迁土地1626万平方米，112个村完成改造，6.3万户群众迁入新居；东部新区强势崛起，洪楼老城焕发新颜，南部山区风景如画，华山片区重现“鹊华烟雨”盛景；</w:t>
      </w:r>
      <w:r>
        <w:rPr>
          <w:rFonts w:hint="eastAsia" w:ascii="仿宋_GB2312" w:hAnsi="微软雅黑" w:eastAsia="仿宋_GB2312"/>
          <w:sz w:val="32"/>
          <w:szCs w:val="32"/>
          <w:shd w:val="clear" w:color="auto" w:fill="FFFFFF"/>
        </w:rPr>
        <w:t>区域辐射带动能力显著提升，开展与沿黄城市交流合作30余项，黄河流域中心城区作用凸显。</w:t>
      </w:r>
    </w:p>
    <w:p>
      <w:pPr>
        <w:pageBreakBefore w:val="0"/>
        <w:widowControl/>
        <w:kinsoku/>
        <w:wordWrap/>
        <w:topLinePunct w:val="0"/>
        <w:autoSpaceDE/>
        <w:autoSpaceDN/>
        <w:bidi w:val="0"/>
        <w:spacing w:line="580" w:lineRule="exact"/>
        <w:ind w:firstLine="640" w:firstLineChars="200"/>
        <w:rPr>
          <w:rFonts w:eastAsia="仿宋_GB2312"/>
          <w:sz w:val="32"/>
          <w:szCs w:val="32"/>
        </w:rPr>
      </w:pPr>
      <w:r>
        <w:rPr>
          <w:rFonts w:hint="eastAsia" w:ascii="楷体_GB2312" w:hAnsi="黑体" w:eastAsia="楷体_GB2312"/>
          <w:sz w:val="32"/>
          <w:szCs w:val="32"/>
        </w:rPr>
        <w:t>（四）城市综合承载能力持续提升。</w:t>
      </w:r>
      <w:r>
        <w:rPr>
          <w:rFonts w:hint="eastAsia" w:ascii="仿宋_GB2312" w:hAnsi="Times New Roman" w:eastAsia="仿宋_GB2312"/>
          <w:sz w:val="32"/>
          <w:szCs w:val="32"/>
        </w:rPr>
        <w:t>“十三五”时期,新增市政道路160余条，新增公交线路50条，现代化立体交通体系加快构建；东湖、旅游路水厂建成启用，多个污水处理厂投入使用，新增污水日处理能力18万吨；新建变电站13座，新增输电线路940公里，片区供电能力大幅提升；完成小清河、土河、杨家河等多条河道综合整治，17条河道实现长治久清；取缔关停和改造提升“散乱污”企业831家，拆违拆临1400万平方米，建绿透绿84万平方米，建成各类公园87处，城市宜居水平稳步提升。</w:t>
      </w:r>
    </w:p>
    <w:p>
      <w:pPr>
        <w:pageBreakBefore w:val="0"/>
        <w:kinsoku/>
        <w:wordWrap/>
        <w:topLinePunct w:val="0"/>
        <w:autoSpaceDE/>
        <w:autoSpaceDN/>
        <w:bidi w:val="0"/>
        <w:spacing w:line="580" w:lineRule="exact"/>
        <w:ind w:firstLine="640" w:firstLineChars="200"/>
        <w:rPr>
          <w:rFonts w:ascii="仿宋_GB2312" w:hAnsi="仿宋" w:eastAsia="仿宋_GB2312"/>
          <w:sz w:val="32"/>
          <w:szCs w:val="32"/>
        </w:rPr>
      </w:pPr>
      <w:r>
        <w:rPr>
          <w:rFonts w:hint="eastAsia" w:ascii="楷体_GB2312" w:hAnsi="黑体" w:eastAsia="楷体_GB2312"/>
          <w:sz w:val="32"/>
          <w:szCs w:val="32"/>
        </w:rPr>
        <w:t>（五）城乡融合发展稳步推进。</w:t>
      </w:r>
      <w:r>
        <w:rPr>
          <w:rFonts w:hint="eastAsia" w:ascii="仿宋_GB2312" w:hAnsi="Times New Roman" w:eastAsia="仿宋_GB2312"/>
          <w:sz w:val="32"/>
          <w:szCs w:val="32"/>
        </w:rPr>
        <w:t>城乡融合发展工作推进机制已经建立，编制完成《历城区国家城乡融合发展试验区实施方案》，建立了以区委、区政府主要负责同志为组长的领导小组，出台了《历城区国家城乡融合发展试验区工作推进方案（2021-2022）》《关于开展农村承包地规模化流转试点工作的实施意见》《关于农村闲置宅基地（农房）盘活利用工作的实施意见》等一系列政策文件，探索开展了闲置宅基地盘活利用、农村产权交易平台搭建、农村集体经营性建设用地入市等试点任务，完成了</w:t>
      </w:r>
      <w:r>
        <w:rPr>
          <w:rFonts w:hint="eastAsia" w:ascii="仿宋_GB2312" w:hAnsi="仿宋" w:eastAsia="仿宋_GB2312"/>
          <w:sz w:val="32"/>
          <w:szCs w:val="32"/>
        </w:rPr>
        <w:t>济南市辖区首宗集体经营性建设用地挂牌入市。</w:t>
      </w:r>
    </w:p>
    <w:p>
      <w:pPr>
        <w:pageBreakBefore w:val="0"/>
        <w:kinsoku/>
        <w:wordWrap/>
        <w:topLinePunct w:val="0"/>
        <w:autoSpaceDE/>
        <w:autoSpaceDN/>
        <w:bidi w:val="0"/>
        <w:adjustRightInd w:val="0"/>
        <w:snapToGrid w:val="0"/>
        <w:spacing w:line="580" w:lineRule="exact"/>
        <w:ind w:firstLine="640" w:firstLineChars="200"/>
      </w:pPr>
      <w:r>
        <w:rPr>
          <w:rFonts w:hint="eastAsia" w:ascii="楷体_GB2312" w:hAnsi="黑体" w:eastAsia="楷体_GB2312"/>
          <w:sz w:val="32"/>
          <w:szCs w:val="32"/>
        </w:rPr>
        <w:t>（六）生态本底良好且文化底蕴厚重。</w:t>
      </w:r>
      <w:r>
        <w:rPr>
          <w:rFonts w:hint="eastAsia" w:ascii="仿宋_GB2312" w:hAnsi="宋体" w:eastAsia="仿宋_GB2312" w:cs="仿宋_GB2312"/>
          <w:kern w:val="0"/>
          <w:sz w:val="32"/>
          <w:szCs w:val="32"/>
        </w:rPr>
        <w:t>历城山水秀丽、名泉涌流，是一座景致如画的“生态之城”。</w:t>
      </w:r>
      <w:r>
        <w:rPr>
          <w:rFonts w:ascii="仿宋_GB2312" w:hAnsi="宋体" w:eastAsia="仿宋_GB2312" w:cs="仿宋_GB2312"/>
          <w:kern w:val="0"/>
          <w:sz w:val="32"/>
          <w:szCs w:val="32"/>
        </w:rPr>
        <w:t>华山孤峰独秀、景色壮美，华山湖碧波荡漾、烟波浩渺</w:t>
      </w:r>
      <w:r>
        <w:rPr>
          <w:rFonts w:hint="eastAsia" w:ascii="楷体_GB2312" w:hAnsi="黑体" w:eastAsia="楷体_GB2312"/>
          <w:sz w:val="32"/>
          <w:szCs w:val="32"/>
        </w:rPr>
        <w:t>，</w:t>
      </w:r>
      <w:r>
        <w:rPr>
          <w:rFonts w:hint="eastAsia" w:ascii="仿宋_GB2312" w:hAnsi="宋体" w:eastAsia="仿宋_GB2312" w:cs="仿宋_GB2312"/>
          <w:kern w:val="0"/>
          <w:sz w:val="32"/>
          <w:szCs w:val="32"/>
        </w:rPr>
        <w:t>黄河如锦缎在历城穿流而过，小清河波光粼粼将通航四海，济南72名泉有11处在历城涌流。历城文脉绵长、底蕴深厚，是一座历史悠久的“人文之城”。历城自古多名士，春秋时期知人善任的鲍叔牙、西汉请缨报国的少年终军、唐朝开国大将秦琼、南宋豪放派词人辛弃疾、婉约派词人李清照、元代政治家文学家张养浩等，都是历城人民永远的骄傲，他们为历城的历史注入了源远流长的人文血脉。</w:t>
      </w:r>
    </w:p>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Theme="minorEastAsia"/>
          <w:b w:val="0"/>
        </w:rPr>
      </w:pPr>
      <w:bookmarkStart w:id="29" w:name="_Toc123911389"/>
      <w:r>
        <w:rPr>
          <w:rFonts w:hint="eastAsia" w:ascii="黑体" w:hAnsi="黑体" w:eastAsia="黑体"/>
          <w:b w:val="0"/>
        </w:rPr>
        <w:t>二、存在问题</w:t>
      </w:r>
      <w:bookmarkEnd w:id="29"/>
    </w:p>
    <w:p>
      <w:pPr>
        <w:pStyle w:val="21"/>
        <w:pageBreakBefore w:val="0"/>
        <w:kinsoku/>
        <w:wordWrap/>
        <w:overflowPunct w:val="0"/>
        <w:topLinePunct w:val="0"/>
        <w:autoSpaceDE/>
        <w:autoSpaceDN/>
        <w:bidi w:val="0"/>
        <w:spacing w:after="0" w:line="580" w:lineRule="exact"/>
        <w:ind w:left="0" w:leftChars="0" w:firstLine="640"/>
        <w:rPr>
          <w:rFonts w:ascii="仿宋_GB2312" w:hAnsi="Times New Roman" w:eastAsia="仿宋_GB2312"/>
          <w:sz w:val="32"/>
          <w:szCs w:val="32"/>
        </w:rPr>
      </w:pPr>
      <w:r>
        <w:rPr>
          <w:rFonts w:hint="eastAsia" w:ascii="仿宋_GB2312" w:hAnsi="Times New Roman" w:eastAsia="仿宋_GB2312"/>
          <w:sz w:val="32"/>
          <w:szCs w:val="32"/>
        </w:rPr>
        <w:t>当前我区城镇化还面临一些问题和不足，主要表现在双向、智慧、绿色和均衡化上同新型城镇化的要求还存在一定差距，具体而言：</w:t>
      </w:r>
      <w:bookmarkStart w:id="30" w:name="_Toc95296086"/>
      <w:bookmarkStart w:id="31" w:name="_Toc24585"/>
      <w:bookmarkStart w:id="32" w:name="_Toc27866"/>
      <w:bookmarkStart w:id="33" w:name="_Toc20699"/>
      <w:bookmarkStart w:id="34" w:name="_Toc31594"/>
      <w:bookmarkStart w:id="35" w:name="_Toc4019"/>
      <w:bookmarkStart w:id="36" w:name="_Toc1726782587"/>
      <w:bookmarkStart w:id="37" w:name="_Toc22969"/>
    </w:p>
    <w:p>
      <w:pPr>
        <w:pStyle w:val="21"/>
        <w:pageBreakBefore w:val="0"/>
        <w:kinsoku/>
        <w:wordWrap/>
        <w:overflowPunct w:val="0"/>
        <w:topLinePunct w:val="0"/>
        <w:autoSpaceDE/>
        <w:autoSpaceDN/>
        <w:bidi w:val="0"/>
        <w:spacing w:after="0" w:line="580" w:lineRule="exact"/>
        <w:ind w:left="0" w:leftChars="0" w:firstLine="640"/>
        <w:rPr>
          <w:rFonts w:ascii="仿宋_GB2312" w:eastAsia="仿宋_GB2312" w:cs="仿宋_GB2312"/>
          <w:sz w:val="32"/>
          <w:szCs w:val="32"/>
        </w:rPr>
      </w:pPr>
      <w:bookmarkStart w:id="38" w:name="_Toc106163773"/>
      <w:bookmarkStart w:id="39" w:name="_Toc111213495"/>
      <w:bookmarkStart w:id="40" w:name="_Toc104967163"/>
      <w:bookmarkStart w:id="41" w:name="_Toc107309484"/>
      <w:bookmarkStart w:id="42" w:name="_Toc107309139"/>
      <w:bookmarkStart w:id="43" w:name="_Toc104967165"/>
      <w:bookmarkStart w:id="44" w:name="_Toc106163775"/>
      <w:bookmarkStart w:id="45" w:name="_Toc111213497"/>
      <w:bookmarkStart w:id="46" w:name="_Toc107309141"/>
      <w:bookmarkStart w:id="47" w:name="_Toc107309486"/>
      <w:r>
        <w:rPr>
          <w:rFonts w:hint="eastAsia" w:ascii="楷体_GB2312" w:hAnsi="黑体" w:eastAsia="楷体_GB2312"/>
          <w:sz w:val="32"/>
          <w:szCs w:val="32"/>
        </w:rPr>
        <w:t>（一）双向城镇化发展质量有待提升。</w:t>
      </w:r>
      <w:r>
        <w:rPr>
          <w:rFonts w:hint="eastAsia" w:ascii="仿宋_GB2312" w:hAnsi="Times New Roman" w:eastAsia="仿宋_GB2312"/>
          <w:sz w:val="32"/>
          <w:szCs w:val="32"/>
        </w:rPr>
        <w:t>一是人口转移市民化程度不够高，截止2020年底，全区户籍人口城镇化率低于常住人口城镇化率约13个百分点，外来务工等人员</w:t>
      </w:r>
      <w:r>
        <w:rPr>
          <w:rFonts w:ascii="仿宋_GB2312" w:hAnsi="Times New Roman" w:eastAsia="仿宋_GB2312"/>
          <w:sz w:val="32"/>
          <w:szCs w:val="32"/>
        </w:rPr>
        <w:t>虽然</w:t>
      </w:r>
      <w:r>
        <w:rPr>
          <w:rFonts w:hint="eastAsia" w:ascii="仿宋_GB2312" w:hAnsi="Times New Roman" w:eastAsia="仿宋_GB2312"/>
          <w:sz w:val="32"/>
          <w:szCs w:val="32"/>
        </w:rPr>
        <w:t>长期</w:t>
      </w:r>
      <w:r>
        <w:rPr>
          <w:rFonts w:ascii="仿宋_GB2312" w:hAnsi="Times New Roman" w:eastAsia="仿宋_GB2312"/>
          <w:sz w:val="32"/>
          <w:szCs w:val="32"/>
        </w:rPr>
        <w:t>居住在城市里，但并没有</w:t>
      </w:r>
      <w:r>
        <w:rPr>
          <w:rFonts w:hint="eastAsia" w:ascii="仿宋_GB2312" w:hAnsi="Times New Roman" w:eastAsia="仿宋_GB2312"/>
          <w:sz w:val="32"/>
          <w:szCs w:val="32"/>
        </w:rPr>
        <w:t>真正</w:t>
      </w:r>
      <w:r>
        <w:rPr>
          <w:rFonts w:ascii="仿宋_GB2312" w:hAnsi="Times New Roman" w:eastAsia="仿宋_GB2312"/>
          <w:sz w:val="32"/>
          <w:szCs w:val="32"/>
        </w:rPr>
        <w:t>融入</w:t>
      </w:r>
      <w:r>
        <w:rPr>
          <w:rFonts w:hint="eastAsia" w:ascii="仿宋_GB2312" w:hAnsi="Times New Roman" w:eastAsia="仿宋_GB2312"/>
          <w:sz w:val="32"/>
          <w:szCs w:val="32"/>
        </w:rPr>
        <w:t>城市，未充分</w:t>
      </w:r>
      <w:r>
        <w:rPr>
          <w:rFonts w:ascii="仿宋_GB2312" w:hAnsi="Times New Roman" w:eastAsia="仿宋_GB2312"/>
          <w:sz w:val="32"/>
          <w:szCs w:val="32"/>
        </w:rPr>
        <w:t>分享城市发展成果</w:t>
      </w:r>
      <w:r>
        <w:rPr>
          <w:rFonts w:hint="eastAsia" w:ascii="仿宋_GB2312" w:hAnsi="Times New Roman" w:eastAsia="仿宋_GB2312"/>
          <w:sz w:val="32"/>
          <w:szCs w:val="32"/>
        </w:rPr>
        <w:t>。二是城乡要素融合程度不够深，城乡融合发展尚处于起步阶段，人、地、钱、技等双向流动制度性问题尚未得到根本性破解。三是城乡产业协同发展程度不够强，以工促农、以城带乡、城乡互补的发展格局还未形成，</w:t>
      </w:r>
      <w:r>
        <w:rPr>
          <w:rFonts w:hint="eastAsia" w:ascii="仿宋_GB2312" w:eastAsia="仿宋_GB2312" w:cs="仿宋_GB2312"/>
          <w:sz w:val="32"/>
          <w:szCs w:val="32"/>
        </w:rPr>
        <w:t>乡村沉睡资源潜能尚未有效释放，</w:t>
      </w:r>
      <w:r>
        <w:rPr>
          <w:rFonts w:hint="eastAsia" w:ascii="仿宋_GB2312" w:hAnsi="Times New Roman" w:eastAsia="仿宋_GB2312"/>
          <w:sz w:val="32"/>
          <w:szCs w:val="32"/>
        </w:rPr>
        <w:t>优质产品供给能力和人民消费能力同人民日益增长的美好生活需要还不匹配，</w:t>
      </w:r>
      <w:r>
        <w:rPr>
          <w:rFonts w:hint="eastAsia" w:ascii="仿宋_GB2312" w:eastAsia="仿宋_GB2312" w:cs="仿宋_GB2312"/>
          <w:sz w:val="32"/>
          <w:szCs w:val="32"/>
        </w:rPr>
        <w:t>现代工业产业、都市农业产业和城乡文旅产业对城乡经济的带动能力仍需加强。</w:t>
      </w:r>
    </w:p>
    <w:p>
      <w:pPr>
        <w:pageBreakBefore w:val="0"/>
        <w:kinsoku/>
        <w:wordWrap/>
        <w:topLinePunct w:val="0"/>
        <w:autoSpaceDE/>
        <w:autoSpaceDN/>
        <w:bidi w:val="0"/>
        <w:adjustRightInd w:val="0"/>
        <w:snapToGrid w:val="0"/>
        <w:spacing w:line="580" w:lineRule="exact"/>
        <w:ind w:firstLine="640" w:firstLineChars="200"/>
        <w:outlineLvl w:val="2"/>
        <w:rPr>
          <w:rFonts w:ascii="仿宋_GB2312" w:hAnsi="Times New Roman" w:eastAsia="仿宋_GB2312"/>
          <w:sz w:val="32"/>
          <w:szCs w:val="32"/>
        </w:rPr>
      </w:pPr>
      <w:r>
        <w:rPr>
          <w:rFonts w:hint="eastAsia" w:ascii="楷体_GB2312" w:hAnsi="黑体" w:eastAsia="楷体_GB2312"/>
          <w:sz w:val="32"/>
          <w:szCs w:val="32"/>
        </w:rPr>
        <w:t>（二）智慧城镇化发展质量有待推进。</w:t>
      </w:r>
      <w:r>
        <w:rPr>
          <w:rFonts w:hint="eastAsia" w:ascii="仿宋_GB2312" w:hAnsi="Times New Roman" w:eastAsia="仿宋_GB2312"/>
          <w:sz w:val="32"/>
          <w:szCs w:val="32"/>
        </w:rPr>
        <w:t>全区智慧城镇化制度标准建设和数据治理能力方面的短板依旧明显，顶层设计不足，部门模块间协调发展不足，数据治理基础环境建设、大数据智能化协同管理、技术创新等方面的力度仍需加强。智慧城镇化碎片化管理程度依然较高，群众生活服务智慧化APP平台数量多且不兼容，数据冲突现象时有发生，跨地区、跨行业、跨部门、跨层级的信息共享和业务协同程度有限，城市治理创新力度不够，充分运用云计算、大数据等智慧化手段促进城乡规划、建设、管理、服务的精细化和便利化程度不足，群众</w:t>
      </w:r>
      <w:r>
        <w:rPr>
          <w:rFonts w:ascii="仿宋_GB2312" w:hAnsi="Times New Roman" w:eastAsia="仿宋_GB2312"/>
          <w:sz w:val="32"/>
          <w:szCs w:val="32"/>
        </w:rPr>
        <w:t>体验</w:t>
      </w:r>
      <w:r>
        <w:rPr>
          <w:rFonts w:hint="eastAsia" w:ascii="仿宋_GB2312" w:hAnsi="Times New Roman" w:eastAsia="仿宋_GB2312"/>
          <w:sz w:val="32"/>
          <w:szCs w:val="32"/>
        </w:rPr>
        <w:t>感有待进一步提升。</w:t>
      </w:r>
    </w:p>
    <w:p>
      <w:pPr>
        <w:pageBreakBefore w:val="0"/>
        <w:kinsoku/>
        <w:wordWrap/>
        <w:topLinePunct w:val="0"/>
        <w:autoSpaceDE/>
        <w:autoSpaceDN/>
        <w:bidi w:val="0"/>
        <w:adjustRightInd w:val="0"/>
        <w:snapToGrid w:val="0"/>
        <w:spacing w:line="580" w:lineRule="exact"/>
        <w:ind w:firstLine="640" w:firstLineChars="200"/>
        <w:outlineLvl w:val="2"/>
        <w:rPr>
          <w:rFonts w:ascii="仿宋_GB2312" w:hAnsi="宋体" w:eastAsia="仿宋_GB2312" w:cs="仿宋_GB2312"/>
          <w:bCs/>
          <w:sz w:val="32"/>
          <w:szCs w:val="32"/>
        </w:rPr>
      </w:pPr>
      <w:r>
        <w:rPr>
          <w:rFonts w:hint="eastAsia" w:ascii="楷体_GB2312" w:hAnsi="黑体" w:eastAsia="楷体_GB2312"/>
          <w:sz w:val="32"/>
          <w:szCs w:val="32"/>
        </w:rPr>
        <w:t>（三）绿色城镇化发展质量有待深化。</w:t>
      </w:r>
      <w:r>
        <w:rPr>
          <w:rFonts w:hint="eastAsia" w:ascii="仿宋_GB2312" w:hAnsi="宋体" w:eastAsia="仿宋_GB2312" w:cs="仿宋_GB2312"/>
          <w:bCs/>
          <w:sz w:val="32"/>
          <w:szCs w:val="32"/>
        </w:rPr>
        <w:t>全区</w:t>
      </w:r>
      <w:r>
        <w:rPr>
          <w:rFonts w:ascii="仿宋_GB2312" w:hAnsi="宋体" w:eastAsia="仿宋_GB2312" w:cs="仿宋_GB2312"/>
          <w:bCs/>
          <w:sz w:val="32"/>
          <w:szCs w:val="32"/>
        </w:rPr>
        <w:t>蓝天、碧水、净土的“三大保卫战”</w:t>
      </w:r>
      <w:r>
        <w:rPr>
          <w:rFonts w:hint="eastAsia" w:ascii="仿宋_GB2312" w:hAnsi="宋体" w:eastAsia="仿宋_GB2312" w:cs="仿宋_GB2312"/>
          <w:bCs/>
          <w:sz w:val="32"/>
          <w:szCs w:val="32"/>
        </w:rPr>
        <w:t>和生态文明治理能力仍需深化持续。大气污染防治和空气质量状况与国家标准和全区广大人民群众的期望相比，还存在一定差距。</w:t>
      </w:r>
      <w:r>
        <w:rPr>
          <w:rFonts w:hint="eastAsia" w:ascii="仿宋_GB2312" w:hAnsi="Times New Roman" w:eastAsia="仿宋_GB2312"/>
          <w:sz w:val="32"/>
          <w:szCs w:val="32"/>
        </w:rPr>
        <w:t>农村河道与市区内河道管护力度不均衡，河湖管护长效管理机制有待健全，水资源刚性约束机制尚未完全建立。土壤污染防治还存在薄弱环节，生态环境损害赔偿相关配套制度还需细化完善。绿色交通发展政策有待完善，在新能源车推广、</w:t>
      </w:r>
      <w:r>
        <w:rPr>
          <w:rFonts w:hint="eastAsia" w:ascii="仿宋_GB2312" w:hAnsi="宋体" w:eastAsia="仿宋_GB2312" w:cs="仿宋_GB2312"/>
          <w:sz w:val="32"/>
          <w:szCs w:val="32"/>
        </w:rPr>
        <w:t>绿色交通基础设施建设</w:t>
      </w:r>
      <w:r>
        <w:rPr>
          <w:rFonts w:hint="eastAsia" w:ascii="仿宋_GB2312" w:hAnsi="Times New Roman" w:eastAsia="仿宋_GB2312"/>
          <w:sz w:val="32"/>
          <w:szCs w:val="32"/>
        </w:rPr>
        <w:t>等方面，政策支持力度有待增强。绿色建筑高质量发展程度还需强化，以信用主导的新型监管体系亟需建立。公众生态文明意识有待加强，向绿色生活、绿色消费方式转化的能力有待进一步引导，企业生态文明建设、居民生态文明行为宣传力度需要加大。</w:t>
      </w:r>
    </w:p>
    <w:p>
      <w:pPr>
        <w:pageBreakBefore w:val="0"/>
        <w:kinsoku/>
        <w:wordWrap/>
        <w:topLinePunct w:val="0"/>
        <w:autoSpaceDE/>
        <w:autoSpaceDN/>
        <w:bidi w:val="0"/>
        <w:adjustRightInd w:val="0"/>
        <w:snapToGrid w:val="0"/>
        <w:spacing w:line="580" w:lineRule="exact"/>
        <w:ind w:firstLine="640" w:firstLineChars="200"/>
        <w:outlineLvl w:val="2"/>
        <w:rPr>
          <w:rFonts w:ascii="仿宋_GB2312" w:hAnsi="仿宋_GB2312" w:eastAsia="仿宋_GB2312" w:cs="仿宋_GB2312"/>
          <w:sz w:val="32"/>
          <w:szCs w:val="32"/>
        </w:rPr>
      </w:pPr>
      <w:r>
        <w:rPr>
          <w:rFonts w:hint="eastAsia" w:ascii="楷体_GB2312" w:hAnsi="黑体" w:eastAsia="楷体_GB2312"/>
          <w:sz w:val="32"/>
          <w:szCs w:val="32"/>
        </w:rPr>
        <w:t>（四）均衡城镇化发展质量有待完善。</w:t>
      </w:r>
      <w:bookmarkEnd w:id="38"/>
      <w:bookmarkEnd w:id="39"/>
      <w:bookmarkEnd w:id="40"/>
      <w:bookmarkEnd w:id="41"/>
      <w:bookmarkEnd w:id="42"/>
      <w:r>
        <w:rPr>
          <w:rFonts w:hint="eastAsia" w:ascii="仿宋_GB2312" w:hAnsi="宋体" w:eastAsia="仿宋_GB2312" w:cs="仿宋_GB2312"/>
          <w:sz w:val="32"/>
          <w:szCs w:val="32"/>
        </w:rPr>
        <w:t>作为半城半乡的典型区，中心城区发展对外围区域和乡村的引领带动能力没有充分发挥。</w:t>
      </w:r>
      <w:r>
        <w:rPr>
          <w:rFonts w:hint="eastAsia" w:ascii="仿宋_GB2312" w:eastAsia="仿宋_GB2312"/>
          <w:sz w:val="32"/>
          <w:szCs w:val="32"/>
        </w:rPr>
        <w:t>截止2020年底，全区城乡居民人均可支配收入比为</w:t>
      </w:r>
      <w:r>
        <w:rPr>
          <w:rFonts w:hint="eastAsia" w:ascii="仿宋_GB2312" w:hAnsi="宋体" w:eastAsia="仿宋_GB2312" w:cs="仿宋_GB2312"/>
          <w:sz w:val="32"/>
          <w:szCs w:val="32"/>
        </w:rPr>
        <w:t>2.24:1，区域城乡发展仍处于不均衡态势，城乡居民收入差距依然较大。与此同时，城乡</w:t>
      </w:r>
      <w:r>
        <w:rPr>
          <w:rFonts w:hint="eastAsia" w:ascii="仿宋_GB2312" w:hAnsi="Times New Roman" w:eastAsia="仿宋_GB2312"/>
          <w:sz w:val="32"/>
          <w:szCs w:val="32"/>
        </w:rPr>
        <w:t>基础</w:t>
      </w:r>
      <w:r>
        <w:rPr>
          <w:rFonts w:hint="eastAsia" w:ascii="仿宋_GB2312" w:hAnsi="仿宋_GB2312" w:eastAsia="仿宋_GB2312" w:cs="仿宋_GB2312"/>
          <w:sz w:val="32"/>
          <w:szCs w:val="32"/>
        </w:rPr>
        <w:t>设施一体化和公共服务均等化发展相对滞后，与城市的高速建设运营不相匹配。</w:t>
      </w:r>
      <w:r>
        <w:rPr>
          <w:rFonts w:hint="eastAsia" w:ascii="仿宋_GB2312" w:hAnsi="宋体" w:eastAsia="仿宋_GB2312" w:cs="仿宋_GB2312"/>
          <w:sz w:val="32"/>
          <w:szCs w:val="32"/>
        </w:rPr>
        <w:t>教育、医疗、卫生、养老和社会保障等公共服务依然存在满足度差距和城乡差距，</w:t>
      </w:r>
      <w:r>
        <w:rPr>
          <w:rFonts w:hint="eastAsia" w:ascii="仿宋_GB2312" w:hAnsi="宋体" w:eastAsia="仿宋_GB2312" w:cs="仿宋_GB2312"/>
          <w:bCs/>
          <w:sz w:val="32"/>
          <w:szCs w:val="32"/>
        </w:rPr>
        <w:t>城乡污水处理设施处理能力不足，区域内排水管（渠）存在管网缺陷、雨污合流、混接错接、覆盖率不足、高水位运行等系统问题，污水溢流现象仍然存在，现有生活垃圾分类收运和处理设施体系难以满足日益增长的分类要求和实际需求，</w:t>
      </w:r>
      <w:r>
        <w:rPr>
          <w:rFonts w:hint="eastAsia" w:ascii="仿宋_GB2312" w:hAnsi="宋体" w:eastAsia="仿宋_GB2312" w:cs="仿宋_GB2312"/>
          <w:sz w:val="32"/>
          <w:szCs w:val="32"/>
        </w:rPr>
        <w:t>农村人居环境基础设施管护机制仍需加强和完善。</w:t>
      </w:r>
      <w:bookmarkEnd w:id="43"/>
      <w:bookmarkEnd w:id="44"/>
      <w:bookmarkEnd w:id="45"/>
      <w:bookmarkEnd w:id="46"/>
      <w:bookmarkEnd w:id="47"/>
    </w:p>
    <w:p>
      <w:pPr>
        <w:pStyle w:val="21"/>
        <w:pageBreakBefore w:val="0"/>
        <w:kinsoku/>
        <w:wordWrap/>
        <w:overflowPunct w:val="0"/>
        <w:topLinePunct w:val="0"/>
        <w:autoSpaceDE/>
        <w:autoSpaceDN/>
        <w:bidi w:val="0"/>
        <w:spacing w:after="0" w:line="580" w:lineRule="exact"/>
        <w:ind w:left="0" w:leftChars="0" w:firstLine="640"/>
        <w:outlineLvl w:val="1"/>
        <w:rPr>
          <w:rFonts w:ascii="黑体" w:hAnsi="黑体" w:eastAsia="黑体"/>
          <w:b/>
          <w:sz w:val="32"/>
          <w:szCs w:val="32"/>
        </w:rPr>
      </w:pPr>
      <w:bookmarkStart w:id="48" w:name="_Toc123911390"/>
      <w:r>
        <w:rPr>
          <w:rFonts w:hint="eastAsia" w:ascii="黑体" w:hAnsi="黑体" w:eastAsia="黑体"/>
          <w:sz w:val="32"/>
          <w:szCs w:val="32"/>
        </w:rPr>
        <w:t>三、</w:t>
      </w:r>
      <w:bookmarkEnd w:id="30"/>
      <w:r>
        <w:rPr>
          <w:rFonts w:hint="eastAsia" w:ascii="黑体" w:hAnsi="黑体" w:eastAsia="黑体"/>
          <w:sz w:val="32"/>
          <w:szCs w:val="32"/>
        </w:rPr>
        <w:t>发展趋势</w:t>
      </w:r>
      <w:bookmarkEnd w:id="31"/>
      <w:bookmarkEnd w:id="32"/>
      <w:bookmarkEnd w:id="33"/>
      <w:bookmarkEnd w:id="34"/>
      <w:bookmarkEnd w:id="35"/>
      <w:bookmarkEnd w:id="36"/>
      <w:bookmarkEnd w:id="37"/>
      <w:bookmarkEnd w:id="48"/>
    </w:p>
    <w:p>
      <w:pPr>
        <w:pStyle w:val="11"/>
        <w:pageBreakBefore w:val="0"/>
        <w:shd w:val="clear" w:color="auto" w:fill="FFFFFF"/>
        <w:kinsoku/>
        <w:wordWrap/>
        <w:topLinePunct w:val="0"/>
        <w:autoSpaceDE/>
        <w:autoSpaceDN/>
        <w:bidi w:val="0"/>
        <w:spacing w:beforeAutospacing="0" w:afterAutospacing="0" w:line="580" w:lineRule="exact"/>
        <w:ind w:firstLine="64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今后一个时期，我国城镇化将迈入增速放缓的中后期阶段，新型城镇化将更加突出以人为核心，赋能高质量发展、高效精细治理、城乡统筹融合发展。省政府确定了推进智慧城镇化、绿色城镇化、均衡城镇化、双向城镇化的发展导向，</w:t>
      </w:r>
      <w:r>
        <w:rPr>
          <w:rFonts w:hint="eastAsia" w:ascii="仿宋_GB2312" w:hAnsi="仿宋_GB2312" w:eastAsia="仿宋_GB2312" w:cs="仿宋_GB2312"/>
          <w:sz w:val="32"/>
          <w:szCs w:val="32"/>
        </w:rPr>
        <w:t>济南市第十二次党代会报告</w:t>
      </w:r>
      <w:r>
        <w:rPr>
          <w:rFonts w:hint="eastAsia" w:ascii="仿宋_GB2312" w:hAnsi="仿宋_GB2312" w:eastAsia="仿宋_GB2312" w:cs="仿宋_GB2312"/>
          <w:sz w:val="32"/>
          <w:szCs w:val="32"/>
          <w:lang w:val="zh-CN"/>
        </w:rPr>
        <w:t>提出了加快建设功能完备、品质一流的现代化强省会战略。分析外部形势及中央、省、市关于新型城镇化发展要求，未来我区新型城镇化将呈现以下趋势。</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Times New Roman" w:eastAsia="楷体_GB2312"/>
          <w:sz w:val="32"/>
          <w:szCs w:val="32"/>
        </w:rPr>
        <w:t>（一）城镇化水平将稳步提高。</w:t>
      </w:r>
      <w:r>
        <w:rPr>
          <w:rFonts w:hint="eastAsia" w:ascii="仿宋_GB2312" w:hAnsi="仿宋_GB2312" w:eastAsia="仿宋_GB2312" w:cs="仿宋_GB2312"/>
          <w:kern w:val="0"/>
          <w:sz w:val="32"/>
          <w:szCs w:val="32"/>
          <w:lang w:val="zh-CN"/>
        </w:rPr>
        <w:t>在黄河重大国家战略、强省会战略、省会社会主义现代化强区战略等共同推动下，我区经济社会发展全面起势，周边地区人口向我区集聚仍将是未来区域人口迁移的主流。常住人口城镇化率还有提升空间，特别是户籍人口城镇化率较低，城镇化潜力依然较大。</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（二）城乡格局面临战略机遇。</w:t>
      </w:r>
      <w:r>
        <w:rPr>
          <w:rFonts w:hint="eastAsia" w:ascii="仿宋_GB2312" w:hAnsi="Times New Roman" w:eastAsia="仿宋_GB2312"/>
          <w:sz w:val="32"/>
          <w:szCs w:val="32"/>
        </w:rPr>
        <w:t>济南都市圈加速构建，济南</w:t>
      </w:r>
      <w:r>
        <w:rPr>
          <w:rFonts w:hint="eastAsia" w:ascii="仿宋_GB2312" w:hAnsi="仿宋_GB2312" w:eastAsia="仿宋_GB2312" w:cs="仿宋_GB2312"/>
          <w:sz w:val="32"/>
          <w:szCs w:val="32"/>
        </w:rPr>
        <w:t>“东强西兴南美北起中优”城市发展新格局</w:t>
      </w:r>
      <w:r>
        <w:rPr>
          <w:rFonts w:hint="eastAsia" w:ascii="仿宋_GB2312" w:hAnsi="Times New Roman" w:eastAsia="仿宋_GB2312"/>
          <w:sz w:val="32"/>
          <w:szCs w:val="32"/>
        </w:rPr>
        <w:t>已全面展开推进落实，新旧动能转换提速迎来发展新契机，黄河流域生态</w:t>
      </w:r>
      <w:r>
        <w:rPr>
          <w:rFonts w:hint="eastAsia" w:ascii="仿宋_GB2312" w:hAnsi="Times New Roman" w:eastAsia="仿宋_GB2312" w:cs="Times New Roman"/>
          <w:sz w:val="32"/>
          <w:szCs w:val="32"/>
        </w:rPr>
        <w:t>保护和高质量发展战略注入新引擎。作为济南“东强主战场”的历城区将迎来重要战略机遇期，城乡发展新格局进一步优化，城乡互动发展、协调发展、一体化发展将成为新趋势。</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bookmarkStart w:id="49" w:name="_Hlk90308652"/>
      <w:r>
        <w:rPr>
          <w:rFonts w:hint="eastAsia" w:ascii="楷体_GB2312" w:hAnsi="黑体" w:eastAsia="楷体_GB2312"/>
          <w:sz w:val="32"/>
          <w:szCs w:val="32"/>
        </w:rPr>
        <w:t>（三）城乡发展方式将加快转型。</w:t>
      </w:r>
      <w:bookmarkEnd w:id="49"/>
      <w:r>
        <w:rPr>
          <w:rFonts w:hint="eastAsia" w:ascii="仿宋_GB2312" w:hAnsi="Times New Roman" w:eastAsia="仿宋_GB2312"/>
          <w:sz w:val="32"/>
          <w:szCs w:val="32"/>
        </w:rPr>
        <w:t>城区</w:t>
      </w:r>
      <w:r>
        <w:rPr>
          <w:rFonts w:ascii="仿宋_GB2312" w:hAnsi="Times New Roman" w:eastAsia="仿宋_GB2312"/>
          <w:sz w:val="32"/>
          <w:szCs w:val="32"/>
        </w:rPr>
        <w:t>从以往“向乡村要土地”的外延扩张式发展转变为“向城市内部要空间”的内涵提升式发展，</w:t>
      </w:r>
      <w:r>
        <w:rPr>
          <w:rFonts w:hint="eastAsia" w:ascii="仿宋_GB2312" w:hAnsi="Times New Roman" w:eastAsia="仿宋_GB2312"/>
          <w:sz w:val="32"/>
          <w:szCs w:val="32"/>
        </w:rPr>
        <w:t>建设方式由增量扩张转向存量挖潜，</w:t>
      </w:r>
      <w:r>
        <w:rPr>
          <w:rFonts w:ascii="仿宋_GB2312" w:hAnsi="Times New Roman" w:eastAsia="仿宋_GB2312"/>
          <w:sz w:val="32"/>
          <w:szCs w:val="32"/>
        </w:rPr>
        <w:t>由大规模增量建设转为存量提质改造和增量结构调整并重，</w:t>
      </w:r>
      <w:r>
        <w:rPr>
          <w:rFonts w:hint="eastAsia" w:ascii="仿宋_GB2312" w:hAnsi="Times New Roman" w:eastAsia="仿宋_GB2312"/>
          <w:sz w:val="32"/>
          <w:szCs w:val="32"/>
        </w:rPr>
        <w:t>城市更新提升将成为首要任务。城镇居民对优质公共服务、生态环境和健康安全的需求日益增长，基本公共服务均等化、普惠化、便捷化加速推进，城乡产业结构将呈现全链式、圈层式发展，城乡融合发展将成为必然。</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（四）城乡人居环境将持续提升。</w:t>
      </w:r>
      <w:r>
        <w:rPr>
          <w:rFonts w:hint="eastAsia" w:ascii="仿宋_GB2312" w:hAnsi="宋体" w:eastAsia="仿宋_GB2312" w:cs="仿宋_GB2312"/>
          <w:sz w:val="32"/>
          <w:szCs w:val="32"/>
        </w:rPr>
        <w:t>城乡面貌亮出新颜值，城市发展框架快速拉开，山体公园、郊野公园、口袋公园建设持续推进，</w:t>
      </w:r>
      <w:r>
        <w:rPr>
          <w:rFonts w:hint="eastAsia" w:ascii="仿宋_GB2312" w:hAnsi="宋体" w:eastAsia="仿宋_GB2312" w:cs="仿宋_GB2312"/>
          <w:kern w:val="0"/>
          <w:sz w:val="32"/>
          <w:szCs w:val="32"/>
        </w:rPr>
        <w:t>城乡绿地系统、生态居住区建设和环境综合整治将不断完善。农村人居环境显著改善，生态宜居美丽乡村建设取得新进步，农村人居环境基础设施建设水平逐步提升，城乡环境质量将进一步得到改善，</w:t>
      </w:r>
      <w:r>
        <w:rPr>
          <w:rFonts w:hint="eastAsia" w:ascii="仿宋_GB2312" w:hAnsi="宋体" w:eastAsia="仿宋_GB2312" w:cs="仿宋_GB2312"/>
          <w:sz w:val="32"/>
          <w:szCs w:val="32"/>
        </w:rPr>
        <w:t>生态文明将更加深入人心。</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（五）城乡治理路径将更加智慧精准。</w:t>
      </w:r>
      <w:r>
        <w:rPr>
          <w:rFonts w:hint="eastAsia" w:ascii="仿宋_GB2312" w:hAnsi="Times New Roman" w:eastAsia="仿宋_GB2312"/>
          <w:sz w:val="32"/>
          <w:szCs w:val="32"/>
        </w:rPr>
        <w:t>随着城镇化加速发展，迫切需要提升城市善治水平，以智慧平台为抓手，搭建应用场景，提升网络化、信息化、智慧化水平，创新治理理念、治理模式、治理手段，推动城市治理体系和治理能力现代化，全面提升安全韧性水平和抵御冲击能力，使城乡治理更加科学化、精细化、智能化。</w:t>
      </w:r>
    </w:p>
    <w:p>
      <w:pPr>
        <w:pageBreakBefore w:val="0"/>
        <w:widowControl/>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（六）城乡融合发展将全面纵深推进。</w:t>
      </w:r>
      <w:r>
        <w:rPr>
          <w:rFonts w:hint="eastAsia" w:ascii="仿宋_GB2312" w:hAnsi="Times New Roman" w:eastAsia="仿宋_GB2312"/>
          <w:sz w:val="32"/>
          <w:szCs w:val="32"/>
        </w:rPr>
        <w:t>城乡融合发展是以人民为中心的内在要求，是解决社会主要矛盾的必然选择，是拓展发展空间的强大动力。要紧抓</w:t>
      </w:r>
      <w:r>
        <w:rPr>
          <w:rFonts w:ascii="仿宋_GB2312" w:hAnsi="Times New Roman" w:eastAsia="仿宋_GB2312"/>
          <w:sz w:val="32"/>
          <w:szCs w:val="32"/>
        </w:rPr>
        <w:t>国家城乡融合发展试验区的重大机遇，以缩小城乡</w:t>
      </w:r>
      <w:r>
        <w:rPr>
          <w:rFonts w:hint="eastAsia" w:ascii="仿宋_GB2312" w:hAnsi="Times New Roman" w:eastAsia="仿宋_GB2312"/>
          <w:sz w:val="32"/>
          <w:szCs w:val="32"/>
        </w:rPr>
        <w:t>发展差距和居民生活水平差距为目标</w:t>
      </w:r>
      <w:r>
        <w:rPr>
          <w:rFonts w:ascii="仿宋_GB2312" w:hAnsi="Times New Roman" w:eastAsia="仿宋_GB2312"/>
          <w:sz w:val="32"/>
          <w:szCs w:val="32"/>
        </w:rPr>
        <w:t>，促进城乡要素自由流动、平等交换和公共资源合理配置</w:t>
      </w:r>
      <w:r>
        <w:rPr>
          <w:rFonts w:hint="eastAsia" w:ascii="仿宋_GB2312" w:hAnsi="Times New Roman" w:eastAsia="仿宋_GB2312"/>
          <w:sz w:val="32"/>
          <w:szCs w:val="32"/>
        </w:rPr>
        <w:t>，形成工农互促、城乡互补、协调发展、共同繁荣的新型工农城乡关系</w:t>
      </w:r>
      <w:r>
        <w:rPr>
          <w:rFonts w:ascii="仿宋_GB2312" w:hAnsi="Times New Roman" w:eastAsia="仿宋_GB2312"/>
          <w:sz w:val="32"/>
          <w:szCs w:val="32"/>
        </w:rPr>
        <w:t>，从整体上</w:t>
      </w:r>
      <w:r>
        <w:rPr>
          <w:rFonts w:hint="eastAsia" w:ascii="仿宋_GB2312" w:hAnsi="Times New Roman" w:eastAsia="仿宋_GB2312"/>
          <w:sz w:val="32"/>
          <w:szCs w:val="32"/>
        </w:rPr>
        <w:t>加速农业农村现代化。</w:t>
      </w:r>
    </w:p>
    <w:bookmarkEnd w:id="10"/>
    <w:bookmarkEnd w:id="28"/>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黑体"/>
          <w:b w:val="0"/>
        </w:rPr>
      </w:pPr>
      <w:bookmarkStart w:id="50" w:name="_Toc13369"/>
      <w:bookmarkStart w:id="51" w:name="_Toc7420"/>
      <w:bookmarkStart w:id="52" w:name="_Toc25657"/>
      <w:bookmarkStart w:id="53" w:name="_Toc158239539"/>
      <w:bookmarkStart w:id="54" w:name="_Toc31347"/>
      <w:bookmarkStart w:id="55" w:name="_Toc29904"/>
      <w:bookmarkStart w:id="56" w:name="_Toc95296090"/>
      <w:bookmarkStart w:id="57" w:name="_Toc123911391"/>
      <w:bookmarkStart w:id="58" w:name="_Toc25555"/>
      <w:r>
        <w:rPr>
          <w:rFonts w:hint="eastAsia" w:ascii="黑体" w:hAnsi="黑体" w:eastAsia="黑体"/>
          <w:b w:val="0"/>
        </w:rPr>
        <w:t>四、指导思想</w:t>
      </w:r>
      <w:bookmarkEnd w:id="50"/>
      <w:bookmarkEnd w:id="51"/>
      <w:bookmarkEnd w:id="52"/>
      <w:bookmarkEnd w:id="53"/>
      <w:bookmarkEnd w:id="54"/>
      <w:bookmarkEnd w:id="55"/>
      <w:bookmarkEnd w:id="56"/>
      <w:bookmarkEnd w:id="57"/>
      <w:bookmarkEnd w:id="58"/>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以习近平新时代中国特色社会主义思想为指导，全面贯彻党的十九大和十九届历次全会精神、党的二十大精神，统筹推进“五位一体”总体布局，协调推进“四个全面”战略布局，立足新发展阶段，完整准确全面贯彻新发展理念，主动服务和融入新发展格局，</w:t>
      </w:r>
      <w:r>
        <w:rPr>
          <w:rFonts w:ascii="仿宋_GB2312" w:hAnsi="Times New Roman" w:eastAsia="仿宋_GB2312"/>
          <w:sz w:val="32"/>
          <w:szCs w:val="32"/>
        </w:rPr>
        <w:t>坚持稳中求进工作总基调,全面</w:t>
      </w:r>
      <w:r>
        <w:rPr>
          <w:rFonts w:hint="eastAsia" w:ascii="仿宋_GB2312" w:hAnsi="Times New Roman" w:eastAsia="仿宋_GB2312"/>
          <w:sz w:val="32"/>
          <w:szCs w:val="32"/>
        </w:rPr>
        <w:t>贯彻</w:t>
      </w:r>
      <w:r>
        <w:rPr>
          <w:rFonts w:ascii="仿宋_GB2312" w:hAnsi="Times New Roman" w:eastAsia="仿宋_GB2312"/>
          <w:sz w:val="32"/>
          <w:szCs w:val="32"/>
        </w:rPr>
        <w:t>落实习近平总书记对山东、对济南工作的重要指示要求,</w:t>
      </w:r>
      <w:r>
        <w:rPr>
          <w:rFonts w:hint="eastAsia" w:ascii="仿宋_GB2312" w:hAnsi="Times New Roman" w:eastAsia="仿宋_GB2312"/>
          <w:sz w:val="32"/>
          <w:szCs w:val="32"/>
        </w:rPr>
        <w:t>以推动城镇化高质量发展为主题，以转变城市发展方式为主线，以农业转移人口市民化为重点，以智慧化、绿色化、均衡化、双向化为方向，进一步拉高标杆、勇挑大梁，当好全市乃至全省新型城镇化发展的主战场、主力军和排头兵，更好发挥在济南都市圈中的“历城担当”，加快建设省会社会主义现代化强区。</w:t>
      </w:r>
      <w:bookmarkStart w:id="59" w:name="_Toc67304254"/>
    </w:p>
    <w:bookmarkEnd w:id="59"/>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在工作中，应注重把握以下主要原则：</w:t>
      </w:r>
    </w:p>
    <w:p>
      <w:pPr>
        <w:pageBreakBefore w:val="0"/>
        <w:kinsoku/>
        <w:wordWrap/>
        <w:overflowPunct w:val="0"/>
        <w:topLinePunct w:val="0"/>
        <w:autoSpaceDE/>
        <w:autoSpaceDN/>
        <w:bidi w:val="0"/>
        <w:adjustRightInd w:val="0"/>
        <w:snapToGrid w:val="0"/>
        <w:spacing w:line="580" w:lineRule="exact"/>
        <w:ind w:firstLine="640" w:firstLineChars="200"/>
        <w:rPr>
          <w:rFonts w:ascii="黑体" w:hAnsi="黑体" w:eastAsia="黑体"/>
          <w:sz w:val="32"/>
          <w:szCs w:val="32"/>
        </w:rPr>
      </w:pPr>
      <w:r>
        <w:rPr>
          <w:rFonts w:hint="eastAsia" w:ascii="黑体" w:hAnsi="黑体" w:eastAsia="黑体"/>
          <w:sz w:val="32"/>
          <w:szCs w:val="32"/>
        </w:rPr>
        <w:t>——</w:t>
      </w:r>
      <w:r>
        <w:rPr>
          <w:rFonts w:hint="eastAsia" w:ascii="仿宋_GB2312" w:hAnsi="宋体" w:eastAsia="仿宋_GB2312"/>
          <w:kern w:val="0"/>
          <w:sz w:val="32"/>
          <w:szCs w:val="32"/>
        </w:rPr>
        <w:t>以人为本，全面发展。</w:t>
      </w:r>
      <w:r>
        <w:rPr>
          <w:rFonts w:hint="eastAsia" w:ascii="仿宋_GB2312" w:hAnsi="Times New Roman" w:eastAsia="仿宋_GB2312"/>
          <w:sz w:val="32"/>
          <w:szCs w:val="32"/>
        </w:rPr>
        <w:t>践行以人民为中心的发展思想，高质量满足人民群众日益增长的美好生活需要，提高农业转移人口市民化质量，推进基本公共服务均等化，提升城市功能品质，兜底线、补短板、强弱项，努力增强人民群众的获得感、幸福感、安全感，让人民群众成为新型城镇化的积极参与者、最大受益者和最终评判者。</w:t>
      </w:r>
    </w:p>
    <w:p>
      <w:pPr>
        <w:pageBreakBefore w:val="0"/>
        <w:kinsoku/>
        <w:wordWrap/>
        <w:overflowPunct w:val="0"/>
        <w:topLinePunct w:val="0"/>
        <w:autoSpaceDE/>
        <w:autoSpaceDN/>
        <w:bidi w:val="0"/>
        <w:adjustRightInd w:val="0"/>
        <w:snapToGrid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宋体" w:eastAsia="仿宋_GB2312"/>
          <w:kern w:val="0"/>
          <w:sz w:val="32"/>
          <w:szCs w:val="32"/>
        </w:rPr>
        <w:t>产城融合，智慧发展。</w:t>
      </w:r>
      <w:r>
        <w:rPr>
          <w:rFonts w:hint="eastAsia" w:ascii="仿宋_GB2312" w:hAnsi="Times New Roman" w:eastAsia="仿宋_GB2312"/>
          <w:sz w:val="32"/>
          <w:szCs w:val="32"/>
        </w:rPr>
        <w:t>以产促城、以城兴产、产城融合，前瞻性谋划布局，打造高能级科创平台，吸引优势产业集聚，打造产业链条。坚持数字赋能高质量发展，将数字化、网络化、智能化贯穿城镇化全过程，加强新型基础设施建设，拓展数字应用场景，完善城乡数字治理，形成“产业升级、人才集聚、城市转型”的新格局。</w:t>
      </w:r>
    </w:p>
    <w:p>
      <w:pPr>
        <w:pageBreakBefore w:val="0"/>
        <w:kinsoku/>
        <w:wordWrap/>
        <w:overflowPunct w:val="0"/>
        <w:topLinePunct w:val="0"/>
        <w:autoSpaceDE/>
        <w:autoSpaceDN/>
        <w:bidi w:val="0"/>
        <w:adjustRightInd w:val="0"/>
        <w:snapToGrid w:val="0"/>
        <w:spacing w:line="580" w:lineRule="exact"/>
        <w:ind w:firstLine="640" w:firstLineChars="200"/>
        <w:rPr>
          <w:rFonts w:ascii="仿宋_GB2312" w:hAnsi="宋体" w:eastAsia="仿宋_GB2312"/>
          <w:kern w:val="0"/>
          <w:sz w:val="32"/>
          <w:szCs w:val="32"/>
        </w:rPr>
      </w:pPr>
      <w:r>
        <w:rPr>
          <w:rFonts w:hint="eastAsia" w:ascii="黑体" w:hAnsi="黑体" w:eastAsia="黑体"/>
          <w:sz w:val="32"/>
          <w:szCs w:val="32"/>
        </w:rPr>
        <w:t>——</w:t>
      </w:r>
      <w:r>
        <w:rPr>
          <w:rFonts w:hint="eastAsia" w:ascii="仿宋_GB2312" w:hAnsi="Times New Roman" w:eastAsia="仿宋_GB2312"/>
          <w:sz w:val="32"/>
          <w:szCs w:val="32"/>
        </w:rPr>
        <w:t>保护生态，绿色发展。坚定不移贯彻新发展理念，守住自然生态安全边界，持续改善生态环境质量，积极探索生态优先、绿色发展新路子。切实转变城市发展方式，培育绿色生态产业，坚持走经济建设与环境保护并举的道路，加快推动经济社会发展全面绿色转型，建设人与自然和谐共生的宜居宜业高品质城市。</w:t>
      </w:r>
    </w:p>
    <w:p>
      <w:pPr>
        <w:pageBreakBefore w:val="0"/>
        <w:kinsoku/>
        <w:wordWrap/>
        <w:overflowPunct w:val="0"/>
        <w:topLinePunct w:val="0"/>
        <w:autoSpaceDE/>
        <w:autoSpaceDN/>
        <w:bidi w:val="0"/>
        <w:adjustRightInd w:val="0"/>
        <w:snapToGrid w:val="0"/>
        <w:spacing w:line="580" w:lineRule="exact"/>
        <w:ind w:firstLine="640" w:firstLineChars="200"/>
        <w:rPr>
          <w:rFonts w:ascii="Arial" w:hAnsi="Arial" w:cs="Arial"/>
          <w:sz w:val="20"/>
          <w:szCs w:val="20"/>
          <w:shd w:val="clear" w:color="auto" w:fill="FFFFFF"/>
        </w:rPr>
      </w:pPr>
      <w:r>
        <w:rPr>
          <w:rFonts w:hint="eastAsia" w:ascii="黑体" w:hAnsi="黑体" w:eastAsia="黑体"/>
          <w:sz w:val="32"/>
          <w:szCs w:val="32"/>
        </w:rPr>
        <w:t>——</w:t>
      </w:r>
      <w:r>
        <w:rPr>
          <w:rFonts w:hint="eastAsia" w:ascii="仿宋_GB2312" w:hAnsi="Times New Roman" w:eastAsia="仿宋_GB2312"/>
          <w:sz w:val="32"/>
          <w:szCs w:val="32"/>
        </w:rPr>
        <w:t>统筹协调，系统发展。坚持系统观念，一体化推进新型城镇化战略与乡村振兴战略。</w:t>
      </w:r>
      <w:r>
        <w:rPr>
          <w:rFonts w:ascii="仿宋_GB2312" w:hAnsi="Times New Roman" w:eastAsia="仿宋_GB2312"/>
          <w:sz w:val="32"/>
          <w:szCs w:val="32"/>
        </w:rPr>
        <w:t>统筹城乡产业发展规划，科学确定产业发展布局；统筹城乡用地规划，合理布局</w:t>
      </w:r>
      <w:r>
        <w:rPr>
          <w:rFonts w:hint="eastAsia" w:ascii="仿宋_GB2312" w:hAnsi="Times New Roman" w:eastAsia="仿宋_GB2312"/>
          <w:sz w:val="32"/>
          <w:szCs w:val="32"/>
        </w:rPr>
        <w:t>生产、生态、生活空间</w:t>
      </w:r>
      <w:r>
        <w:rPr>
          <w:rFonts w:ascii="仿宋_GB2312" w:hAnsi="Times New Roman" w:eastAsia="仿宋_GB2312"/>
          <w:sz w:val="32"/>
          <w:szCs w:val="32"/>
        </w:rPr>
        <w:t>；统筹城乡</w:t>
      </w:r>
      <w:r>
        <w:rPr>
          <w:rFonts w:hint="eastAsia" w:ascii="仿宋_GB2312" w:hAnsi="Times New Roman" w:eastAsia="仿宋_GB2312"/>
          <w:sz w:val="32"/>
          <w:szCs w:val="32"/>
        </w:rPr>
        <w:t>公共服务设施和</w:t>
      </w:r>
      <w:r>
        <w:rPr>
          <w:rFonts w:ascii="仿宋_GB2312" w:hAnsi="Times New Roman" w:eastAsia="仿宋_GB2312"/>
          <w:sz w:val="32"/>
          <w:szCs w:val="32"/>
        </w:rPr>
        <w:t>基础设施建设规划，构建完善的</w:t>
      </w:r>
      <w:r>
        <w:rPr>
          <w:rFonts w:hint="eastAsia" w:ascii="仿宋_GB2312" w:hAnsi="Times New Roman" w:eastAsia="仿宋_GB2312"/>
          <w:sz w:val="32"/>
          <w:szCs w:val="32"/>
        </w:rPr>
        <w:t>公共服务和</w:t>
      </w:r>
      <w:r>
        <w:rPr>
          <w:rFonts w:ascii="仿宋_GB2312" w:hAnsi="Times New Roman" w:eastAsia="仿宋_GB2312"/>
          <w:sz w:val="32"/>
          <w:szCs w:val="32"/>
        </w:rPr>
        <w:t>基础设施网络体系</w:t>
      </w:r>
      <w:r>
        <w:rPr>
          <w:rFonts w:hint="eastAsia" w:ascii="仿宋_GB2312" w:hAnsi="Times New Roman" w:eastAsia="仿宋_GB2312"/>
          <w:sz w:val="32"/>
          <w:szCs w:val="32"/>
        </w:rPr>
        <w:t>。高水平重塑城乡关系，促进城乡生产要素合理顺畅自由流动，实现城乡均衡发展、协调发展、</w:t>
      </w:r>
      <w:r>
        <w:rPr>
          <w:rFonts w:ascii="仿宋_GB2312" w:hAnsi="Times New Roman" w:eastAsia="仿宋_GB2312"/>
          <w:sz w:val="32"/>
          <w:szCs w:val="32"/>
        </w:rPr>
        <w:t>共同繁荣</w:t>
      </w:r>
      <w:r>
        <w:rPr>
          <w:rFonts w:hint="eastAsia" w:ascii="仿宋_GB2312" w:hAnsi="Times New Roman" w:eastAsia="仿宋_GB2312"/>
          <w:sz w:val="32"/>
          <w:szCs w:val="32"/>
        </w:rPr>
        <w:t>。</w:t>
      </w:r>
    </w:p>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黑体"/>
          <w:b w:val="0"/>
        </w:rPr>
      </w:pPr>
      <w:bookmarkStart w:id="60" w:name="_Toc20744"/>
      <w:bookmarkStart w:id="61" w:name="_Toc1675559012"/>
      <w:bookmarkStart w:id="62" w:name="_Toc19907"/>
      <w:bookmarkStart w:id="63" w:name="_Toc90328732"/>
      <w:bookmarkStart w:id="64" w:name="_Toc5745"/>
      <w:bookmarkStart w:id="65" w:name="_Toc9369"/>
      <w:bookmarkStart w:id="66" w:name="_Toc90649729"/>
      <w:bookmarkStart w:id="67" w:name="_Toc67304255"/>
      <w:bookmarkStart w:id="68" w:name="_Toc90813720"/>
      <w:bookmarkStart w:id="69" w:name="_Toc14571"/>
      <w:bookmarkStart w:id="70" w:name="_Toc123911392"/>
      <w:bookmarkStart w:id="71" w:name="_Toc84951494"/>
      <w:bookmarkStart w:id="72" w:name="_Toc13877"/>
      <w:bookmarkStart w:id="73" w:name="_Toc95296092"/>
      <w:r>
        <w:rPr>
          <w:rFonts w:hint="eastAsia" w:ascii="黑体" w:hAnsi="黑体" w:eastAsia="黑体"/>
          <w:b w:val="0"/>
        </w:rPr>
        <w:t>五、主要目标</w:t>
      </w:r>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开启历城区高质量发展“新型城镇化2.0”时代，</w:t>
      </w:r>
      <w:r>
        <w:rPr>
          <w:rFonts w:ascii="仿宋_GB2312" w:hAnsi="Times New Roman" w:eastAsia="仿宋_GB2312"/>
          <w:sz w:val="32"/>
          <w:szCs w:val="32"/>
        </w:rPr>
        <w:t>以人为本</w:t>
      </w:r>
      <w:r>
        <w:rPr>
          <w:rFonts w:hint="eastAsia" w:ascii="仿宋_GB2312" w:hAnsi="Times New Roman" w:eastAsia="仿宋_GB2312"/>
          <w:sz w:val="32"/>
          <w:szCs w:val="32"/>
        </w:rPr>
        <w:t>，进一步</w:t>
      </w:r>
      <w:r>
        <w:rPr>
          <w:rFonts w:ascii="仿宋_GB2312" w:hAnsi="Times New Roman" w:eastAsia="仿宋_GB2312"/>
          <w:sz w:val="32"/>
          <w:szCs w:val="32"/>
        </w:rPr>
        <w:t>更新升级</w:t>
      </w:r>
      <w:r>
        <w:rPr>
          <w:rFonts w:hint="eastAsia" w:ascii="仿宋_GB2312" w:hAnsi="Times New Roman" w:eastAsia="仿宋_GB2312"/>
          <w:sz w:val="32"/>
          <w:szCs w:val="32"/>
        </w:rPr>
        <w:t>城乡</w:t>
      </w:r>
      <w:r>
        <w:rPr>
          <w:rFonts w:ascii="仿宋_GB2312" w:hAnsi="Times New Roman" w:eastAsia="仿宋_GB2312"/>
          <w:sz w:val="32"/>
          <w:szCs w:val="32"/>
        </w:rPr>
        <w:t>治理</w:t>
      </w:r>
      <w:r>
        <w:rPr>
          <w:rFonts w:hint="eastAsia" w:ascii="仿宋_GB2312" w:hAnsi="Times New Roman" w:eastAsia="仿宋_GB2312"/>
          <w:sz w:val="32"/>
          <w:szCs w:val="32"/>
        </w:rPr>
        <w:t>水平</w:t>
      </w:r>
      <w:r>
        <w:rPr>
          <w:rFonts w:ascii="仿宋_GB2312" w:hAnsi="Times New Roman" w:eastAsia="仿宋_GB2312"/>
          <w:sz w:val="32"/>
          <w:szCs w:val="32"/>
        </w:rPr>
        <w:t>和管理</w:t>
      </w:r>
      <w:r>
        <w:rPr>
          <w:rFonts w:hint="eastAsia" w:ascii="仿宋_GB2312" w:hAnsi="Times New Roman" w:eastAsia="仿宋_GB2312"/>
          <w:sz w:val="32"/>
          <w:szCs w:val="32"/>
        </w:rPr>
        <w:t>能力</w:t>
      </w:r>
      <w:r>
        <w:rPr>
          <w:rFonts w:ascii="仿宋_GB2312" w:hAnsi="Times New Roman" w:eastAsia="仿宋_GB2312"/>
          <w:sz w:val="32"/>
          <w:szCs w:val="32"/>
        </w:rPr>
        <w:t>，</w:t>
      </w:r>
      <w:r>
        <w:rPr>
          <w:rFonts w:hint="eastAsia" w:ascii="仿宋_GB2312" w:hAnsi="Times New Roman" w:eastAsia="仿宋_GB2312"/>
          <w:sz w:val="32"/>
          <w:szCs w:val="32"/>
        </w:rPr>
        <w:t>构造</w:t>
      </w:r>
      <w:r>
        <w:rPr>
          <w:rFonts w:ascii="仿宋_GB2312" w:hAnsi="Times New Roman" w:eastAsia="仿宋_GB2312"/>
          <w:sz w:val="32"/>
          <w:szCs w:val="32"/>
        </w:rPr>
        <w:t>更加智慧有序</w:t>
      </w:r>
      <w:r>
        <w:rPr>
          <w:rFonts w:hint="eastAsia" w:ascii="仿宋_GB2312" w:hAnsi="Times New Roman" w:eastAsia="仿宋_GB2312"/>
          <w:sz w:val="32"/>
          <w:szCs w:val="32"/>
        </w:rPr>
        <w:t>、配套完善、绿色低碳、生态宜居、融合发展的城乡</w:t>
      </w:r>
      <w:r>
        <w:rPr>
          <w:rFonts w:ascii="仿宋_GB2312" w:hAnsi="Times New Roman" w:eastAsia="仿宋_GB2312"/>
          <w:sz w:val="32"/>
          <w:szCs w:val="32"/>
        </w:rPr>
        <w:t>空间</w:t>
      </w:r>
      <w:r>
        <w:rPr>
          <w:rFonts w:hint="eastAsia" w:ascii="仿宋_GB2312" w:hAnsi="Times New Roman" w:eastAsia="仿宋_GB2312"/>
          <w:sz w:val="32"/>
          <w:szCs w:val="32"/>
        </w:rPr>
        <w:t>格局，当好强省会经济发展增长极、科技创新主阵地、对外开放主支撑，打造创新能力强、区域格局优、生态环境美、开放活力足、幸福指数高的</w:t>
      </w:r>
      <w:r>
        <w:rPr>
          <w:rFonts w:ascii="仿宋_GB2312" w:hAnsi="Times New Roman" w:eastAsia="仿宋_GB2312"/>
          <w:sz w:val="32"/>
          <w:szCs w:val="32"/>
        </w:rPr>
        <w:t>省会社会主义现代化强区</w:t>
      </w:r>
      <w:r>
        <w:rPr>
          <w:rFonts w:hint="eastAsia" w:ascii="仿宋_GB2312" w:hAnsi="Times New Roman" w:eastAsia="仿宋_GB2312"/>
          <w:sz w:val="32"/>
          <w:szCs w:val="32"/>
        </w:rPr>
        <w:t>。</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Times New Roman" w:eastAsia="楷体_GB2312"/>
          <w:sz w:val="32"/>
          <w:szCs w:val="32"/>
        </w:rPr>
        <w:t>（一）到2025年主要目标。</w:t>
      </w:r>
      <w:r>
        <w:rPr>
          <w:rFonts w:hint="eastAsia" w:ascii="仿宋_GB2312" w:hAnsi="Times New Roman" w:eastAsia="仿宋_GB2312"/>
          <w:sz w:val="32"/>
          <w:szCs w:val="32"/>
        </w:rPr>
        <w:t>新型城镇化水平和质量明显提升，</w:t>
      </w:r>
      <w:r>
        <w:rPr>
          <w:rFonts w:ascii="仿宋_GB2312" w:hAnsi="Times New Roman" w:eastAsia="仿宋_GB2312"/>
          <w:sz w:val="32"/>
          <w:szCs w:val="32"/>
        </w:rPr>
        <w:t>常住人口城镇化率达到</w:t>
      </w:r>
      <w:r>
        <w:rPr>
          <w:rFonts w:hint="eastAsia" w:ascii="仿宋_GB2312" w:hAnsi="Times New Roman" w:eastAsia="仿宋_GB2312"/>
          <w:sz w:val="32"/>
          <w:szCs w:val="32"/>
        </w:rPr>
        <w:t>90</w:t>
      </w:r>
      <w:r>
        <w:rPr>
          <w:rFonts w:ascii="仿宋_GB2312" w:hAnsi="Times New Roman" w:eastAsia="仿宋_GB2312"/>
          <w:sz w:val="32"/>
          <w:szCs w:val="32"/>
        </w:rPr>
        <w:t>%</w:t>
      </w:r>
      <w:r>
        <w:rPr>
          <w:rFonts w:hint="eastAsia" w:ascii="仿宋_GB2312" w:hAnsi="Times New Roman" w:eastAsia="仿宋_GB2312"/>
          <w:sz w:val="32"/>
          <w:szCs w:val="32"/>
        </w:rPr>
        <w:t>以上，户籍人口城镇化率达到78%以上。</w:t>
      </w:r>
    </w:p>
    <w:p>
      <w:pPr>
        <w:pageBreakBefore w:val="0"/>
        <w:kinsoku/>
        <w:wordWrap/>
        <w:topLinePunct w:val="0"/>
        <w:autoSpaceDE/>
        <w:autoSpaceDN/>
        <w:bidi w:val="0"/>
        <w:spacing w:line="580" w:lineRule="exact"/>
        <w:ind w:firstLine="640" w:firstLineChars="200"/>
        <w:rPr>
          <w:rFonts w:ascii="黑体" w:hAnsi="黑体" w:eastAsia="黑体"/>
          <w:sz w:val="32"/>
          <w:szCs w:val="32"/>
        </w:rPr>
      </w:pPr>
      <w:r>
        <w:rPr>
          <w:rFonts w:hint="eastAsia" w:ascii="黑体" w:hAnsi="黑体" w:eastAsia="黑体"/>
          <w:sz w:val="32"/>
          <w:szCs w:val="32"/>
        </w:rPr>
        <w:t>——</w:t>
      </w:r>
      <w:r>
        <w:rPr>
          <w:rFonts w:hint="eastAsia" w:ascii="仿宋_GB2312" w:hAnsi="Times New Roman" w:eastAsia="仿宋_GB2312"/>
          <w:sz w:val="32"/>
          <w:szCs w:val="32"/>
        </w:rPr>
        <w:t>城市示范效应显著提升。作为</w:t>
      </w:r>
      <w:r>
        <w:rPr>
          <w:rFonts w:hint="eastAsia" w:ascii="仿宋_GB2312" w:hAnsi="宋体" w:eastAsia="仿宋_GB2312" w:cs="仿宋_GB2312"/>
          <w:kern w:val="0"/>
          <w:sz w:val="32"/>
          <w:szCs w:val="32"/>
        </w:rPr>
        <w:t>国家城乡融合发展试验区的重要承载区、黄河流域创新发展示范区等功能效应愈发显著和突出，城市核心竞争力和辐射带动力不断增强，引领济南都市圈一体化高质量发展，“东强主力军”的地位更加显著</w:t>
      </w:r>
      <w:r>
        <w:rPr>
          <w:rFonts w:hint="eastAsia" w:ascii="仿宋_GB2312" w:hAnsi="Times New Roman" w:eastAsia="仿宋_GB2312"/>
          <w:sz w:val="32"/>
          <w:szCs w:val="32"/>
        </w:rPr>
        <w:t>。</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市民化质量显著提高。户籍制度改革向纵深推进</w:t>
      </w:r>
      <w:r>
        <w:rPr>
          <w:rFonts w:ascii="仿宋_GB2312" w:hAnsi="Times New Roman" w:eastAsia="仿宋_GB2312"/>
          <w:sz w:val="32"/>
          <w:szCs w:val="32"/>
        </w:rPr>
        <w:t>，</w:t>
      </w:r>
      <w:r>
        <w:rPr>
          <w:rFonts w:hint="eastAsia" w:ascii="仿宋_GB2312" w:hAnsi="Times New Roman" w:eastAsia="仿宋_GB2312"/>
          <w:sz w:val="32"/>
          <w:szCs w:val="32"/>
        </w:rPr>
        <w:t>现代人口管理服务制度基本建立，农业转移人口全面融入城市的能力不断增强，基本公共服务均等化水平显著提高。</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空间布局持续优化。“东强主战场、中优增长极、南美新样板、北起协同区”的城市空间格局初步形成，城区承载能力不断提升，新东站、董家货运站等“四港三区”区域发展潜力和活力十足，华山、彩港、唐王等区域错位布局、协同发展，多组团竞合发展的区域新格局逐步形成。</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智慧城市建设走在全市前列。新型基础设施建设水平全市领先，智慧化治理水平不断提升，民生领域数字生活服务体系初步建立，建成四星级以上新型智慧城市。</w:t>
      </w:r>
    </w:p>
    <w:p>
      <w:pPr>
        <w:pageBreakBefore w:val="0"/>
        <w:widowControl/>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ascii="仿宋_GB2312" w:hAnsi="Times New Roman" w:eastAsia="仿宋_GB2312"/>
          <w:sz w:val="32"/>
          <w:szCs w:val="32"/>
        </w:rPr>
        <w:t>城镇化绿色转型成效明显。国土空间开发保护格局得到优化，</w:t>
      </w:r>
      <w:r>
        <w:rPr>
          <w:rFonts w:hint="eastAsia" w:ascii="仿宋_GB2312" w:hAnsi="Times New Roman" w:eastAsia="仿宋_GB2312"/>
          <w:sz w:val="32"/>
          <w:szCs w:val="32"/>
          <w:shd w:val="clear" w:color="auto" w:fill="FFFFFF"/>
        </w:rPr>
        <w:t>山水林田湖草协同治理取得重要进展，生态系统稳定性和可持续性进一步增强，生态文明制度体系不断完善，</w:t>
      </w:r>
      <w:r>
        <w:rPr>
          <w:rFonts w:ascii="仿宋_GB2312" w:hAnsi="Times New Roman" w:eastAsia="仿宋_GB2312"/>
          <w:sz w:val="32"/>
          <w:szCs w:val="32"/>
        </w:rPr>
        <w:t>黄河</w:t>
      </w:r>
      <w:r>
        <w:rPr>
          <w:rFonts w:hint="eastAsia" w:ascii="仿宋_GB2312" w:hAnsi="Times New Roman" w:eastAsia="仿宋_GB2312"/>
          <w:sz w:val="32"/>
          <w:szCs w:val="32"/>
        </w:rPr>
        <w:t>、小清河</w:t>
      </w:r>
      <w:r>
        <w:rPr>
          <w:rFonts w:ascii="仿宋_GB2312" w:hAnsi="Times New Roman" w:eastAsia="仿宋_GB2312"/>
          <w:sz w:val="32"/>
          <w:szCs w:val="32"/>
        </w:rPr>
        <w:t>等</w:t>
      </w:r>
      <w:r>
        <w:rPr>
          <w:rFonts w:hint="eastAsia" w:ascii="仿宋_GB2312" w:hAnsi="Times New Roman" w:eastAsia="仿宋_GB2312"/>
          <w:sz w:val="32"/>
          <w:szCs w:val="32"/>
          <w:shd w:val="clear" w:color="auto" w:fill="FFFFFF"/>
        </w:rPr>
        <w:t>重要生态屏障的作用逐步显现，生产生活方式绿色转型成效显著。</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城镇化均衡发展水平显著提升。依据常住人口规模配置公共资源的机制基本建立，率先实现城乡基础设施统一规划、统一建设、统一管护，基本公共服务设施布局更加优化。</w:t>
      </w:r>
    </w:p>
    <w:p>
      <w:pPr>
        <w:pageBreakBefore w:val="0"/>
        <w:kinsoku/>
        <w:wordWrap/>
        <w:topLinePunct w:val="0"/>
        <w:autoSpaceDE/>
        <w:autoSpaceDN/>
        <w:bidi w:val="0"/>
        <w:adjustRightInd w:val="0"/>
        <w:snapToGrid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城乡双向融合全面走深走实。</w:t>
      </w:r>
      <w:r>
        <w:rPr>
          <w:rFonts w:hint="eastAsia" w:ascii="仿宋_GB2312" w:hAnsi="仿宋" w:eastAsia="仿宋_GB2312" w:cs="Arial"/>
          <w:kern w:val="0"/>
          <w:sz w:val="32"/>
          <w:szCs w:val="32"/>
        </w:rPr>
        <w:t>实现城乡生产要素双向自由流动的制度性通道基本打通,城乡有序流动的人口迁徙制度基本建立,城乡普惠的金融服务体系基本建成,农村产权保护交易制度基本建立,农民持续增收体制机制更加完善,城乡发展差距和居民生活水平差距明显缩小，</w:t>
      </w:r>
      <w:r>
        <w:rPr>
          <w:rFonts w:hint="eastAsia" w:ascii="仿宋_GB2312" w:hAnsi="Times New Roman" w:eastAsia="仿宋_GB2312"/>
          <w:sz w:val="32"/>
          <w:szCs w:val="32"/>
        </w:rPr>
        <w:t>城乡</w:t>
      </w:r>
      <w:r>
        <w:rPr>
          <w:rFonts w:ascii="仿宋_GB2312" w:hAnsi="Times New Roman" w:eastAsia="仿宋_GB2312"/>
          <w:sz w:val="32"/>
          <w:szCs w:val="32"/>
        </w:rPr>
        <w:t>融合发展水平走</w:t>
      </w:r>
      <w:r>
        <w:rPr>
          <w:rFonts w:hint="eastAsia" w:ascii="仿宋_GB2312" w:hAnsi="Times New Roman" w:eastAsia="仿宋_GB2312"/>
          <w:sz w:val="32"/>
          <w:szCs w:val="32"/>
        </w:rPr>
        <w:t>在全市乃至全省</w:t>
      </w:r>
      <w:r>
        <w:rPr>
          <w:rFonts w:ascii="仿宋_GB2312" w:hAnsi="Times New Roman" w:eastAsia="仿宋_GB2312"/>
          <w:sz w:val="32"/>
          <w:szCs w:val="32"/>
        </w:rPr>
        <w:t>前列。</w:t>
      </w:r>
    </w:p>
    <w:p>
      <w:pPr>
        <w:pageBreakBefore w:val="0"/>
        <w:kinsoku/>
        <w:wordWrap/>
        <w:overflowPunct w:val="0"/>
        <w:topLinePunct w:val="0"/>
        <w:autoSpaceDE/>
        <w:autoSpaceDN/>
        <w:bidi w:val="0"/>
        <w:spacing w:line="580" w:lineRule="exact"/>
        <w:ind w:firstLine="640" w:firstLineChars="200"/>
      </w:pPr>
      <w:r>
        <w:rPr>
          <w:rFonts w:hint="eastAsia" w:ascii="楷体_GB2312" w:hAnsi="仿宋_GB2312" w:eastAsia="楷体_GB2312" w:cs="仿宋_GB2312"/>
          <w:sz w:val="32"/>
          <w:szCs w:val="32"/>
        </w:rPr>
        <w:t>（二）到2035年主要目标。</w:t>
      </w:r>
      <w:r>
        <w:rPr>
          <w:rFonts w:ascii="仿宋_GB2312" w:hAnsi="仿宋_GB2312" w:eastAsia="仿宋_GB2312" w:cs="仿宋_GB2312"/>
          <w:sz w:val="32"/>
          <w:szCs w:val="32"/>
        </w:rPr>
        <w:t>新型城镇化</w:t>
      </w:r>
      <w:r>
        <w:rPr>
          <w:rFonts w:hint="eastAsia" w:ascii="仿宋_GB2312" w:hAnsi="仿宋_GB2312" w:eastAsia="仿宋_GB2312" w:cs="仿宋_GB2312"/>
          <w:sz w:val="32"/>
          <w:szCs w:val="32"/>
        </w:rPr>
        <w:t>步入</w:t>
      </w:r>
      <w:r>
        <w:rPr>
          <w:rFonts w:ascii="仿宋_GB2312" w:hAnsi="仿宋_GB2312" w:eastAsia="仿宋_GB2312" w:cs="仿宋_GB2312"/>
          <w:sz w:val="32"/>
          <w:szCs w:val="32"/>
        </w:rPr>
        <w:t>成熟阶段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发展质效走在全</w:t>
      </w:r>
      <w:r>
        <w:rPr>
          <w:rFonts w:hint="eastAsia" w:ascii="仿宋_GB2312" w:hAnsi="仿宋_GB2312" w:eastAsia="仿宋_GB2312" w:cs="仿宋_GB2312"/>
          <w:sz w:val="32"/>
          <w:szCs w:val="32"/>
        </w:rPr>
        <w:t>市</w:t>
      </w:r>
      <w:r>
        <w:rPr>
          <w:rFonts w:ascii="仿宋_GB2312" w:hAnsi="仿宋_GB2312" w:eastAsia="仿宋_GB2312" w:cs="仿宋_GB2312"/>
          <w:sz w:val="32"/>
          <w:szCs w:val="32"/>
        </w:rPr>
        <w:t>前列</w:t>
      </w:r>
      <w:bookmarkStart w:id="74" w:name="_Hlk69392835"/>
      <w:r>
        <w:rPr>
          <w:rFonts w:ascii="仿宋_GB2312" w:hAnsi="仿宋_GB2312" w:eastAsia="仿宋_GB2312" w:cs="仿宋_GB2312"/>
          <w:sz w:val="32"/>
          <w:szCs w:val="32"/>
        </w:rPr>
        <w:t>。农业转移人口市民化基本实现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基本公共服务实现均等化，</w:t>
      </w:r>
      <w:r>
        <w:rPr>
          <w:rFonts w:hint="eastAsia" w:ascii="仿宋_GB2312" w:hAnsi="仿宋_GB2312" w:eastAsia="仿宋_GB2312" w:cs="仿宋_GB2312"/>
          <w:sz w:val="32"/>
          <w:szCs w:val="32"/>
        </w:rPr>
        <w:t>常住人口城镇化率达到</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左右，省会社会主义现代化强区基本建成。城市综合承载能力显著增强，</w:t>
      </w:r>
      <w:r>
        <w:rPr>
          <w:rFonts w:ascii="仿宋_GB2312" w:hAnsi="仿宋_GB2312" w:eastAsia="仿宋_GB2312" w:cs="仿宋_GB2312"/>
          <w:sz w:val="32"/>
          <w:szCs w:val="32"/>
        </w:rPr>
        <w:t>智慧化、绿色化、双向化</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均衡化发展模式成熟定型</w:t>
      </w:r>
      <w:r>
        <w:rPr>
          <w:rFonts w:hint="eastAsia" w:ascii="仿宋_GB2312" w:hAnsi="仿宋_GB2312" w:eastAsia="仿宋_GB2312" w:cs="仿宋_GB2312"/>
          <w:sz w:val="32"/>
          <w:szCs w:val="32"/>
        </w:rPr>
        <w:t>，治理体系和治理能力现代化基本实现。城乡发展差距显著缩小，</w:t>
      </w:r>
      <w:r>
        <w:rPr>
          <w:rFonts w:ascii="仿宋_GB2312" w:hAnsi="仿宋_GB2312" w:eastAsia="仿宋_GB2312" w:cs="仿宋_GB2312"/>
          <w:sz w:val="32"/>
          <w:szCs w:val="32"/>
        </w:rPr>
        <w:t>人的全面发展、全体人民共同富裕</w:t>
      </w:r>
      <w:r>
        <w:rPr>
          <w:rFonts w:hint="eastAsia" w:ascii="仿宋_GB2312" w:hAnsi="仿宋_GB2312" w:eastAsia="仿宋_GB2312" w:cs="仿宋_GB2312"/>
          <w:sz w:val="32"/>
          <w:szCs w:val="32"/>
        </w:rPr>
        <w:t>取得更为明显的实质性进展。</w:t>
      </w:r>
      <w:bookmarkStart w:id="75" w:name="_Toc6811"/>
      <w:bookmarkStart w:id="76" w:name="_Toc20966"/>
      <w:bookmarkStart w:id="77" w:name="_Hlk92961374"/>
    </w:p>
    <w:p>
      <w:pPr>
        <w:overflowPunct w:val="0"/>
        <w:spacing w:line="600" w:lineRule="exact"/>
        <w:ind w:firstLine="560" w:firstLineChars="200"/>
        <w:jc w:val="center"/>
        <w:rPr>
          <w:rFonts w:ascii="黑体" w:hAnsi="黑体" w:eastAsia="黑体" w:cs="仿宋_GB2312"/>
          <w:sz w:val="28"/>
          <w:szCs w:val="28"/>
        </w:rPr>
      </w:pPr>
    </w:p>
    <w:p>
      <w:pPr>
        <w:overflowPunct w:val="0"/>
        <w:spacing w:line="600" w:lineRule="exact"/>
        <w:ind w:firstLine="560" w:firstLineChars="200"/>
        <w:jc w:val="center"/>
        <w:rPr>
          <w:rFonts w:ascii="黑体" w:hAnsi="黑体" w:eastAsia="黑体" w:cs="仿宋_GB2312"/>
          <w:sz w:val="28"/>
          <w:szCs w:val="28"/>
        </w:rPr>
      </w:pPr>
      <w:r>
        <w:rPr>
          <w:rFonts w:ascii="黑体" w:hAnsi="黑体" w:eastAsia="黑体" w:cs="仿宋_GB2312"/>
          <w:sz w:val="28"/>
          <w:szCs w:val="28"/>
        </w:rPr>
        <w:t>专栏1  新型城镇化主要目标</w:t>
      </w:r>
    </w:p>
    <w:p>
      <w:pPr>
        <w:pStyle w:val="4"/>
      </w:pPr>
    </w:p>
    <w:tbl>
      <w:tblPr>
        <w:tblStyle w:val="13"/>
        <w:tblW w:w="478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7"/>
        <w:gridCol w:w="3240"/>
        <w:gridCol w:w="1074"/>
        <w:gridCol w:w="990"/>
        <w:gridCol w:w="990"/>
        <w:gridCol w:w="10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序号</w:t>
            </w:r>
          </w:p>
        </w:tc>
        <w:tc>
          <w:tcPr>
            <w:tcW w:w="2024"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指标名称</w:t>
            </w:r>
          </w:p>
        </w:tc>
        <w:tc>
          <w:tcPr>
            <w:tcW w:w="671"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单位</w:t>
            </w:r>
          </w:p>
        </w:tc>
        <w:tc>
          <w:tcPr>
            <w:tcW w:w="619"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2020年</w:t>
            </w:r>
          </w:p>
        </w:tc>
        <w:tc>
          <w:tcPr>
            <w:tcW w:w="619"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2025年</w:t>
            </w:r>
          </w:p>
        </w:tc>
        <w:tc>
          <w:tcPr>
            <w:tcW w:w="626"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2035年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楷体_GB2312" w:hAnsi="Times New Roman" w:eastAsia="楷体_GB2312"/>
                <w:kern w:val="0"/>
                <w:sz w:val="24"/>
                <w:szCs w:val="24"/>
              </w:rPr>
            </w:pPr>
            <w:r>
              <w:rPr>
                <w:rFonts w:hint="eastAsia" w:ascii="楷体_GB2312" w:hAnsi="Times New Roman" w:eastAsia="楷体_GB2312"/>
                <w:kern w:val="0"/>
                <w:sz w:val="24"/>
                <w:szCs w:val="24"/>
              </w:rPr>
              <w:t>一、智慧城镇化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建成5G基站数量</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万个</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0.5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城市5G覆盖率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家庭光纤入户覆盖率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&gt;90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4</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智慧校园建设覆盖率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97</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智慧医院覆盖率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w:t>
            </w:r>
          </w:p>
        </w:tc>
        <w:tc>
          <w:tcPr>
            <w:tcW w:w="2024" w:type="pct"/>
            <w:vAlign w:val="center"/>
          </w:tcPr>
          <w:p>
            <w:pPr>
              <w:keepLines/>
              <w:adjustRightInd w:val="0"/>
              <w:snapToGrid w:val="0"/>
              <w:spacing w:line="360" w:lineRule="exact"/>
              <w:jc w:val="left"/>
              <w:rPr>
                <w:rFonts w:ascii="仿宋_GB2312" w:hAnsi="Times New Roman" w:eastAsia="仿宋_GB2312"/>
                <w:bCs/>
                <w:spacing w:val="-24"/>
                <w:kern w:val="11"/>
                <w:sz w:val="24"/>
                <w:szCs w:val="24"/>
              </w:rPr>
            </w:pPr>
            <w:r>
              <w:rPr>
                <w:rFonts w:hint="eastAsia" w:ascii="仿宋_GB2312" w:hAnsi="Times New Roman" w:eastAsia="仿宋_GB2312"/>
                <w:bCs/>
                <w:spacing w:val="-24"/>
                <w:kern w:val="11"/>
                <w:sz w:val="24"/>
                <w:szCs w:val="24"/>
              </w:rPr>
              <w:t>重点公共区域高清以上视频监控覆盖率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政务服务电子证照使用率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&gt;80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adjustRightInd w:val="0"/>
              <w:snapToGrid w:val="0"/>
              <w:spacing w:line="360" w:lineRule="exact"/>
              <w:rPr>
                <w:rFonts w:ascii="仿宋_GB2312" w:hAnsi="Times New Roman" w:eastAsia="仿宋_GB2312"/>
                <w:bCs/>
                <w:sz w:val="24"/>
                <w:szCs w:val="24"/>
              </w:rPr>
            </w:pPr>
            <w:r>
              <w:rPr>
                <w:rFonts w:hint="eastAsia" w:ascii="楷体_GB2312" w:hAnsi="Times New Roman" w:eastAsia="楷体_GB2312"/>
                <w:kern w:val="0"/>
                <w:sz w:val="24"/>
                <w:szCs w:val="24"/>
              </w:rPr>
              <w:t>二、绿色城镇化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环境空气质量优良天数比例</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53.6</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60.3</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森林覆盖率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23.16*</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人均公园绿地面积</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平方米</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12.7</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11</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城市再生水利用率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35</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12</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城乡生活垃圾回收利用率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&gt;35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仿宋_GB2312" w:hAnsi="Times New Roman" w:eastAsia="仿宋_GB2312"/>
                <w:bCs/>
                <w:sz w:val="24"/>
                <w:szCs w:val="24"/>
              </w:rPr>
            </w:pPr>
            <w:r>
              <w:rPr>
                <w:rFonts w:ascii="楷体_GB2312" w:hAnsi="Times New Roman" w:eastAsia="楷体_GB2312"/>
                <w:kern w:val="0"/>
                <w:sz w:val="24"/>
                <w:szCs w:val="24"/>
              </w:rPr>
              <w:t>三</w:t>
            </w:r>
            <w:r>
              <w:rPr>
                <w:rFonts w:hint="eastAsia" w:ascii="楷体_GB2312" w:hAnsi="Times New Roman" w:eastAsia="楷体_GB2312"/>
                <w:kern w:val="0"/>
                <w:sz w:val="24"/>
                <w:szCs w:val="24"/>
              </w:rPr>
              <w:t>、</w:t>
            </w:r>
            <w:r>
              <w:rPr>
                <w:rFonts w:ascii="楷体_GB2312" w:hAnsi="Times New Roman" w:eastAsia="楷体_GB2312"/>
                <w:kern w:val="0"/>
                <w:sz w:val="24"/>
                <w:szCs w:val="24"/>
              </w:rPr>
              <w:t>均衡城镇化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13</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城乡居民收入比</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2.24</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14</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职业技能培训人次</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万人次</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15</w:t>
            </w:r>
          </w:p>
        </w:tc>
        <w:tc>
          <w:tcPr>
            <w:tcW w:w="2024" w:type="pct"/>
            <w:vAlign w:val="center"/>
          </w:tcPr>
          <w:p>
            <w:pPr>
              <w:keepLines/>
              <w:adjustRightInd w:val="0"/>
              <w:snapToGrid w:val="0"/>
              <w:spacing w:line="360" w:lineRule="exact"/>
              <w:jc w:val="left"/>
              <w:rPr>
                <w:rFonts w:ascii="仿宋_GB2312" w:hAnsi="Times New Roman" w:eastAsia="仿宋_GB2312"/>
                <w:bCs/>
                <w:spacing w:val="-16"/>
                <w:sz w:val="24"/>
                <w:szCs w:val="24"/>
              </w:rPr>
            </w:pPr>
            <w:r>
              <w:rPr>
                <w:rFonts w:hint="eastAsia" w:ascii="仿宋_GB2312" w:hAnsi="Times New Roman" w:eastAsia="仿宋_GB2312"/>
                <w:bCs/>
                <w:spacing w:val="-16"/>
                <w:sz w:val="24"/>
                <w:szCs w:val="24"/>
              </w:rPr>
              <w:t>新建社区养老服务设施配建达标率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16</w:t>
            </w:r>
          </w:p>
        </w:tc>
        <w:tc>
          <w:tcPr>
            <w:tcW w:w="2024" w:type="pct"/>
            <w:vAlign w:val="center"/>
          </w:tcPr>
          <w:p>
            <w:pPr>
              <w:keepLines/>
              <w:adjustRightInd w:val="0"/>
              <w:snapToGrid w:val="0"/>
              <w:spacing w:line="360" w:lineRule="exact"/>
              <w:jc w:val="left"/>
              <w:rPr>
                <w:rFonts w:ascii="仿宋_GB2312" w:hAnsi="Times New Roman" w:eastAsia="仿宋_GB2312"/>
                <w:bCs/>
                <w:spacing w:val="-14"/>
                <w:kern w:val="11"/>
                <w:sz w:val="24"/>
                <w:szCs w:val="24"/>
              </w:rPr>
            </w:pPr>
            <w:r>
              <w:rPr>
                <w:rFonts w:hint="eastAsia" w:ascii="仿宋_GB2312" w:hAnsi="Times New Roman" w:eastAsia="仿宋_GB2312"/>
                <w:bCs/>
                <w:spacing w:val="-14"/>
                <w:kern w:val="11"/>
                <w:sz w:val="24"/>
                <w:szCs w:val="24"/>
              </w:rPr>
              <w:t>每千人口拥有3岁以下婴幼儿托位</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个</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17</w:t>
            </w:r>
          </w:p>
        </w:tc>
        <w:tc>
          <w:tcPr>
            <w:tcW w:w="2024" w:type="pct"/>
            <w:vAlign w:val="center"/>
          </w:tcPr>
          <w:p>
            <w:pPr>
              <w:keepLines/>
              <w:adjustRightInd w:val="0"/>
              <w:snapToGrid w:val="0"/>
              <w:spacing w:line="360" w:lineRule="exact"/>
              <w:jc w:val="left"/>
              <w:rPr>
                <w:rFonts w:ascii="仿宋_GB2312" w:hAnsi="Times New Roman" w:eastAsia="仿宋_GB2312"/>
                <w:bCs/>
                <w:spacing w:val="-14"/>
                <w:kern w:val="11"/>
                <w:sz w:val="24"/>
                <w:szCs w:val="24"/>
              </w:rPr>
            </w:pPr>
            <w:r>
              <w:rPr>
                <w:rFonts w:hint="eastAsia" w:ascii="仿宋_GB2312" w:hAnsi="Times New Roman" w:eastAsia="仿宋_GB2312"/>
                <w:bCs/>
                <w:spacing w:val="-14"/>
                <w:kern w:val="11"/>
                <w:sz w:val="24"/>
                <w:szCs w:val="24"/>
              </w:rPr>
              <w:t>每千人口拥有执业（助理）医师</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人</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3.8</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4.5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楷体_GB2312" w:hAnsi="Times New Roman" w:eastAsia="楷体_GB2312"/>
                <w:kern w:val="0"/>
                <w:sz w:val="24"/>
                <w:szCs w:val="24"/>
              </w:rPr>
            </w:pPr>
            <w:r>
              <w:rPr>
                <w:rFonts w:hint="eastAsia" w:ascii="楷体_GB2312" w:hAnsi="Times New Roman" w:eastAsia="楷体_GB2312"/>
                <w:kern w:val="0"/>
                <w:sz w:val="24"/>
                <w:szCs w:val="24"/>
              </w:rPr>
              <w:t>四、双向城镇化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18</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年末常住人口</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万人</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111.2</w:t>
            </w:r>
          </w:p>
        </w:tc>
        <w:tc>
          <w:tcPr>
            <w:tcW w:w="619" w:type="pct"/>
            <w:vAlign w:val="center"/>
          </w:tcPr>
          <w:p>
            <w:pPr>
              <w:keepLines/>
              <w:adjustRightInd w:val="0"/>
              <w:snapToGrid w:val="0"/>
              <w:spacing w:line="360" w:lineRule="exact"/>
              <w:jc w:val="center"/>
              <w:rPr>
                <w:rFonts w:ascii="仿宋_GB2312" w:hAnsi="Times New Roman" w:eastAsia="仿宋_GB2312"/>
                <w:bCs/>
                <w:kern w:val="0"/>
                <w:sz w:val="24"/>
                <w:szCs w:val="24"/>
              </w:rPr>
            </w:pPr>
            <w:r>
              <w:rPr>
                <w:rFonts w:hint="eastAsia" w:ascii="仿宋_GB2312" w:hAnsi="Times New Roman" w:eastAsia="仿宋_GB2312"/>
                <w:bCs/>
                <w:sz w:val="24"/>
                <w:szCs w:val="24"/>
                <w:shd w:val="clear" w:color="auto" w:fill="FFFFFF"/>
              </w:rPr>
              <w:t>120</w:t>
            </w:r>
          </w:p>
        </w:tc>
        <w:tc>
          <w:tcPr>
            <w:tcW w:w="626" w:type="pct"/>
            <w:vAlign w:val="center"/>
          </w:tcPr>
          <w:p>
            <w:pPr>
              <w:keepLines/>
              <w:adjustRightInd w:val="0"/>
              <w:snapToGrid w:val="0"/>
              <w:spacing w:line="360" w:lineRule="exact"/>
              <w:jc w:val="center"/>
              <w:rPr>
                <w:rFonts w:ascii="仿宋_GB2312" w:hAnsi="Times New Roman" w:eastAsia="仿宋_GB2312"/>
                <w:bCs/>
                <w:kern w:val="0"/>
                <w:sz w:val="24"/>
                <w:szCs w:val="24"/>
              </w:rPr>
            </w:pPr>
            <w:r>
              <w:rPr>
                <w:rFonts w:hint="eastAsia" w:ascii="仿宋_GB2312" w:hAnsi="Times New Roman" w:eastAsia="仿宋_GB2312"/>
                <w:bCs/>
                <w:sz w:val="24"/>
                <w:szCs w:val="24"/>
                <w:shd w:val="clear" w:color="auto" w:fill="FFFFFF"/>
              </w:rPr>
              <w:t>135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19</w:t>
            </w:r>
          </w:p>
        </w:tc>
        <w:tc>
          <w:tcPr>
            <w:tcW w:w="2024" w:type="pct"/>
            <w:vAlign w:val="center"/>
          </w:tcPr>
          <w:p>
            <w:pPr>
              <w:keepLines/>
              <w:adjustRightInd w:val="0"/>
              <w:snapToGrid w:val="0"/>
              <w:spacing w:line="360" w:lineRule="exact"/>
              <w:jc w:val="left"/>
              <w:rPr>
                <w:rFonts w:ascii="仿宋_GB2312" w:hAnsi="Times New Roman" w:eastAsia="仿宋_GB2312"/>
                <w:bCs/>
                <w:kern w:val="0"/>
                <w:sz w:val="24"/>
                <w:szCs w:val="24"/>
              </w:rPr>
            </w:pPr>
            <w:r>
              <w:rPr>
                <w:rFonts w:hint="eastAsia" w:ascii="仿宋_GB2312" w:hAnsi="Times New Roman" w:eastAsia="仿宋_GB2312"/>
                <w:bCs/>
                <w:sz w:val="24"/>
                <w:szCs w:val="24"/>
              </w:rPr>
              <w:t>常住人口城镇化率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87.2</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&gt;90</w:t>
            </w:r>
          </w:p>
        </w:tc>
        <w:tc>
          <w:tcPr>
            <w:tcW w:w="626"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20</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ascii="仿宋_GB2312" w:hAnsi="Times New Roman" w:eastAsia="仿宋_GB2312"/>
                <w:bCs/>
                <w:sz w:val="24"/>
                <w:szCs w:val="24"/>
              </w:rPr>
              <w:t>户籍人口城镇化率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73.8</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78</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21</w:t>
            </w:r>
          </w:p>
        </w:tc>
        <w:tc>
          <w:tcPr>
            <w:tcW w:w="2024" w:type="pct"/>
            <w:vAlign w:val="center"/>
          </w:tcPr>
          <w:p>
            <w:pPr>
              <w:keepLines/>
              <w:adjustRightInd w:val="0"/>
              <w:snapToGrid w:val="0"/>
              <w:spacing w:line="360" w:lineRule="exact"/>
              <w:jc w:val="left"/>
              <w:rPr>
                <w:rFonts w:ascii="仿宋_GB2312" w:hAnsi="Times New Roman" w:eastAsia="仿宋_GB2312"/>
                <w:bCs/>
                <w:spacing w:val="-20"/>
                <w:kern w:val="11"/>
                <w:sz w:val="24"/>
                <w:szCs w:val="24"/>
              </w:rPr>
            </w:pPr>
            <w:r>
              <w:rPr>
                <w:rFonts w:hint="eastAsia" w:ascii="仿宋_GB2312" w:hAnsi="Times New Roman" w:eastAsia="仿宋_GB2312"/>
                <w:bCs/>
                <w:spacing w:val="-20"/>
                <w:kern w:val="11"/>
                <w:sz w:val="24"/>
                <w:szCs w:val="24"/>
              </w:rPr>
              <w:t>集体经济收入10万元以上行政村占比</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22</w:t>
            </w:r>
          </w:p>
        </w:tc>
        <w:tc>
          <w:tcPr>
            <w:tcW w:w="2024" w:type="pct"/>
            <w:vAlign w:val="center"/>
          </w:tcPr>
          <w:p>
            <w:pPr>
              <w:keepLines/>
              <w:adjustRightInd w:val="0"/>
              <w:snapToGrid w:val="0"/>
              <w:spacing w:line="360" w:lineRule="exact"/>
              <w:jc w:val="left"/>
              <w:rPr>
                <w:rFonts w:ascii="仿宋_GB2312" w:hAnsi="Times New Roman" w:eastAsia="仿宋_GB2312"/>
                <w:bCs/>
                <w:spacing w:val="-24"/>
                <w:kern w:val="11"/>
                <w:sz w:val="24"/>
                <w:szCs w:val="24"/>
              </w:rPr>
            </w:pPr>
            <w:r>
              <w:rPr>
                <w:rFonts w:hint="eastAsia" w:ascii="仿宋_GB2312" w:hAnsi="Times New Roman" w:eastAsia="仿宋_GB2312"/>
                <w:bCs/>
                <w:spacing w:val="-24"/>
                <w:kern w:val="11"/>
                <w:sz w:val="24"/>
                <w:szCs w:val="24"/>
              </w:rPr>
              <w:t>具备条件行政村农村物流服务覆盖率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bookmarkEnd w:id="74"/>
      <w:bookmarkEnd w:id="75"/>
      <w:bookmarkEnd w:id="76"/>
      <w:bookmarkEnd w:id="77"/>
    </w:tbl>
    <w:p>
      <w:pPr>
        <w:rPr>
          <w:rFonts w:ascii="仿宋_GB2312" w:hAnsi="仿宋_GB2312" w:eastAsia="仿宋_GB2312" w:cs="仿宋_GB2312"/>
          <w:sz w:val="24"/>
          <w:szCs w:val="24"/>
        </w:rPr>
      </w:pPr>
      <w:bookmarkStart w:id="78" w:name="_Toc13959"/>
      <w:bookmarkStart w:id="79" w:name="_Toc9054"/>
      <w:bookmarkStart w:id="80" w:name="_Toc14938"/>
      <w:bookmarkStart w:id="81" w:name="_Toc17221"/>
      <w:bookmarkStart w:id="82" w:name="_Toc25579"/>
      <w:bookmarkStart w:id="83" w:name="_Toc8122"/>
      <w:bookmarkStart w:id="84" w:name="_Toc193758883"/>
      <w:r>
        <w:rPr>
          <w:rFonts w:hint="eastAsia" w:ascii="仿宋_GB2312" w:hAnsi="仿宋_GB2312" w:eastAsia="仿宋_GB2312" w:cs="仿宋_GB2312"/>
          <w:sz w:val="24"/>
          <w:szCs w:val="24"/>
        </w:rPr>
        <w:t>注：</w:t>
      </w:r>
      <w:r>
        <w:rPr>
          <w:rFonts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eq \o\ac(○,</w:instrText>
      </w:r>
      <w:r>
        <w:rPr>
          <w:rFonts w:hint="eastAsia" w:ascii="仿宋_GB2312" w:hAnsi="仿宋_GB2312" w:eastAsia="仿宋_GB2312" w:cs="仿宋_GB2312"/>
          <w:position w:val="3"/>
          <w:sz w:val="16"/>
          <w:szCs w:val="24"/>
        </w:rPr>
        <w:instrText xml:space="preserve">1</w:instrText>
      </w:r>
      <w:r>
        <w:rPr>
          <w:rFonts w:hint="eastAsia" w:ascii="仿宋_GB2312" w:hAnsi="仿宋_GB2312" w:eastAsia="仿宋_GB2312" w:cs="仿宋_GB2312"/>
          <w:sz w:val="24"/>
          <w:szCs w:val="24"/>
        </w:rPr>
        <w:instrText xml:space="preserve">)</w:instrTex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加“[ ]”指标为五年累计数。</w:t>
      </w:r>
      <w:r>
        <w:rPr>
          <w:rFonts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eq \o\ac(○,</w:instrText>
      </w:r>
      <w:r>
        <w:rPr>
          <w:rFonts w:hint="eastAsia" w:ascii="仿宋_GB2312" w:hAnsi="仿宋_GB2312" w:eastAsia="仿宋_GB2312" w:cs="仿宋_GB2312"/>
          <w:position w:val="3"/>
          <w:sz w:val="16"/>
          <w:szCs w:val="24"/>
        </w:rPr>
        <w:instrText xml:space="preserve">2</w:instrText>
      </w:r>
      <w:r>
        <w:rPr>
          <w:rFonts w:hint="eastAsia" w:ascii="仿宋_GB2312" w:hAnsi="仿宋_GB2312" w:eastAsia="仿宋_GB2312" w:cs="仿宋_GB2312"/>
          <w:sz w:val="24"/>
          <w:szCs w:val="24"/>
        </w:rPr>
        <w:instrText xml:space="preserve">)</w:instrTex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带*的指标，待2020年森林资源调查成果和</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第三次国土资源调查成果公布后，科学制定目标值，按程序报批后执行。</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85" w:name="_Toc123911393"/>
      <w:r>
        <w:rPr>
          <w:rFonts w:hint="eastAsia" w:ascii="方正小标宋简体" w:eastAsia="方正小标宋简体"/>
          <w:b w:val="0"/>
          <w:sz w:val="36"/>
          <w:szCs w:val="36"/>
        </w:rPr>
        <w:t>第二章 加快优化城镇化布局</w:t>
      </w:r>
      <w:bookmarkEnd w:id="78"/>
      <w:bookmarkEnd w:id="79"/>
      <w:bookmarkEnd w:id="80"/>
      <w:bookmarkEnd w:id="81"/>
      <w:bookmarkEnd w:id="82"/>
      <w:bookmarkEnd w:id="83"/>
      <w:bookmarkEnd w:id="84"/>
      <w:r>
        <w:rPr>
          <w:rFonts w:hint="eastAsia" w:ascii="方正小标宋简体" w:eastAsia="方正小标宋简体"/>
          <w:b w:val="0"/>
          <w:sz w:val="36"/>
          <w:szCs w:val="36"/>
        </w:rPr>
        <w:t xml:space="preserve"> 健全完善现代城乡体系</w:t>
      </w:r>
      <w:bookmarkEnd w:id="85"/>
    </w:p>
    <w:p>
      <w:pPr>
        <w:pageBreakBefore w:val="0"/>
        <w:kinsoku/>
        <w:wordWrap/>
        <w:topLinePunct w:val="0"/>
        <w:bidi w:val="0"/>
        <w:spacing w:line="580" w:lineRule="exact"/>
        <w:ind w:firstLine="640" w:firstLineChars="200"/>
        <w:textAlignment w:val="auto"/>
        <w:rPr>
          <w:rFonts w:ascii="仿宋_GB2312" w:hAnsi="Times New Roman" w:eastAsia="仿宋_GB2312"/>
          <w:sz w:val="32"/>
          <w:szCs w:val="32"/>
        </w:rPr>
      </w:pPr>
      <w:r>
        <w:rPr>
          <w:rFonts w:hint="eastAsia" w:ascii="仿宋_GB2312" w:hAnsi="Times New Roman" w:eastAsia="仿宋_GB2312"/>
          <w:sz w:val="32"/>
          <w:szCs w:val="32"/>
        </w:rPr>
        <w:t>优化城乡空间总体功能布局，着力完善老城区、新城区城市功能，提升承载能力，促进城市结构优化、功能完善、品质提升，推动乡村适度集聚、生产便捷、生活舒适，构建完善的现代化城乡体系。</w:t>
      </w:r>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86" w:name="_Toc95296094"/>
      <w:bookmarkStart w:id="87" w:name="_Toc90649731"/>
      <w:bookmarkStart w:id="88" w:name="_Toc90813722"/>
      <w:bookmarkStart w:id="89" w:name="_Toc11727"/>
      <w:bookmarkStart w:id="90" w:name="_Toc123911394"/>
      <w:bookmarkStart w:id="91" w:name="_Toc20956"/>
      <w:bookmarkStart w:id="92" w:name="_Toc26244"/>
      <w:bookmarkStart w:id="93" w:name="_Toc21107"/>
      <w:bookmarkStart w:id="94" w:name="_Toc15163"/>
      <w:bookmarkStart w:id="95" w:name="_Toc4180"/>
      <w:bookmarkStart w:id="96" w:name="_Toc1064888213"/>
      <w:r>
        <w:rPr>
          <w:rFonts w:hint="eastAsia" w:ascii="黑体" w:hAnsi="黑体" w:eastAsia="黑体" w:cs="Times New Roman"/>
          <w:bCs/>
          <w:sz w:val="32"/>
          <w:szCs w:val="32"/>
        </w:rPr>
        <w:t>一、</w:t>
      </w:r>
      <w:bookmarkEnd w:id="86"/>
      <w:bookmarkEnd w:id="87"/>
      <w:bookmarkEnd w:id="88"/>
      <w:r>
        <w:rPr>
          <w:rFonts w:hint="eastAsia" w:ascii="黑体" w:hAnsi="黑体" w:eastAsia="黑体" w:cs="Times New Roman"/>
          <w:bCs/>
          <w:sz w:val="32"/>
          <w:szCs w:val="32"/>
        </w:rPr>
        <w:t>践行国家与省市战略</w:t>
      </w:r>
      <w:bookmarkEnd w:id="89"/>
      <w:bookmarkEnd w:id="90"/>
      <w:bookmarkEnd w:id="91"/>
      <w:bookmarkEnd w:id="92"/>
    </w:p>
    <w:bookmarkEnd w:id="93"/>
    <w:bookmarkEnd w:id="94"/>
    <w:bookmarkEnd w:id="95"/>
    <w:bookmarkEnd w:id="96"/>
    <w:p>
      <w:pPr>
        <w:pageBreakBefore w:val="0"/>
        <w:kinsoku/>
        <w:wordWrap/>
        <w:topLinePunct w:val="0"/>
        <w:autoSpaceDE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（一）落实黄河战略和强省会战略，建设标杆表率。</w:t>
      </w:r>
      <w:r>
        <w:rPr>
          <w:rFonts w:hint="eastAsia" w:ascii="仿宋_GB2312" w:hAnsi="仿宋_GB2312" w:eastAsia="仿宋_GB2312" w:cs="仿宋_GB2312"/>
          <w:sz w:val="32"/>
          <w:szCs w:val="32"/>
        </w:rPr>
        <w:t>深入贯彻落实黄河流域生态保护和高质量发展重大国家战略，发挥沿黄区域中心城区作用，</w:t>
      </w:r>
      <w:r>
        <w:rPr>
          <w:rFonts w:hint="eastAsia" w:ascii="仿宋_GB2312" w:eastAsia="仿宋_GB2312"/>
          <w:sz w:val="32"/>
          <w:szCs w:val="32"/>
        </w:rPr>
        <w:t>准确把握“重在保护、要在治理”的战略要求，统筹</w:t>
      </w:r>
      <w:r>
        <w:rPr>
          <w:rFonts w:hint="eastAsia" w:ascii="仿宋_GB2312" w:hAnsi="仿宋_GB2312" w:eastAsia="仿宋_GB2312" w:cs="仿宋_GB2312"/>
          <w:sz w:val="32"/>
          <w:szCs w:val="32"/>
        </w:rPr>
        <w:t>做好生态保护修复、环境综合治理、水资源节约集约利用，保障黄河安澜、长治久安，保护传承弘扬黄河文化，全力创建黄河流域生态保护示范标杆，打造黄河流域高质量发展区域增长极。立足新发展阶段，抢抓强省会战略实施重大机遇，坚定贯彻新发展理念，主动融入新发展格局，</w:t>
      </w:r>
      <w:r>
        <w:rPr>
          <w:rFonts w:ascii="仿宋_GB2312" w:hAnsi="仿宋_GB2312" w:eastAsia="仿宋_GB2312" w:cs="仿宋_GB2312"/>
          <w:sz w:val="32"/>
          <w:szCs w:val="32"/>
        </w:rPr>
        <w:t>挑起强省会建设的“主大梁”</w:t>
      </w:r>
      <w:r>
        <w:rPr>
          <w:rFonts w:hint="eastAsia" w:ascii="仿宋_GB2312" w:hAnsi="仿宋_GB2312" w:eastAsia="仿宋_GB2312" w:cs="仿宋_GB2312"/>
          <w:sz w:val="32"/>
          <w:szCs w:val="32"/>
        </w:rPr>
        <w:t>，为济南建设新时代社会主义现代化强省会作出标杆表率。</w:t>
      </w:r>
    </w:p>
    <w:p>
      <w:pPr>
        <w:pageBreakBefore w:val="0"/>
        <w:kinsoku/>
        <w:wordWrap/>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（二）积极融入济南都市圈，助力济南建设国家中心城市。</w:t>
      </w:r>
      <w:r>
        <w:rPr>
          <w:rFonts w:hint="eastAsia" w:ascii="仿宋_GB2312" w:hAnsi="宋体" w:eastAsia="仿宋_GB2312" w:cs="仿宋_GB2312"/>
          <w:kern w:val="0"/>
          <w:sz w:val="32"/>
          <w:szCs w:val="32"/>
        </w:rPr>
        <w:t>作为华北连接华东、沿海通达内地的重要陆空交通枢纽，未来将进一步发挥紧邻遥墙国际机场，高速公路、国省道纵横交错的区位优势，推动济南都市圈枢纽地位提升；不断加快经济高质量发展步伐，紧扣新旧动能转换战略部署，推进产业升级改造，筑牢实体经济基础，助力济南都市圈经济发展动力更加强劲；充分发挥科教资源密集优势，提升济南都市圈科技创新实力；不断挖掘历城历史文化底蕴，整合区内文化旅游资源，更好助力济南都市圈打造文明交流互鉴高地。紧抓区域深入合作推进大趋势，积极参与、广泛协作，扩展和延伸市场辐射空间，真正实现在竞争中壮大、在合作中发展，助力</w:t>
      </w:r>
      <w:r>
        <w:rPr>
          <w:rFonts w:ascii="仿宋_GB2312" w:hAnsi="宋体" w:eastAsia="仿宋_GB2312" w:cs="仿宋_GB2312"/>
          <w:kern w:val="0"/>
          <w:sz w:val="32"/>
          <w:szCs w:val="32"/>
        </w:rPr>
        <w:t>济南建设成为国家中心城市，以中心城市引领都市圈、以都市圈带动</w:t>
      </w:r>
      <w:r>
        <w:rPr>
          <w:rFonts w:hint="eastAsia" w:ascii="仿宋_GB2312" w:hAnsi="宋体" w:eastAsia="仿宋_GB2312" w:cs="仿宋_GB2312"/>
          <w:kern w:val="0"/>
          <w:sz w:val="32"/>
          <w:szCs w:val="32"/>
        </w:rPr>
        <w:t>城市群</w:t>
      </w:r>
      <w:r>
        <w:rPr>
          <w:rFonts w:ascii="仿宋_GB2312" w:hAnsi="宋体" w:eastAsia="仿宋_GB2312" w:cs="仿宋_GB2312"/>
          <w:kern w:val="0"/>
          <w:sz w:val="32"/>
          <w:szCs w:val="32"/>
        </w:rPr>
        <w:t>发展，加快同城化进程。</w:t>
      </w:r>
    </w:p>
    <w:p>
      <w:pPr>
        <w:pageBreakBefore w:val="0"/>
        <w:kinsoku/>
        <w:wordWrap/>
        <w:topLinePunct w:val="0"/>
        <w:autoSpaceDE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（三）对标全市城市发展新格局，擘画省会社会主义现代化强区新蓝图。</w:t>
      </w:r>
      <w:r>
        <w:rPr>
          <w:rFonts w:hint="eastAsia" w:ascii="仿宋_GB2312" w:hAnsi="仿宋_GB2312" w:eastAsia="仿宋_GB2312" w:cs="仿宋_GB2312"/>
          <w:sz w:val="32"/>
          <w:szCs w:val="32"/>
        </w:rPr>
        <w:t>深入贯彻“加速东强、示范南美、融入北起、突破中优”的发展思路，立足现实，认真谋划，着力打造科创智造城、生态保护区、拥河示范带、城市会客厅，推动全域协同发展，做好与周边城市功能区的沟通交流。</w:t>
      </w:r>
      <w:bookmarkStart w:id="97" w:name="_Hlk106138048"/>
      <w:r>
        <w:rPr>
          <w:rFonts w:hint="eastAsia" w:ascii="仿宋_GB2312" w:hAnsi="宋体" w:eastAsia="仿宋_GB2312" w:cs="仿宋_GB2312"/>
          <w:kern w:val="0"/>
          <w:sz w:val="32"/>
          <w:szCs w:val="32"/>
        </w:rPr>
        <w:t>加速“东强”实力崛起，依托区位优势、产业基础和资源禀赋，抢占科技创新领域和智能制造产业发展制高点，建设全市东部发展核心增长极</w:t>
      </w:r>
      <w:bookmarkEnd w:id="97"/>
      <w:bookmarkStart w:id="98" w:name="_Hlk106138069"/>
      <w:r>
        <w:rPr>
          <w:rFonts w:hint="eastAsia" w:ascii="仿宋_GB2312" w:hAnsi="宋体" w:eastAsia="仿宋_GB2312" w:cs="仿宋_GB2312"/>
          <w:kern w:val="0"/>
          <w:sz w:val="32"/>
          <w:szCs w:val="32"/>
        </w:rPr>
        <w:t>；对标“南美”生态农业，坚持“三生融合”理念，创建美丽生态示范保护区，打造乡村振兴齐鲁样板的历城品牌</w:t>
      </w:r>
      <w:bookmarkEnd w:id="98"/>
      <w:r>
        <w:rPr>
          <w:rFonts w:hint="eastAsia" w:ascii="仿宋_GB2312" w:hAnsi="宋体" w:eastAsia="仿宋_GB2312" w:cs="仿宋_GB2312"/>
          <w:kern w:val="0"/>
          <w:sz w:val="32"/>
          <w:szCs w:val="32"/>
        </w:rPr>
        <w:t>；融入“北起”拥河发展，建设“产城河”一体化示范带；突破“中优”城市优化，打造高品质城市会客厅。</w:t>
      </w:r>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99" w:name="_Toc28056"/>
      <w:bookmarkStart w:id="100" w:name="_Toc20203"/>
      <w:bookmarkStart w:id="101" w:name="_Toc28303"/>
      <w:bookmarkStart w:id="102" w:name="_Toc289963679"/>
      <w:bookmarkStart w:id="103" w:name="_Toc14973"/>
      <w:bookmarkStart w:id="104" w:name="_Toc8128"/>
      <w:bookmarkStart w:id="105" w:name="_Toc123911395"/>
      <w:bookmarkStart w:id="106" w:name="_Toc11356"/>
      <w:bookmarkStart w:id="107" w:name="_Toc93409721"/>
      <w:bookmarkStart w:id="108" w:name="_Toc95296096"/>
      <w:r>
        <w:rPr>
          <w:rFonts w:hint="eastAsia" w:ascii="黑体" w:hAnsi="黑体" w:eastAsia="黑体" w:cs="Times New Roman"/>
          <w:bCs/>
          <w:sz w:val="32"/>
          <w:szCs w:val="32"/>
        </w:rPr>
        <w:t>二、</w:t>
      </w:r>
      <w:bookmarkEnd w:id="99"/>
      <w:bookmarkEnd w:id="100"/>
      <w:bookmarkEnd w:id="101"/>
      <w:bookmarkEnd w:id="102"/>
      <w:r>
        <w:rPr>
          <w:rFonts w:hint="eastAsia" w:ascii="黑体" w:hAnsi="黑体" w:eastAsia="黑体" w:cs="Times New Roman"/>
          <w:bCs/>
          <w:sz w:val="32"/>
          <w:szCs w:val="32"/>
        </w:rPr>
        <w:t>有序推进</w:t>
      </w:r>
      <w:r>
        <w:rPr>
          <w:rFonts w:ascii="黑体" w:hAnsi="黑体" w:eastAsia="黑体" w:cs="Times New Roman"/>
          <w:bCs/>
          <w:sz w:val="32"/>
          <w:szCs w:val="32"/>
        </w:rPr>
        <w:t>老城</w:t>
      </w:r>
      <w:r>
        <w:rPr>
          <w:rFonts w:hint="eastAsia" w:ascii="黑体" w:hAnsi="黑体" w:eastAsia="黑体" w:cs="Times New Roman"/>
          <w:bCs/>
          <w:sz w:val="32"/>
          <w:szCs w:val="32"/>
        </w:rPr>
        <w:t>有机更新</w:t>
      </w:r>
      <w:bookmarkEnd w:id="103"/>
      <w:bookmarkEnd w:id="104"/>
      <w:bookmarkEnd w:id="105"/>
      <w:bookmarkEnd w:id="106"/>
      <w:bookmarkStart w:id="109" w:name="_Toc908335440"/>
      <w:bookmarkStart w:id="110" w:name="_Toc14979"/>
    </w:p>
    <w:p>
      <w:pPr>
        <w:pageBreakBefore w:val="0"/>
        <w:kinsoku/>
        <w:wordWrap/>
        <w:topLinePunct w:val="0"/>
        <w:autoSpaceDE w:val="0"/>
        <w:bidi w:val="0"/>
        <w:spacing w:line="580" w:lineRule="exact"/>
        <w:ind w:firstLine="640" w:firstLineChars="200"/>
        <w:textAlignment w:val="auto"/>
        <w:rPr>
          <w:rFonts w:ascii="仿宋_GB2312" w:hAnsi="仿宋" w:eastAsia="仿宋_GB2312"/>
          <w:sz w:val="32"/>
          <w:szCs w:val="32"/>
        </w:rPr>
      </w:pPr>
      <w:r>
        <w:rPr>
          <w:rFonts w:hint="eastAsia" w:ascii="楷体_GB2312" w:hAnsi="楷体_GB2312" w:eastAsia="楷体_GB2312" w:cs="楷体_GB2312"/>
          <w:sz w:val="32"/>
          <w:szCs w:val="32"/>
        </w:rPr>
        <w:t>（一）加快推动老城更新，构建品质新高地。</w:t>
      </w:r>
      <w:r>
        <w:rPr>
          <w:rFonts w:hint="eastAsia" w:ascii="仿宋_GB2312" w:hAnsi="楷体_GB2312" w:eastAsia="仿宋_GB2312" w:cs="楷体_GB2312"/>
          <w:sz w:val="32"/>
          <w:szCs w:val="32"/>
        </w:rPr>
        <w:t>全面落实</w:t>
      </w:r>
      <w:r>
        <w:rPr>
          <w:rFonts w:hint="eastAsia" w:ascii="仿宋_GB2312" w:hAnsi="仿宋_GB2312" w:eastAsia="仿宋_GB2312" w:cs="仿宋_GB2312"/>
          <w:sz w:val="32"/>
          <w:szCs w:val="32"/>
        </w:rPr>
        <w:t>“中优”战略，主要</w:t>
      </w:r>
      <w:r>
        <w:rPr>
          <w:rFonts w:hint="eastAsia" w:ascii="仿宋_GB2312" w:hAnsi="宋体" w:eastAsia="仿宋_GB2312" w:cs="仿宋_GB2312"/>
          <w:kern w:val="0"/>
          <w:sz w:val="32"/>
          <w:szCs w:val="32"/>
        </w:rPr>
        <w:t>聚焦城区四街道，推动城市品质化、功能现代化和业态高端化。</w:t>
      </w:r>
      <w:r>
        <w:rPr>
          <w:rFonts w:hint="eastAsia" w:ascii="仿宋_GB2312" w:hAnsi="楷体_GB2312" w:eastAsia="仿宋_GB2312" w:cs="楷体_GB2312"/>
          <w:sz w:val="32"/>
          <w:szCs w:val="32"/>
        </w:rPr>
        <w:t>以洪楼片区为重点，</w:t>
      </w:r>
      <w:r>
        <w:rPr>
          <w:rFonts w:hint="eastAsia" w:ascii="仿宋_GB2312" w:eastAsia="仿宋_GB2312" w:cs="仿宋_GB2312"/>
          <w:sz w:val="32"/>
          <w:szCs w:val="32"/>
        </w:rPr>
        <w:t>大力发展都市工业、TOD经济、总部经济、亚文化消费等新兴业态，将零散商圈置换为科技孵化、商务办公、新型金融等优质业态，全面提升片区发展能级。</w:t>
      </w:r>
      <w:r>
        <w:rPr>
          <w:rFonts w:hint="eastAsia" w:ascii="仿宋_GB2312" w:eastAsia="仿宋_GB2312" w:cs="仿宋_GB2312"/>
          <w:bCs/>
          <w:sz w:val="32"/>
          <w:szCs w:val="32"/>
        </w:rPr>
        <w:t>有序推进区域更新，</w:t>
      </w:r>
      <w:r>
        <w:rPr>
          <w:rFonts w:hint="eastAsia" w:ascii="仿宋_GB2312" w:eastAsia="仿宋_GB2312" w:cs="仿宋_GB2312"/>
          <w:sz w:val="32"/>
          <w:szCs w:val="32"/>
        </w:rPr>
        <w:t>坚持微改造为主、留改拆并举，全面改造旧厂区、旧住区、旧村庄和旧市场，加快推进城市更新单元的征收拆迁、更新改造等工作，合理配置空间资源、发展要素，推动老城区功能转换、品质升级</w:t>
      </w:r>
      <w:r>
        <w:rPr>
          <w:rFonts w:hint="eastAsia" w:ascii="仿宋_GB2312" w:hAnsi="仿宋_GB2312" w:eastAsia="仿宋_GB2312" w:cs="仿宋_GB2312"/>
          <w:sz w:val="32"/>
          <w:szCs w:val="32"/>
        </w:rPr>
        <w:t>。</w:t>
      </w:r>
    </w:p>
    <w:p>
      <w:pPr>
        <w:pageBreakBefore w:val="0"/>
        <w:tabs>
          <w:tab w:val="left" w:pos="276"/>
        </w:tabs>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（二）聚力打造产业高端、配套完善、环境优美的精致城区。</w:t>
      </w:r>
      <w:r>
        <w:rPr>
          <w:rFonts w:hint="eastAsia" w:ascii="仿宋_GB2312" w:hAnsi="仿宋_GB2312" w:eastAsia="仿宋_GB2312" w:cs="仿宋_GB2312"/>
          <w:sz w:val="32"/>
          <w:szCs w:val="32"/>
        </w:rPr>
        <w:t>建设全福河片区科创会客厅，依托洪楼教堂、全福河、山东大学中心校区和洪楼校区等重要历史景观资源和优质教育科创资源，以保留利用提升为主，推动由“开发方式”向“经营模式”转变，构建“品质新高地”。稳步推进全福立交桥东南片区棚户区改造以及德馨斋、全福河东等地块开发，发挥省农科院科研优势，强化黄台电厂能源转型引领作用，挖掘全福立交周边载体、产业集聚潜能，赋能新科技、新业态、新生活，打造南北互联、产城融合的科创云谷。链接黄河、小清河和黄台山公园，保护、传承、展示鹊华风貌，推进</w:t>
      </w:r>
      <w:r>
        <w:rPr>
          <w:rFonts w:ascii="仿宋_GB2312" w:hAnsi="仿宋_GB2312" w:eastAsia="仿宋_GB2312" w:cs="仿宋_GB2312"/>
          <w:sz w:val="32"/>
          <w:szCs w:val="32"/>
        </w:rPr>
        <w:t>宋刘片区</w:t>
      </w:r>
      <w:r>
        <w:rPr>
          <w:rFonts w:hint="eastAsia" w:ascii="仿宋_GB2312" w:hAnsi="仿宋_GB2312" w:eastAsia="仿宋_GB2312" w:cs="仿宋_GB2312"/>
          <w:sz w:val="32"/>
          <w:szCs w:val="32"/>
        </w:rPr>
        <w:t>城中村改造，将宋刘片区打造成为集商业商务、文化创意、生态保护于一体的历城门户标志区、“北起”桥头堡。发挥东风片区紧邻CBD的区位优势及交通优势，结合客运枢纽提升改造和科技创新基础，推动科创服务、金融服务、生物医药等产业发展，提升区域服务职能，打造智慧文创服务谷、科创金融服务中心、宜人宜居活力街区。</w:t>
      </w:r>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11" w:name="_Toc18250"/>
      <w:bookmarkStart w:id="112" w:name="_Toc30054"/>
      <w:bookmarkStart w:id="113" w:name="_Toc123911396"/>
      <w:bookmarkStart w:id="114" w:name="_Toc12006"/>
      <w:r>
        <w:rPr>
          <w:rFonts w:hint="eastAsia" w:ascii="黑体" w:hAnsi="黑体" w:eastAsia="黑体" w:cs="Times New Roman"/>
          <w:bCs/>
          <w:sz w:val="32"/>
          <w:szCs w:val="32"/>
        </w:rPr>
        <w:t>三、加快推动新区拓展提升</w:t>
      </w:r>
      <w:bookmarkEnd w:id="111"/>
      <w:bookmarkEnd w:id="112"/>
      <w:bookmarkEnd w:id="113"/>
      <w:bookmarkEnd w:id="114"/>
    </w:p>
    <w:bookmarkEnd w:id="109"/>
    <w:bookmarkEnd w:id="110"/>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bookmarkStart w:id="115" w:name="_Toc1032896852"/>
      <w:bookmarkStart w:id="116" w:name="_Toc4051"/>
      <w:r>
        <w:rPr>
          <w:rFonts w:hint="eastAsia" w:ascii="仿宋_GB2312" w:hAnsi="Times New Roman" w:eastAsia="仿宋_GB2312" w:cs="Times New Roman"/>
          <w:sz w:val="32"/>
          <w:szCs w:val="32"/>
        </w:rPr>
        <w:t>着眼打造“东强主战场”，按照“产城融合、功能完备、职住平衡、生态宜居”的原则，高标准推进片区开发，为集聚高端产业提供坚实支撑。</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（一）提升新区承载力。</w:t>
      </w:r>
      <w:r>
        <w:rPr>
          <w:rFonts w:hint="eastAsia" w:ascii="仿宋_GB2312" w:hAnsi="Times New Roman" w:eastAsia="仿宋_GB2312" w:cs="Times New Roman"/>
          <w:sz w:val="32"/>
          <w:szCs w:val="32"/>
        </w:rPr>
        <w:t>结合“四港三区”规划，以唐冶北片区为核心，以国际内陆港为“承载港体”，以济南东站为“开放之翼”，以自贸区为“创新之翼”，打通贸易廊道，形成“一核一港两翼多联”发展格局。发挥枢纽联动效应、流量优势，把握增量机遇，强化对外通道建设，打造空铁一体、陆海统筹的国内国外双循环战略链接点。以“提升枢纽作用、彰显开放优势、强化新城地位”为主线，提高对外开放发展水平，构建区域性贸易中心新平台，完善综合交通服务能力，实现贸易互通、要素互融、产业互动、区域互联的国际化贸易服务生态，建设“空铁一体、陆海联动、生态宜居、功能完备”的枢纽新城区。</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（二）提升新区协同力。</w:t>
      </w:r>
      <w:r>
        <w:rPr>
          <w:rFonts w:hint="eastAsia" w:ascii="仿宋_GB2312" w:hAnsi="Times New Roman" w:eastAsia="仿宋_GB2312" w:cs="Times New Roman"/>
          <w:sz w:val="32"/>
          <w:szCs w:val="32"/>
        </w:rPr>
        <w:t>立足现有资源禀赋和基础条件，推动华山、彩港、唐王等片区错位布局、协同发展，聚力打造多组团竞合发展的区域新格局。坚持“产城河”一体发展，依托华山“山、泉、河、湖、湿地”，打造高端高质、绿色低碳的“北起协同区”；依托齐鲁科创大走廊，推动彩港片区新兴产业落地；对标国内一流经济开发区，深入挖掘临港片区优势资源，着力打造</w:t>
      </w:r>
      <w:r>
        <w:rPr>
          <w:rFonts w:hint="eastAsia" w:ascii="仿宋_GB2312" w:hAnsi="仿宋_GB2312" w:eastAsia="仿宋_GB2312" w:cs="仿宋_GB2312"/>
          <w:sz w:val="32"/>
          <w:szCs w:val="32"/>
        </w:rPr>
        <w:t>贸易物流、智能制造、生物医药</w:t>
      </w:r>
      <w:r>
        <w:rPr>
          <w:rFonts w:hint="eastAsia" w:ascii="仿宋_GB2312" w:hAnsi="Times New Roman" w:eastAsia="仿宋_GB2312" w:cs="Times New Roman"/>
          <w:sz w:val="32"/>
          <w:szCs w:val="32"/>
        </w:rPr>
        <w:t>等优势产业集群，成为实体经济发展的主阵地；依托空港、小清河码头，立足唐王街道现代农业产业优势，</w:t>
      </w:r>
      <w:r>
        <w:rPr>
          <w:rFonts w:hint="eastAsia" w:ascii="仿宋_GB2312" w:hAnsi="Times New Roman" w:eastAsia="仿宋_GB2312"/>
          <w:sz w:val="32"/>
          <w:szCs w:val="32"/>
        </w:rPr>
        <w:t>以</w:t>
      </w:r>
      <w:r>
        <w:rPr>
          <w:rFonts w:hint="eastAsia" w:ascii="仿宋_GB2312" w:hAnsi="Times New Roman" w:eastAsia="仿宋_GB2312"/>
          <w:bCs/>
          <w:sz w:val="32"/>
          <w:szCs w:val="32"/>
        </w:rPr>
        <w:t>商业化育种品牌集群</w:t>
      </w:r>
      <w:r>
        <w:rPr>
          <w:rFonts w:hint="eastAsia" w:ascii="仿宋_GB2312" w:hAnsi="Times New Roman" w:eastAsia="仿宋_GB2312"/>
          <w:sz w:val="32"/>
          <w:szCs w:val="32"/>
        </w:rPr>
        <w:t>建设为引领，以集成</w:t>
      </w:r>
      <w:r>
        <w:rPr>
          <w:rFonts w:hint="eastAsia" w:ascii="仿宋_GB2312" w:hAnsi="Times New Roman" w:eastAsia="仿宋_GB2312"/>
          <w:bCs/>
          <w:sz w:val="32"/>
          <w:szCs w:val="32"/>
        </w:rPr>
        <w:t>数字化生物育种前沿技术</w:t>
      </w:r>
      <w:r>
        <w:rPr>
          <w:rFonts w:hint="eastAsia" w:ascii="仿宋_GB2312" w:hAnsi="Times New Roman" w:eastAsia="仿宋_GB2312"/>
          <w:sz w:val="32"/>
          <w:szCs w:val="32"/>
        </w:rPr>
        <w:t>为目标，集聚科技、人才、金融等创新要素为宗旨，形成集育种、加工、销售、服务于一体的都市型种业全产业链生态圈，</w:t>
      </w:r>
      <w:r>
        <w:rPr>
          <w:rFonts w:hint="eastAsia" w:ascii="仿宋_GB2312" w:hAnsi="Times New Roman" w:eastAsia="仿宋_GB2312" w:cs="Times New Roman"/>
          <w:sz w:val="32"/>
          <w:szCs w:val="32"/>
        </w:rPr>
        <w:t>持续加强唐王街道小城镇建设，</w:t>
      </w:r>
      <w:r>
        <w:rPr>
          <w:rFonts w:hint="eastAsia" w:ascii="仿宋_GB2312" w:hAnsi="Times New Roman" w:eastAsia="仿宋_GB2312"/>
          <w:sz w:val="32"/>
          <w:szCs w:val="32"/>
        </w:rPr>
        <w:t>逐步建成以种业为基础的产城融合发展示范区。</w:t>
      </w:r>
      <w:bookmarkEnd w:id="115"/>
      <w:bookmarkEnd w:id="116"/>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17" w:name="_Toc14392"/>
      <w:bookmarkStart w:id="118" w:name="_Toc123911397"/>
      <w:r>
        <w:rPr>
          <w:rFonts w:hint="eastAsia" w:ascii="黑体" w:hAnsi="黑体" w:eastAsia="黑体" w:cs="Times New Roman"/>
          <w:bCs/>
          <w:sz w:val="32"/>
          <w:szCs w:val="32"/>
        </w:rPr>
        <w:t>四、</w:t>
      </w:r>
      <w:bookmarkEnd w:id="107"/>
      <w:bookmarkEnd w:id="108"/>
      <w:bookmarkEnd w:id="117"/>
      <w:r>
        <w:rPr>
          <w:rFonts w:hint="eastAsia" w:ascii="黑体" w:hAnsi="黑体" w:eastAsia="黑体" w:cs="Times New Roman"/>
          <w:bCs/>
          <w:sz w:val="32"/>
          <w:szCs w:val="32"/>
        </w:rPr>
        <w:t>构建城乡融合发展格局</w:t>
      </w:r>
      <w:bookmarkEnd w:id="118"/>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立足区位优势、产业优势和生态优势，以协调推进乡村振兴战略和城乡融合发展战略为抓手，以促进城乡生产要素双向自由流动和公共资源合理配置为关键，积极构建“南山北水”城乡融合发展生态新格局。</w:t>
      </w:r>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（一）打造“南山”生态旅游康养地。</w:t>
      </w:r>
      <w:r>
        <w:rPr>
          <w:rFonts w:hint="eastAsia" w:ascii="仿宋_GB2312" w:hAnsi="Times New Roman" w:eastAsia="仿宋_GB2312" w:cs="Times New Roman"/>
          <w:sz w:val="32"/>
          <w:szCs w:val="32"/>
        </w:rPr>
        <w:t>立足于山区特色，</w:t>
      </w:r>
      <w:r>
        <w:rPr>
          <w:rFonts w:hint="eastAsia" w:ascii="仿宋_GB2312" w:hAnsi="仿宋_GB2312" w:eastAsia="仿宋_GB2312" w:cs="仿宋_GB2312"/>
          <w:sz w:val="32"/>
          <w:szCs w:val="32"/>
        </w:rPr>
        <w:t>发挥历史文化、山水、农业资源优势，以南部港沟、彩石街道生态田林资源为本底，</w:t>
      </w:r>
      <w:r>
        <w:rPr>
          <w:rFonts w:hint="eastAsia" w:ascii="仿宋_GB2312" w:hAnsi="Times New Roman" w:eastAsia="仿宋_GB2312" w:cs="Times New Roman"/>
          <w:sz w:val="32"/>
          <w:szCs w:val="32"/>
        </w:rPr>
        <w:t>按照“以点带面，联动发展”的理念，以芦南村、玉河泉为核心，带动</w:t>
      </w:r>
      <w:r>
        <w:rPr>
          <w:rFonts w:hint="eastAsia" w:ascii="仿宋_GB2312" w:hAnsi="仿宋_GB2312" w:eastAsia="仿宋_GB2312" w:cs="仿宋_GB2312"/>
          <w:sz w:val="32"/>
          <w:szCs w:val="32"/>
        </w:rPr>
        <w:t>“港九美丽乡村先行区”</w:t>
      </w:r>
      <w:r>
        <w:rPr>
          <w:rFonts w:hint="eastAsia" w:ascii="仿宋_GB2312" w:hAnsi="Times New Roman" w:eastAsia="仿宋_GB2312" w:cs="Times New Roman"/>
          <w:sz w:val="32"/>
          <w:szCs w:val="32"/>
        </w:rPr>
        <w:t>片区和彩石</w:t>
      </w:r>
      <w:r>
        <w:rPr>
          <w:rFonts w:hint="eastAsia" w:ascii="仿宋_GB2312" w:hAnsi="仿宋_GB2312" w:eastAsia="仿宋_GB2312" w:cs="仿宋_GB2312"/>
          <w:sz w:val="32"/>
          <w:szCs w:val="32"/>
        </w:rPr>
        <w:t>“五朵金花”片区建设</w:t>
      </w:r>
      <w:r>
        <w:rPr>
          <w:rFonts w:hint="eastAsia" w:ascii="仿宋_GB2312" w:hAnsi="Times New Roman" w:eastAsia="仿宋_GB2312" w:cs="Times New Roman"/>
          <w:sz w:val="32"/>
          <w:szCs w:val="32"/>
        </w:rPr>
        <w:t>。</w:t>
      </w:r>
      <w:r>
        <w:rPr>
          <w:rFonts w:hint="eastAsia" w:ascii="仿宋_GB2312" w:hAnsi="仿宋_GB2312" w:eastAsia="仿宋_GB2312" w:cs="仿宋_GB2312"/>
          <w:sz w:val="32"/>
          <w:szCs w:val="32"/>
        </w:rPr>
        <w:t>重点推进港九路、韩仓河生态整治，</w:t>
      </w:r>
      <w:r>
        <w:rPr>
          <w:rFonts w:hint="eastAsia" w:ascii="仿宋_GB2312" w:eastAsia="仿宋_GB2312"/>
          <w:sz w:val="32"/>
          <w:szCs w:val="32"/>
        </w:rPr>
        <w:t>实施</w:t>
      </w:r>
      <w:r>
        <w:rPr>
          <w:rFonts w:hint="eastAsia" w:ascii="仿宋_GB2312" w:hAnsi="Times New Roman" w:eastAsia="仿宋_GB2312" w:cs="Times New Roman"/>
          <w:sz w:val="32"/>
          <w:szCs w:val="32"/>
        </w:rPr>
        <w:t>“全域化整治、景区化建设、产业化升级、特色化打造、市场化运作”五大举措，推动“泛文旅、大农业与新业态”的融合发展</w:t>
      </w:r>
      <w:r>
        <w:rPr>
          <w:rFonts w:hint="eastAsia" w:ascii="仿宋_GB2312" w:hAnsi="仿宋_GB2312" w:eastAsia="仿宋_GB2312" w:cs="仿宋_GB2312"/>
          <w:sz w:val="32"/>
          <w:szCs w:val="32"/>
        </w:rPr>
        <w:t>，着力发展观光度假、休闲康养、文体娱乐等生态农文旅产业</w:t>
      </w:r>
      <w:r>
        <w:rPr>
          <w:rFonts w:ascii="仿宋_GB2312" w:hAnsi="仿宋_GB2312" w:eastAsia="仿宋_GB2312" w:cs="仿宋_GB2312"/>
          <w:sz w:val="32"/>
          <w:szCs w:val="32"/>
        </w:rPr>
        <w:t>,打造城中乡愁体验地</w:t>
      </w:r>
      <w:r>
        <w:rPr>
          <w:rFonts w:hint="eastAsia" w:ascii="仿宋_GB2312" w:hAnsi="仿宋_GB2312" w:eastAsia="仿宋_GB2312" w:cs="仿宋_GB2312"/>
          <w:sz w:val="32"/>
          <w:szCs w:val="32"/>
        </w:rPr>
        <w:t>。</w:t>
      </w:r>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（二）打造“北水”沿黄农旅产业区。</w:t>
      </w:r>
      <w:r>
        <w:rPr>
          <w:rFonts w:hint="eastAsia" w:ascii="仿宋_GB2312" w:hAnsi="仿宋_GB2312" w:eastAsia="仿宋_GB2312" w:cs="仿宋_GB2312"/>
          <w:sz w:val="32"/>
          <w:szCs w:val="32"/>
        </w:rPr>
        <w:t>深入落实黄河流域生态保护和高质量发展战略，以黄河生态廊道建设为抓手，通过全域土地综合整治，建设观光特色园区，恢复荷花路街道万亩良田、江北水乡的景观风貌，打造沿黄水美乡村名片，实现农业与旅游融合发展，形成乡村产业集聚区。唐王街道依托种业产业基础，重点推进国家级奶牛优秀种质自主培育与高效扩繁示范基地、唐王锦鲤繁育基地、山东种业现代农业科技创新园区、山东种业集团唐王地展示范园区等，助力唐王构建完整现代农业产业体系，积极争创“</w:t>
      </w:r>
      <w:r>
        <w:rPr>
          <w:rFonts w:hint="eastAsia" w:ascii="仿宋_GB2312" w:hAnsi="仿宋_GB2312" w:eastAsia="仿宋_GB2312" w:cs="仿宋_GB2312"/>
          <w:bCs/>
          <w:sz w:val="32"/>
          <w:szCs w:val="32"/>
        </w:rPr>
        <w:t>山东都市现代种业创新引领区</w:t>
      </w:r>
      <w:r>
        <w:rPr>
          <w:rFonts w:hint="eastAsia" w:ascii="仿宋_GB2312" w:hAnsi="仿宋_GB2312" w:eastAsia="仿宋_GB2312" w:cs="仿宋_GB2312"/>
          <w:sz w:val="32"/>
          <w:szCs w:val="32"/>
        </w:rPr>
        <w:t>”。</w:t>
      </w:r>
    </w:p>
    <w:p>
      <w:pPr>
        <w:pageBreakBefore w:val="0"/>
        <w:kinsoku/>
        <w:wordWrap/>
        <w:topLinePunct w:val="0"/>
        <w:bidi w:val="0"/>
        <w:spacing w:line="580" w:lineRule="exact"/>
        <w:ind w:firstLine="64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（三）推进枢纽新城城乡产业协同区。</w:t>
      </w:r>
      <w:r>
        <w:rPr>
          <w:rFonts w:hint="eastAsia" w:ascii="仿宋_GB2312" w:hAnsi="仿宋_GB2312" w:eastAsia="仿宋_GB2312" w:cs="仿宋_GB2312"/>
          <w:sz w:val="32"/>
          <w:szCs w:val="32"/>
        </w:rPr>
        <w:t>以“四港三区”联动打造枢纽新城为契机，</w:t>
      </w:r>
      <w:r>
        <w:rPr>
          <w:rFonts w:hint="eastAsia" w:ascii="仿宋_GB2312" w:hAnsi="仿宋" w:eastAsia="仿宋_GB2312" w:cs="仿宋_GB2312"/>
          <w:sz w:val="32"/>
          <w:szCs w:val="32"/>
        </w:rPr>
        <w:t>董家、王舍人、鲍山街道城乡结合区要发挥临近空港、小清河港和临港经济开发区、内陆港核心区的优势，主动融入新东站片区总部经济、济钢四新产业，</w:t>
      </w:r>
      <w:r>
        <w:rPr>
          <w:rFonts w:hint="eastAsia" w:ascii="仿宋_GB2312" w:hAnsi="仿宋_GB2312" w:eastAsia="仿宋_GB2312" w:cs="仿宋_GB2312"/>
          <w:sz w:val="32"/>
          <w:szCs w:val="32"/>
        </w:rPr>
        <w:t>聚焦现代农业、文化旅游、康体休闲等产业类型，</w:t>
      </w:r>
      <w:r>
        <w:rPr>
          <w:rFonts w:hint="eastAsia" w:ascii="仿宋_GB2312" w:hAnsi="仿宋" w:eastAsia="仿宋_GB2312" w:cs="仿宋_GB2312"/>
          <w:sz w:val="32"/>
          <w:szCs w:val="32"/>
        </w:rPr>
        <w:t>在智能制造与高端装备、生物医药、现代物流等产业方面抓好产业承接，积极</w:t>
      </w:r>
      <w:r>
        <w:rPr>
          <w:rFonts w:ascii="仿宋_GB2312" w:hAnsi="仿宋" w:eastAsia="仿宋_GB2312" w:cs="仿宋_GB2312"/>
          <w:sz w:val="32"/>
          <w:szCs w:val="32"/>
        </w:rPr>
        <w:t>破解城乡二元结构，</w:t>
      </w:r>
      <w:r>
        <w:rPr>
          <w:rFonts w:hint="eastAsia" w:ascii="仿宋_GB2312" w:hAnsi="仿宋" w:eastAsia="仿宋_GB2312" w:cs="仿宋_GB2312"/>
          <w:sz w:val="32"/>
          <w:szCs w:val="32"/>
        </w:rPr>
        <w:t>加速实现城乡产业深度融合。</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119" w:name="_Toc1187725633"/>
      <w:bookmarkStart w:id="120" w:name="_Toc24397"/>
      <w:bookmarkStart w:id="121" w:name="_Toc1395"/>
      <w:bookmarkStart w:id="122" w:name="_Toc25918"/>
      <w:bookmarkStart w:id="123" w:name="_Toc5595"/>
      <w:bookmarkStart w:id="124" w:name="_Toc8379"/>
      <w:bookmarkStart w:id="125" w:name="_Toc11171"/>
      <w:bookmarkStart w:id="126" w:name="_Toc123911398"/>
      <w:r>
        <w:rPr>
          <w:rFonts w:hint="eastAsia" w:ascii="方正小标宋简体" w:eastAsia="方正小标宋简体"/>
          <w:b w:val="0"/>
          <w:sz w:val="36"/>
          <w:szCs w:val="36"/>
        </w:rPr>
        <w:t xml:space="preserve">第三章 深入推进智慧城镇化 </w:t>
      </w:r>
      <w:bookmarkEnd w:id="119"/>
      <w:bookmarkEnd w:id="120"/>
      <w:bookmarkEnd w:id="121"/>
      <w:bookmarkEnd w:id="122"/>
      <w:bookmarkEnd w:id="123"/>
      <w:bookmarkEnd w:id="124"/>
      <w:bookmarkEnd w:id="125"/>
      <w:r>
        <w:rPr>
          <w:rFonts w:hint="eastAsia" w:ascii="方正小标宋简体" w:eastAsia="方正小标宋简体"/>
          <w:b w:val="0"/>
          <w:sz w:val="36"/>
          <w:szCs w:val="36"/>
        </w:rPr>
        <w:t>打造科技强区数智历城</w:t>
      </w:r>
      <w:bookmarkEnd w:id="126"/>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主动融入数字时代，优化新型基础设施布局，提升城镇智慧化治理能力，构建全民共享的数字生活，提高智慧民生服务水平，创新驱动数据与产业深度融合，聚焦打造黄河流域数字经济产业新高地，将数字经济培育成为全区高质量发展的重要增长极，让“科技强区、数智历城”成为新名片。</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27" w:name="_Toc282544805"/>
      <w:bookmarkStart w:id="128" w:name="_Toc1182413959"/>
      <w:bookmarkStart w:id="129" w:name="_Toc5975"/>
      <w:bookmarkStart w:id="130" w:name="_Toc318628876"/>
      <w:bookmarkStart w:id="131" w:name="_Toc91673393"/>
      <w:bookmarkStart w:id="132" w:name="_Toc90649740"/>
      <w:bookmarkStart w:id="133" w:name="_Toc25435"/>
      <w:bookmarkStart w:id="134" w:name="_Toc5706"/>
      <w:bookmarkStart w:id="135" w:name="_Toc90328735"/>
      <w:bookmarkStart w:id="136" w:name="_Toc13453"/>
      <w:bookmarkStart w:id="137" w:name="_Toc31971"/>
      <w:bookmarkStart w:id="138" w:name="_Toc23369"/>
      <w:bookmarkStart w:id="139" w:name="_Toc90813732"/>
      <w:bookmarkStart w:id="140" w:name="_Toc2140717466"/>
      <w:bookmarkStart w:id="141" w:name="_Toc123911399"/>
      <w:bookmarkStart w:id="142" w:name="_Hlk90242671"/>
      <w:r>
        <w:rPr>
          <w:rFonts w:hint="eastAsia" w:ascii="黑体" w:hAnsi="黑体" w:eastAsia="黑体" w:cs="Times New Roman"/>
          <w:bCs/>
          <w:sz w:val="32"/>
          <w:szCs w:val="32"/>
        </w:rPr>
        <w:t>一、新型基础设施</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黑体" w:hAnsi="黑体" w:eastAsia="黑体" w:cs="Times New Roman"/>
          <w:bCs/>
          <w:sz w:val="32"/>
          <w:szCs w:val="32"/>
        </w:rPr>
        <w:t>支撑智慧化建设</w:t>
      </w:r>
      <w:bookmarkEnd w:id="141"/>
    </w:p>
    <w:bookmarkEnd w:id="142"/>
    <w:p>
      <w:pPr>
        <w:pStyle w:val="4"/>
        <w:pageBreakBefore w:val="0"/>
        <w:kinsoku/>
        <w:wordWrap/>
        <w:topLinePunct w:val="0"/>
        <w:bidi w:val="0"/>
        <w:spacing w:line="580" w:lineRule="exact"/>
        <w:ind w:firstLine="640"/>
        <w:textAlignment w:val="auto"/>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坚持应用导向，加快建设信息网络基础设施，有序推进基础设施智能升级。</w:t>
      </w:r>
    </w:p>
    <w:p>
      <w:pPr>
        <w:pStyle w:val="4"/>
        <w:pageBreakBefore w:val="0"/>
        <w:kinsoku/>
        <w:wordWrap/>
        <w:topLinePunct w:val="0"/>
        <w:bidi w:val="0"/>
        <w:spacing w:line="580" w:lineRule="exact"/>
        <w:ind w:firstLine="640"/>
        <w:textAlignment w:val="auto"/>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一）推进5G基础设施建设。围绕打造数字先锋城市目标，强化新型信息基础设施建设和传统基础设施改造升级，丰富应用场景，聚焦先进制造业、智慧城市等重点领域，加快网络基础设施建设，深化行业融合，全面提升5G赋能经济社会发展能级，助力全区高质量发展。全面推进济莱高铁、黄台联络线等重点项目5G网络配建工作。进一步提升公共资源开放水平，加强5G通信基础设施保护，鼓励行业龙头企业、高等院校、科研院所开展5G行业应用及技术攻关，提高产业发展基础支撑能力。持续开展5G应用需求征集和产业政策宣传等活动，推动千兆网络建设，加快推进“5G+工业互联网”应用，促进制造业数字化、网络化、智能化升级。到2025年，实现城市家庭千兆接入能力和商务楼宇万兆接入能力全覆盖。</w:t>
      </w:r>
    </w:p>
    <w:p>
      <w:pPr>
        <w:pageBreakBefore w:val="0"/>
        <w:widowControl/>
        <w:kinsoku/>
        <w:wordWrap/>
        <w:topLinePunct w:val="0"/>
        <w:bidi w:val="0"/>
        <w:spacing w:line="580" w:lineRule="exact"/>
        <w:ind w:firstLine="640" w:firstLineChars="200"/>
        <w:textAlignment w:val="auto"/>
        <w:rPr>
          <w:rFonts w:ascii="仿宋_GB2312" w:hAnsi="仿宋_GB2312" w:eastAsia="仿宋_GB2312" w:cs="仿宋_GB2312"/>
          <w:spacing w:val="-1"/>
          <w:sz w:val="32"/>
          <w:szCs w:val="32"/>
        </w:rPr>
      </w:pPr>
      <w:r>
        <w:rPr>
          <w:rFonts w:hint="eastAsia" w:ascii="楷体_GB2312" w:hAnsi="Times New Roman" w:eastAsia="楷体_GB2312" w:cs="Times New Roman"/>
          <w:sz w:val="32"/>
          <w:szCs w:val="32"/>
        </w:rPr>
        <w:t>（二）打造工业互联网平台体系。</w:t>
      </w:r>
      <w:r>
        <w:rPr>
          <w:rFonts w:hint="eastAsia" w:ascii="仿宋_GB2312" w:hAnsi="仿宋_GB2312" w:eastAsia="仿宋_GB2312" w:cs="仿宋_GB2312"/>
          <w:spacing w:val="-1"/>
          <w:sz w:val="32"/>
          <w:szCs w:val="32"/>
        </w:rPr>
        <w:t>完善提升工业互联网平台体系，加快推进工业互联网建设应用，征集推广工业互联网APP优秀解决方案，推动工业互联网应用创新示范项目发挥效益，推进济南（历城）工业互联网标识解析二级节点平台暨忽米华北应用总部项目进展，提升为工业企业提供各类工业互联网生态产品及赋能服务能力，拉动制造业产业链转型升级，带动数字经济产业和传统优势产业全面融合发展，提升全区工业智能化水平。</w:t>
      </w:r>
    </w:p>
    <w:p>
      <w:pPr>
        <w:pageBreakBefore w:val="0"/>
        <w:widowControl/>
        <w:kinsoku/>
        <w:wordWrap/>
        <w:topLinePunct w:val="0"/>
        <w:bidi w:val="0"/>
        <w:spacing w:line="580" w:lineRule="exact"/>
        <w:ind w:firstLine="640" w:firstLineChars="200"/>
        <w:textAlignment w:val="auto"/>
        <w:rPr>
          <w:rFonts w:ascii="仿宋_GB2312" w:hAnsi="仿宋_GB2312" w:eastAsia="仿宋_GB2312" w:cs="仿宋_GB2312"/>
          <w:spacing w:val="-1"/>
          <w:sz w:val="32"/>
          <w:szCs w:val="32"/>
        </w:rPr>
      </w:pPr>
      <w:r>
        <w:rPr>
          <w:rFonts w:hint="eastAsia" w:ascii="楷体_GB2312" w:hAnsi="Times New Roman" w:eastAsia="楷体_GB2312" w:cs="Times New Roman"/>
          <w:sz w:val="32"/>
          <w:szCs w:val="32"/>
        </w:rPr>
        <w:t>（三）推动高能级科创平台建设。</w:t>
      </w:r>
      <w:r>
        <w:rPr>
          <w:rFonts w:hint="eastAsia" w:ascii="仿宋_GB2312" w:hAnsi="Times New Roman" w:eastAsia="仿宋_GB2312" w:cs="Times New Roman"/>
          <w:sz w:val="32"/>
          <w:szCs w:val="32"/>
        </w:rPr>
        <w:t>推动国家超算创新圈、山东高等技术研究院、齐鲁空天信息研究院、山东国家应用数学中心以及泉城省实验室建设。</w:t>
      </w:r>
      <w:r>
        <w:rPr>
          <w:rFonts w:hint="eastAsia" w:ascii="仿宋_GB2312" w:hAnsi="仿宋_GB2312" w:eastAsia="仿宋_GB2312" w:cs="仿宋_GB2312"/>
          <w:spacing w:val="-1"/>
          <w:sz w:val="32"/>
          <w:szCs w:val="32"/>
        </w:rPr>
        <w:t>聚焦服务国家和省重大战略，以网络空间安全、</w:t>
      </w:r>
      <w:r>
        <w:rPr>
          <w:rFonts w:hint="eastAsia" w:ascii="仿宋_GB2312" w:hAnsi="仿宋_GB2312" w:eastAsia="仿宋_GB2312" w:cs="仿宋_GB2312"/>
          <w:sz w:val="32"/>
          <w:szCs w:val="32"/>
        </w:rPr>
        <w:t>金融、信息安全、智能制造、生命健康和人工智能等行业</w:t>
      </w:r>
      <w:r>
        <w:rPr>
          <w:rFonts w:hint="eastAsia" w:ascii="仿宋_GB2312" w:hAnsi="仿宋_GB2312" w:eastAsia="仿宋_GB2312" w:cs="仿宋_GB2312"/>
          <w:spacing w:val="-1"/>
          <w:sz w:val="32"/>
          <w:szCs w:val="32"/>
        </w:rPr>
        <w:t>为主要研究领域，开展区域性多领域、跨学科、大协同的前沿引领性基础研究、应用基础研究和应用技术开发，打造一流的产业科技创新平台。</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143" w:name="_Toc691613399"/>
      <w:bookmarkStart w:id="144" w:name="_Toc123911400"/>
      <w:r>
        <w:rPr>
          <w:rFonts w:hint="eastAsia" w:ascii="黑体" w:hAnsi="黑体" w:eastAsia="黑体" w:cs="黑体"/>
          <w:sz w:val="32"/>
          <w:szCs w:val="32"/>
        </w:rPr>
        <w:t>二、</w:t>
      </w:r>
      <w:bookmarkEnd w:id="143"/>
      <w:r>
        <w:rPr>
          <w:rFonts w:hint="eastAsia" w:ascii="黑体" w:hAnsi="黑体" w:eastAsia="黑体" w:cs="黑体"/>
          <w:sz w:val="32"/>
          <w:szCs w:val="32"/>
        </w:rPr>
        <w:t>数字经济赋能城市高质量发展</w:t>
      </w:r>
      <w:bookmarkEnd w:id="144"/>
    </w:p>
    <w:p>
      <w:pPr>
        <w:pageBreakBefore w:val="0"/>
        <w:kinsoku/>
        <w:wordWrap/>
        <w:overflowPunct w:val="0"/>
        <w:topLinePunct w:val="0"/>
        <w:bidi w:val="0"/>
        <w:spacing w:line="580" w:lineRule="exact"/>
        <w:ind w:firstLine="640" w:firstLineChars="200"/>
        <w:textAlignment w:val="auto"/>
        <w:rPr>
          <w:rFonts w:ascii="仿宋_GB2312" w:hAnsi="等线" w:eastAsia="仿宋_GB2312" w:cs="Times New Roman"/>
          <w:sz w:val="32"/>
          <w:szCs w:val="32"/>
        </w:rPr>
      </w:pPr>
      <w:bookmarkStart w:id="145" w:name="OLE_LINK47"/>
      <w:bookmarkStart w:id="146" w:name="OLE_LINK46"/>
      <w:r>
        <w:rPr>
          <w:rFonts w:hint="eastAsia" w:ascii="仿宋_GB2312" w:hAnsi="等线" w:eastAsia="仿宋_GB2312" w:cs="Times New Roman"/>
          <w:sz w:val="32"/>
          <w:szCs w:val="32"/>
        </w:rPr>
        <w:t>把握数字经济科学发展路径，</w:t>
      </w:r>
      <w:bookmarkEnd w:id="145"/>
      <w:bookmarkEnd w:id="146"/>
      <w:r>
        <w:rPr>
          <w:rFonts w:hint="eastAsia" w:ascii="仿宋_GB2312" w:hAnsi="等线" w:eastAsia="仿宋_GB2312" w:cs="Times New Roman"/>
          <w:sz w:val="32"/>
          <w:szCs w:val="32"/>
        </w:rPr>
        <w:t>打造以超算应用、人工智能、芯片封装等为主的数字经济产业高地，推动数字经济与实体经济深度融合发展，促进产业转型升级、城市扩能提质。</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bookmarkStart w:id="147" w:name="_Hlk90242928"/>
      <w:r>
        <w:rPr>
          <w:rFonts w:hint="eastAsia" w:ascii="楷体_GB2312" w:hAnsi="Times New Roman" w:eastAsia="楷体_GB2312" w:cs="Times New Roman"/>
          <w:sz w:val="32"/>
          <w:szCs w:val="32"/>
        </w:rPr>
        <w:t>（一）布局建设数字经济产业集群。</w:t>
      </w:r>
      <w:r>
        <w:rPr>
          <w:rFonts w:hint="eastAsia" w:ascii="仿宋_GB2312" w:hAnsi="Times New Roman" w:eastAsia="仿宋_GB2312" w:cs="Times New Roman"/>
          <w:sz w:val="32"/>
          <w:szCs w:val="32"/>
        </w:rPr>
        <w:t>推进超算数字经济生态创新圈建设，构建“两心四区五园”格局，搭建“上游算力支撑、中游数据研究、下游产业应用”的数字经济全产业链，打造千亿级的高标准数字经济高地。</w:t>
      </w:r>
      <w:r>
        <w:rPr>
          <w:rFonts w:ascii="仿宋_GB2312" w:hAnsi="Times New Roman" w:eastAsia="仿宋_GB2312" w:cs="Times New Roman"/>
          <w:sz w:val="32"/>
          <w:szCs w:val="32"/>
        </w:rPr>
        <w:t>采取“专业化公司+市场化产业基金+超算研究院+特色产业园区”四位一体的发展模式，高标准建设国家超算济南中心科技园、济南智能传感器产业园、数字产业综合服务示范基地、信创产业园、未来信息产业园五大园区</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培育智能传感器、人工智能、智能机器人、工业互联网、大数据等新兴产业，形成产业高度集聚、链条完整、主题鲜明、多领域交叉融合的数字产业生态核心区</w:t>
      </w:r>
      <w:r>
        <w:rPr>
          <w:rFonts w:hint="eastAsia" w:ascii="仿宋_GB2312" w:hAnsi="Times New Roman" w:eastAsia="仿宋_GB2312" w:cs="Times New Roman"/>
          <w:sz w:val="32"/>
          <w:szCs w:val="32"/>
        </w:rPr>
        <w:t>。到2025年数字经济规模占GDP比重提升至40％，数字经济核心产业增加值占GDP比重达到40％。</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w:t>
      </w:r>
      <w:bookmarkEnd w:id="147"/>
      <w:r>
        <w:rPr>
          <w:rFonts w:hint="eastAsia" w:ascii="楷体_GB2312" w:hAnsi="Times New Roman" w:eastAsia="楷体_GB2312" w:cs="Times New Roman"/>
          <w:sz w:val="32"/>
          <w:szCs w:val="32"/>
        </w:rPr>
        <w:t>培育壮大创新型企业主力军。</w:t>
      </w:r>
      <w:bookmarkStart w:id="148" w:name="_Hlk90243128"/>
      <w:r>
        <w:rPr>
          <w:rFonts w:hint="eastAsia" w:ascii="仿宋_GB2312" w:hAnsi="Times New Roman" w:eastAsia="仿宋_GB2312" w:cs="Times New Roman"/>
          <w:sz w:val="32"/>
          <w:szCs w:val="32"/>
        </w:rPr>
        <w:t>实施高新技术企业培育行动计划，聚焦大数据、云计算、互联网+、电子信息、新能源、新材料、节能环保、生物医药、高端装备制造等战略性新兴产业，加快科技企业梯次培育。加大对高新技术企业、技术先进型服务企业、创新领军企业的扶持力度，完善企业认定管理工作，</w:t>
      </w:r>
      <w:bookmarkEnd w:id="148"/>
      <w:r>
        <w:rPr>
          <w:rFonts w:hint="eastAsia" w:ascii="仿宋_GB2312" w:hAnsi="Times New Roman" w:eastAsia="仿宋_GB2312" w:cs="Times New Roman"/>
          <w:sz w:val="32"/>
          <w:szCs w:val="32"/>
        </w:rPr>
        <w:t>完善科技型中小企业—高新技术企业—瞪羚企业—（准）独角兽企业的梯次培育体系，形成若干创新型领军企业群。培育壮大市场创新主体，加强宏观政策支持力度，深入优化营商环境，激发市场活力和社会创造力，带动提升中小微企业创新能力和专业化水平，打造大中小企业协同创新、资源共享、融通发展的产业生态。</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w:t>
      </w:r>
      <w:bookmarkStart w:id="149" w:name="OLE_LINK54"/>
      <w:bookmarkStart w:id="150" w:name="OLE_LINK55"/>
      <w:r>
        <w:rPr>
          <w:rFonts w:hint="eastAsia" w:ascii="楷体_GB2312" w:hAnsi="Times New Roman" w:eastAsia="楷体_GB2312" w:cs="Times New Roman"/>
          <w:sz w:val="32"/>
          <w:szCs w:val="32"/>
        </w:rPr>
        <w:t>推动数字经济和实体经济深度融合</w:t>
      </w:r>
      <w:bookmarkEnd w:id="149"/>
      <w:bookmarkEnd w:id="150"/>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加快“5G+工业互联网”典型应用场景向更多</w:t>
      </w:r>
      <w:bookmarkStart w:id="151" w:name="OLE_LINK52"/>
      <w:bookmarkStart w:id="152" w:name="OLE_LINK53"/>
      <w:r>
        <w:rPr>
          <w:rFonts w:hint="eastAsia" w:ascii="仿宋_GB2312" w:hAnsi="Times New Roman" w:eastAsia="仿宋_GB2312" w:cs="Times New Roman"/>
          <w:sz w:val="32"/>
          <w:szCs w:val="32"/>
        </w:rPr>
        <w:t>实体经济</w:t>
      </w:r>
      <w:bookmarkEnd w:id="151"/>
      <w:bookmarkEnd w:id="152"/>
      <w:r>
        <w:rPr>
          <w:rFonts w:hint="eastAsia" w:ascii="仿宋_GB2312" w:hAnsi="Times New Roman" w:eastAsia="仿宋_GB2312" w:cs="Times New Roman"/>
          <w:sz w:val="32"/>
          <w:szCs w:val="32"/>
        </w:rPr>
        <w:t>延伸，建立全面系统的工业大数据生态，提升以数字赋能产业链条供需两侧信息化、高效化水平，促进大数据与业务流程深度融合。加快发展数据要素市场，促进数字经济创新活动向生产领域渗透，运用新一代数字技术推进传统实体经济的数字化改造，推进数字产业化和产业数字化，推动产业链向中高端延伸，增强实体经济的核心竞争力。加强数字人才培养，</w:t>
      </w:r>
      <w:r>
        <w:rPr>
          <w:rFonts w:ascii="仿宋_GB2312" w:hAnsi="Times New Roman" w:eastAsia="仿宋_GB2312" w:cs="Times New Roman"/>
          <w:sz w:val="32"/>
          <w:szCs w:val="32"/>
        </w:rPr>
        <w:t>完善引才留才体系，实施数字经济人才发展三年行动计划</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鼓励高校院所、新型研发机构积极与驻区企业合作</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建立人才培养基地，实现资源共享、双向赋能</w:t>
      </w:r>
      <w:r>
        <w:rPr>
          <w:rFonts w:hint="eastAsia" w:ascii="仿宋_GB2312" w:hAnsi="Times New Roman" w:eastAsia="仿宋_GB2312" w:cs="Times New Roman"/>
          <w:sz w:val="32"/>
          <w:szCs w:val="32"/>
        </w:rPr>
        <w:t>。以大数据、云计算、人工智能等新一代信息技术为基础，加快推动宏济堂5G智能制造、甲骨文工业互联网基地等项目建设，推动数字经济和实体经济深度融合。</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53" w:name="_Toc123911401"/>
      <w:r>
        <w:rPr>
          <w:rFonts w:hint="eastAsia" w:ascii="黑体" w:hAnsi="黑体" w:eastAsia="黑体" w:cs="Times New Roman"/>
          <w:bCs/>
          <w:sz w:val="32"/>
          <w:szCs w:val="32"/>
        </w:rPr>
        <w:t>三、</w:t>
      </w:r>
      <w:bookmarkStart w:id="154" w:name="OLE_LINK56"/>
      <w:bookmarkStart w:id="155" w:name="OLE_LINK57"/>
      <w:r>
        <w:rPr>
          <w:rFonts w:hint="eastAsia" w:ascii="黑体" w:hAnsi="黑体" w:eastAsia="黑体" w:cs="Times New Roman"/>
          <w:bCs/>
          <w:sz w:val="32"/>
          <w:szCs w:val="32"/>
        </w:rPr>
        <w:t>数字政府</w:t>
      </w:r>
      <w:bookmarkEnd w:id="154"/>
      <w:bookmarkEnd w:id="155"/>
      <w:r>
        <w:rPr>
          <w:rFonts w:hint="eastAsia" w:ascii="黑体" w:hAnsi="黑体" w:eastAsia="黑体" w:cs="Times New Roman"/>
          <w:bCs/>
          <w:sz w:val="32"/>
          <w:szCs w:val="32"/>
        </w:rPr>
        <w:t>助力城乡现代化治理</w:t>
      </w:r>
      <w:bookmarkEnd w:id="153"/>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bookmarkStart w:id="156" w:name="_Toc3125"/>
      <w:r>
        <w:rPr>
          <w:rFonts w:hint="eastAsia" w:ascii="仿宋_GB2312" w:hAnsi="Times New Roman" w:eastAsia="仿宋_GB2312" w:cs="Times New Roman"/>
          <w:sz w:val="32"/>
          <w:szCs w:val="32"/>
        </w:rPr>
        <w:t>全面贯彻网络强国战略，把数字技术广泛应用于政府管理服务，推动政府数字化转型和服务型政府建设，优化行政流程，提高行政效能，降低行政成本，提升公共服务质量，为推进城市治理体系和治理能力现代化提供有力支撑。</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w:t>
      </w:r>
      <w:bookmarkStart w:id="157" w:name="OLE_LINK59"/>
      <w:bookmarkStart w:id="158" w:name="OLE_LINK58"/>
      <w:r>
        <w:rPr>
          <w:rFonts w:hint="eastAsia" w:ascii="楷体_GB2312" w:hAnsi="Times New Roman" w:eastAsia="楷体_GB2312" w:cs="Times New Roman"/>
          <w:sz w:val="32"/>
          <w:szCs w:val="32"/>
        </w:rPr>
        <w:t>实施数字政府强基工程</w:t>
      </w:r>
      <w:bookmarkEnd w:id="157"/>
      <w:bookmarkEnd w:id="158"/>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提升双千兆网络覆盖能力,实现数字政府建设政务上云100%任务,提高云资源利用水平。优化升级电子政务外网，推进村居（社区）政务外网全覆盖。完善城市管理综合指挥调度系统，建立健全大数据辅助决策长效机制，推动信息技术在监测预警、安全防控等领域深度应用，深化大数据在社会态势感知、综合分析、辅助决策等领域的示范应用。</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（二）打造智慧高效的服务政府。</w:t>
      </w:r>
      <w:r>
        <w:rPr>
          <w:rFonts w:hint="eastAsia" w:ascii="仿宋_GB2312" w:hAnsi="Times New Roman" w:eastAsia="仿宋_GB2312" w:cs="Times New Roman"/>
          <w:sz w:val="32"/>
          <w:szCs w:val="32"/>
        </w:rPr>
        <w:t>推动政务服务事项接入“爱山东”，推进政务服务数字化、标准化、规范化、便利化，智慧政务建设全面助力政府“数字服务力”提升。</w:t>
      </w:r>
      <w:r>
        <w:rPr>
          <w:rFonts w:ascii="仿宋_GB2312" w:hAnsi="Times New Roman" w:eastAsia="仿宋_GB2312" w:cs="Times New Roman"/>
          <w:sz w:val="32"/>
          <w:szCs w:val="32"/>
        </w:rPr>
        <w:t>打造“极简审批”历城模式</w:t>
      </w:r>
      <w:r>
        <w:rPr>
          <w:rFonts w:hint="eastAsia" w:ascii="仿宋_GB2312" w:hAnsi="Times New Roman" w:eastAsia="仿宋_GB2312" w:cs="Times New Roman"/>
          <w:sz w:val="32"/>
          <w:szCs w:val="32"/>
        </w:rPr>
        <w:t>，深化“一次办成”改革，</w:t>
      </w:r>
      <w:r>
        <w:rPr>
          <w:rFonts w:ascii="仿宋_GB2312" w:hAnsi="Times New Roman" w:eastAsia="仿宋_GB2312" w:cs="Times New Roman"/>
          <w:sz w:val="32"/>
          <w:szCs w:val="32"/>
        </w:rPr>
        <w:t>推进“全省通办</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跨省通办”，拓宽“一业一证”办理范围</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健全项目代办、限时办结、“容缺+承诺”等审批机制，实施“证照分离”改革，完善公正透明、宽进严管的行业准营规则。</w:t>
      </w:r>
      <w:r>
        <w:rPr>
          <w:rFonts w:hint="eastAsia" w:ascii="仿宋_GB2312" w:hAnsi="Times New Roman" w:eastAsia="仿宋_GB2312" w:cs="Times New Roman"/>
          <w:sz w:val="32"/>
          <w:szCs w:val="32"/>
        </w:rPr>
        <w:t>构建企业、市民诉求“接诉即办”快速响应机制，提高政务服务效能。</w:t>
      </w:r>
      <w:r>
        <w:rPr>
          <w:rFonts w:ascii="仿宋_GB2312" w:hAnsi="Times New Roman" w:eastAsia="仿宋_GB2312" w:cs="Times New Roman"/>
          <w:sz w:val="32"/>
          <w:szCs w:val="32"/>
        </w:rPr>
        <w:t>推动机关内部“一次办成”改革向纵深发展，内部事项和业务流程实现标准化和规范化</w:t>
      </w:r>
      <w:r>
        <w:rPr>
          <w:rFonts w:hint="eastAsia" w:ascii="仿宋_GB2312" w:hAnsi="Times New Roman" w:eastAsia="仿宋_GB2312" w:cs="Times New Roman"/>
          <w:sz w:val="32"/>
          <w:szCs w:val="32"/>
        </w:rPr>
        <w:t>。推进“无证明城市”建设，推广应用电子证照、电子印章，创新“就近办”模式，打造“24小时自助服务区”“8小时之外公共服务区”。到2025年，实现电子证照在政务服务中的使用率超过7</w:t>
      </w:r>
      <w:r>
        <w:rPr>
          <w:rFonts w:ascii="仿宋_GB2312" w:hAnsi="Times New Roman" w:eastAsia="仿宋_GB2312" w:cs="Times New Roman"/>
          <w:sz w:val="32"/>
          <w:szCs w:val="32"/>
        </w:rPr>
        <w:t>0</w:t>
      </w:r>
      <w:r>
        <w:rPr>
          <w:rFonts w:hint="eastAsia" w:ascii="仿宋_GB2312" w:hAnsi="Times New Roman" w:eastAsia="仿宋_GB2312" w:cs="Times New Roman"/>
          <w:sz w:val="32"/>
          <w:szCs w:val="32"/>
        </w:rPr>
        <w:t>%，依申请政务服务事项可网办率达到100%。</w:t>
      </w:r>
    </w:p>
    <w:p>
      <w:pPr>
        <w:pStyle w:val="4"/>
        <w:pageBreakBefore w:val="0"/>
        <w:widowControl w:val="0"/>
        <w:kinsoku/>
        <w:wordWrap/>
        <w:overflowPunct/>
        <w:topLinePunct w:val="0"/>
        <w:autoSpaceDE/>
        <w:autoSpaceDN/>
        <w:bidi w:val="0"/>
        <w:spacing w:line="580" w:lineRule="exact"/>
        <w:ind w:firstLine="640"/>
        <w:textAlignment w:val="auto"/>
        <w:rPr>
          <w:rFonts w:ascii="仿宋_GB2312" w:hAnsi="Times New Roman" w:eastAsia="仿宋_GB2312" w:cs="Times New Roman"/>
          <w:bCs w:val="0"/>
          <w:sz w:val="32"/>
          <w:szCs w:val="32"/>
        </w:rPr>
      </w:pPr>
      <w:r>
        <w:rPr>
          <w:rFonts w:hint="eastAsia" w:ascii="楷体_GB2312" w:hAnsi="Times New Roman" w:eastAsia="楷体_GB2312" w:cs="Times New Roman"/>
          <w:sz w:val="32"/>
          <w:szCs w:val="32"/>
        </w:rPr>
        <w:t>（三）推进一体化大数据平台建设。</w:t>
      </w:r>
      <w:r>
        <w:rPr>
          <w:rFonts w:hint="eastAsia" w:ascii="仿宋_GB2312" w:hAnsi="Times New Roman" w:eastAsia="仿宋_GB2312" w:cs="Times New Roman"/>
          <w:bCs w:val="0"/>
          <w:sz w:val="32"/>
          <w:szCs w:val="32"/>
        </w:rPr>
        <w:t>加快一体化大数据平台建设，</w:t>
      </w:r>
      <w:r>
        <w:rPr>
          <w:rFonts w:ascii="仿宋_GB2312" w:hAnsi="Times New Roman" w:eastAsia="仿宋_GB2312" w:cs="Times New Roman"/>
          <w:bCs w:val="0"/>
          <w:sz w:val="32"/>
          <w:szCs w:val="32"/>
        </w:rPr>
        <w:t>制定全区统一的信息化建设标准规范</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打破信息壁垒</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实现对数据的汇集、治理、整合，与国家和省、市各级大数据平台互联互通</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以场景化应用需求为切入点,实施一批特色化应用建设，构建共享、开放、融合、创新的大数据资源体系，形成“用数据说话、用数据决策、用数据管理、用数据创新”的管理机制，实现技术融合、业务融合和数据融合，推动政府决策科学化、社会治理精准化、公共服务高效化。</w:t>
      </w:r>
      <w:bookmarkEnd w:id="156"/>
      <w:bookmarkStart w:id="159" w:name="_Toc90328737"/>
      <w:bookmarkStart w:id="160" w:name="_Toc22561"/>
      <w:bookmarkStart w:id="161" w:name="_Toc762874198"/>
      <w:bookmarkStart w:id="162" w:name="_Toc90813734"/>
      <w:bookmarkStart w:id="163" w:name="_Toc91673395"/>
      <w:bookmarkStart w:id="164" w:name="_Toc17094"/>
      <w:bookmarkStart w:id="165" w:name="_Toc17657"/>
      <w:bookmarkStart w:id="166" w:name="_Toc720241090"/>
      <w:bookmarkStart w:id="167" w:name="_Toc15114"/>
      <w:bookmarkStart w:id="168" w:name="_Toc11078"/>
      <w:bookmarkStart w:id="169" w:name="_Toc90649742"/>
      <w:bookmarkStart w:id="170" w:name="_Toc11297"/>
      <w:bookmarkStart w:id="171" w:name="_Toc1782437737"/>
      <w:bookmarkStart w:id="172" w:name="_Toc611953843"/>
    </w:p>
    <w:p>
      <w:pPr>
        <w:pageBreakBefore w:val="0"/>
        <w:kinsoku/>
        <w:wordWrap/>
        <w:topLinePunct w:val="0"/>
        <w:bidi w:val="0"/>
        <w:spacing w:line="580" w:lineRule="exact"/>
        <w:textAlignment w:val="auto"/>
      </w:pP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ascii="黑体" w:hAnsi="黑体" w:eastAsia="黑体" w:cs="Times New Roman"/>
          <w:bCs/>
          <w:sz w:val="32"/>
          <w:szCs w:val="32"/>
        </w:rPr>
      </w:pPr>
      <w:bookmarkStart w:id="173" w:name="_Toc123911402"/>
      <w:r>
        <w:rPr>
          <w:rFonts w:hint="eastAsia" w:ascii="黑体" w:hAnsi="黑体" w:eastAsia="黑体" w:cs="Times New Roman"/>
          <w:bCs/>
          <w:sz w:val="32"/>
          <w:szCs w:val="32"/>
        </w:rPr>
        <w:t>四、</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hint="eastAsia" w:ascii="黑体" w:hAnsi="黑体" w:eastAsia="黑体" w:cs="Times New Roman"/>
          <w:bCs/>
          <w:sz w:val="32"/>
          <w:szCs w:val="32"/>
        </w:rPr>
        <w:t>智慧服务开启城乡美好生活</w:t>
      </w:r>
      <w:bookmarkEnd w:id="173"/>
    </w:p>
    <w:p>
      <w:pPr>
        <w:pageBreakBefore w:val="0"/>
        <w:kinsoku/>
        <w:wordWrap/>
        <w:topLinePunct w:val="0"/>
        <w:bidi w:val="0"/>
        <w:spacing w:line="580" w:lineRule="exact"/>
        <w:ind w:firstLine="640" w:firstLineChars="200"/>
        <w:textAlignment w:val="auto"/>
        <w:rPr>
          <w:rFonts w:ascii="楷体_GB2312" w:hAnsi="Times New Roman" w:eastAsia="楷体_GB2312" w:cs="Times New Roman"/>
          <w:sz w:val="32"/>
          <w:szCs w:val="32"/>
        </w:rPr>
      </w:pPr>
      <w:r>
        <w:rPr>
          <w:rFonts w:hint="eastAsia" w:ascii="仿宋_GB2312" w:hAnsi="Times New Roman" w:eastAsia="仿宋_GB2312" w:cs="Times New Roman"/>
          <w:sz w:val="32"/>
          <w:szCs w:val="32"/>
        </w:rPr>
        <w:t>推进互联网、大数据、区块链技术在教育、医疗、文体、交通等重点领域广泛应用，健全智慧服务体系，丰富民生领域</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智慧+</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应用场景，让群众共享城镇化数字转型发展成果。</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bookmarkStart w:id="174" w:name="OLE_LINK19"/>
      <w:bookmarkStart w:id="175" w:name="OLE_LINK18"/>
      <w:r>
        <w:rPr>
          <w:rFonts w:hint="eastAsia" w:ascii="楷体_GB2312" w:hAnsi="Times New Roman" w:eastAsia="楷体_GB2312" w:cs="Times New Roman"/>
          <w:sz w:val="32"/>
          <w:szCs w:val="32"/>
        </w:rPr>
        <w:t>（一）优化配置智慧化教育资源</w:t>
      </w:r>
      <w:bookmarkEnd w:id="174"/>
      <w:bookmarkEnd w:id="175"/>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加快建设智慧校园，实现校园有线无线互联互通，实行统一认证管理，构建课堂教学、教师教研、学生学习、管理评价、家校沟通、学校安全管理等一体化智能化的校园环境，推动教学应用覆盖全体教师、学习应用覆盖全体适龄学生、数字校园建设覆盖全体学校。加快建设“互联网+教育”大平台，推动教育信息技术与教学深度融合，加强“名师课堂”“名校网络课堂”“专递课堂”“在线开放课程”等信息化教育教学和教师教研新模式的探索与推广，加快优质教育资源向农村覆盖。推进基于大数据的课堂分析、学习分析技术试验,探索数字化教研环境、模式与机制建设。</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（二）搭建医疗保障信息化服务平台。</w:t>
      </w:r>
      <w:r>
        <w:rPr>
          <w:rFonts w:hint="eastAsia" w:ascii="仿宋_GB2312" w:hAnsi="Times New Roman" w:eastAsia="仿宋_GB2312" w:cs="Times New Roman"/>
          <w:sz w:val="32"/>
          <w:szCs w:val="32"/>
        </w:rPr>
        <w:t>推进医疗卫生机构信息化建设，完善医疗卫生综合信息系统功能，推动医疗卫生机构与二三级医院实现电子健康档案、电子病历、医学影像等信息共享。推动“互联网+医疗健康”发展，搭建智慧康养平台。完善线下大厅、网办大厅、自助终端、移动APP等社保服务系统，构建线上线下结合、上下层级贯通的社保服务体系。实施“智慧助老”行动，形成涵盖个人、家庭、养老服务机构、社区及专业医疗机构间的养老服务大数据，提供智慧化、个性化、多样化、便利化养老服务。</w:t>
      </w:r>
    </w:p>
    <w:p>
      <w:pPr>
        <w:pageBreakBefore w:val="0"/>
        <w:widowControl/>
        <w:kinsoku/>
        <w:wordWrap/>
        <w:topLinePunct w:val="0"/>
        <w:bidi w:val="0"/>
        <w:spacing w:line="580" w:lineRule="exact"/>
        <w:ind w:firstLine="640" w:firstLineChars="200"/>
        <w:textAlignment w:val="auto"/>
        <w:rPr>
          <w:rFonts w:ascii="等线" w:hAnsi="等线" w:eastAsia="仿宋_GB2312" w:cs="Times New Roman"/>
          <w:sz w:val="32"/>
          <w:szCs w:val="32"/>
        </w:rPr>
      </w:pPr>
      <w:r>
        <w:rPr>
          <w:rFonts w:hint="eastAsia" w:ascii="楷体_GB2312" w:hAnsi="Times New Roman" w:eastAsia="楷体_GB2312" w:cs="Times New Roman"/>
          <w:sz w:val="32"/>
          <w:szCs w:val="32"/>
        </w:rPr>
        <w:t>（三）推动文体服务智能化建设。</w:t>
      </w:r>
      <w:r>
        <w:rPr>
          <w:rFonts w:hint="eastAsia" w:ascii="仿宋_GB2312" w:hAnsi="Times New Roman" w:eastAsia="仿宋_GB2312" w:cs="Times New Roman"/>
          <w:sz w:val="32"/>
          <w:szCs w:val="32"/>
        </w:rPr>
        <w:t>丰富智慧文体服务，推动公共文化服务基础设施数字化建设，提高公共图书馆、文化馆、博物馆等数字信息化水平。探索“互联网+”的公共文化服务新模式，拓展公共文化服务方式和服务领域，实现对公众文化产品的普惠和精准投放。优化完善均衡的公共文化体育设施布局，推动城市文化体育设施智能化升级。推进全民健身智慧化建设，构建“15分钟智慧健身圈”，加强体育场馆信息化建设，提高资源配置率，提供线上预约、人脸识别、体温筛查、科学健身方案指导、健身知识传播等智能化网络服务。</w:t>
      </w:r>
    </w:p>
    <w:p>
      <w:pPr>
        <w:pageBreakBefore w:val="0"/>
        <w:kinsoku/>
        <w:wordWrap/>
        <w:topLinePunct w:val="0"/>
        <w:bidi w:val="0"/>
        <w:adjustRightInd w:val="0"/>
        <w:snapToGrid w:val="0"/>
        <w:spacing w:line="580" w:lineRule="exact"/>
        <w:ind w:firstLine="640" w:firstLineChars="200"/>
        <w:textAlignment w:val="auto"/>
        <w:rPr>
          <w:rFonts w:ascii="仿宋_GB2312" w:eastAsia="仿宋_GB2312"/>
          <w:sz w:val="32"/>
          <w:szCs w:val="32"/>
        </w:rPr>
      </w:pPr>
      <w:r>
        <w:rPr>
          <w:rFonts w:hint="eastAsia" w:ascii="楷体_GB2312" w:hAnsi="Times New Roman" w:eastAsia="楷体_GB2312" w:cs="Times New Roman"/>
          <w:sz w:val="32"/>
          <w:szCs w:val="32"/>
        </w:rPr>
        <w:t>（四）构建智慧交通服务系统。</w:t>
      </w:r>
      <w:r>
        <w:rPr>
          <w:rFonts w:hint="eastAsia" w:ascii="仿宋_GB2312" w:hAnsi="宋体" w:eastAsia="仿宋_GB2312" w:cs="仿宋_GB2312"/>
          <w:kern w:val="0"/>
          <w:sz w:val="32"/>
          <w:szCs w:val="32"/>
        </w:rPr>
        <w:t>以“全息感知、全线监管、全面协同、全程服务”为核心理念，依托济南市综合交通运行监测中心和智慧交通大数据中心，推进交通运输数字化、网络化、智能化，广泛应用交通基础设施自感知等新技术，</w:t>
      </w:r>
      <w:r>
        <w:rPr>
          <w:rFonts w:hint="eastAsia" w:ascii="仿宋_GB2312" w:hAnsi="Times New Roman" w:eastAsia="仿宋_GB2312" w:cs="Times New Roman"/>
          <w:sz w:val="32"/>
          <w:szCs w:val="32"/>
        </w:rPr>
        <w:t>优化提升重点路口交通设施及地面标线，推进交通管理精细化、智能化，</w:t>
      </w:r>
      <w:r>
        <w:rPr>
          <w:rFonts w:hint="eastAsia" w:ascii="仿宋_GB2312" w:hAnsi="宋体" w:eastAsia="仿宋_GB2312" w:cs="仿宋_GB2312"/>
          <w:kern w:val="0"/>
          <w:sz w:val="32"/>
          <w:szCs w:val="32"/>
        </w:rPr>
        <w:t>缓解城市交通拥堵。</w:t>
      </w:r>
      <w:r>
        <w:rPr>
          <w:rFonts w:hint="eastAsia" w:ascii="仿宋_GB2312" w:hAnsi="Times New Roman" w:eastAsia="仿宋_GB2312" w:cs="Times New Roman"/>
          <w:sz w:val="32"/>
          <w:szCs w:val="32"/>
        </w:rPr>
        <w:t>整合公共停车场资源</w:t>
      </w:r>
      <w:r>
        <w:rPr>
          <w:rFonts w:ascii="仿宋_GB2312" w:hAnsi="Times New Roman" w:eastAsia="仿宋_GB2312" w:cs="Times New Roman"/>
          <w:sz w:val="32"/>
          <w:szCs w:val="32"/>
        </w:rPr>
        <w:t>，</w:t>
      </w:r>
      <w:r>
        <w:rPr>
          <w:rFonts w:hint="eastAsia" w:ascii="仿宋_GB2312" w:eastAsia="仿宋_GB2312"/>
          <w:sz w:val="32"/>
          <w:szCs w:val="32"/>
        </w:rPr>
        <w:t>接入济南市智能停车管理平台，</w:t>
      </w:r>
      <w:r>
        <w:rPr>
          <w:rFonts w:hint="eastAsia" w:ascii="仿宋_GB2312" w:hAnsi="Times New Roman" w:eastAsia="仿宋_GB2312" w:cs="Times New Roman"/>
          <w:sz w:val="32"/>
          <w:szCs w:val="32"/>
        </w:rPr>
        <w:t>实现资源统筹利用和信息精准推送。提升农村公路智能安全防控标准，对荷花路、唐王中路、</w:t>
      </w:r>
      <w:r>
        <w:rPr>
          <w:rFonts w:hint="eastAsia" w:ascii="仿宋_GB2312" w:eastAsia="仿宋_GB2312"/>
          <w:sz w:val="32"/>
          <w:szCs w:val="32"/>
        </w:rPr>
        <w:t>旅游路、稼轩路、S102线、机场路等道路进行智能安全防控建设。</w:t>
      </w:r>
      <w:r>
        <w:rPr>
          <w:rFonts w:hint="eastAsia" w:ascii="仿宋_GB2312" w:hAnsi="Times New Roman" w:eastAsia="仿宋_GB2312" w:cs="Times New Roman"/>
          <w:sz w:val="32"/>
          <w:szCs w:val="32"/>
        </w:rPr>
        <w:t>高标准实施山大北路、山大路等智慧交通示范路工程，以大交通支撑城市品质功能提升。</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w:t>
      </w:r>
      <w:r>
        <w:rPr>
          <w:rFonts w:hint="eastAsia" w:ascii="楷体_GB2312" w:hAnsi="楷体_GB2312" w:eastAsia="楷体_GB2312" w:cs="楷体_GB2312"/>
          <w:sz w:val="32"/>
          <w:szCs w:val="32"/>
        </w:rPr>
        <w:t>实施数字乡村建设行动。</w:t>
      </w:r>
      <w:r>
        <w:rPr>
          <w:rFonts w:hint="eastAsia" w:ascii="仿宋_GB2312" w:hAnsi="仿宋_GB2312" w:eastAsia="仿宋_GB2312" w:cs="仿宋_GB2312"/>
          <w:sz w:val="32"/>
          <w:szCs w:val="32"/>
        </w:rPr>
        <w:t>加快乡村信息基础设施优化升级，深化农村光纤网络、移动通信网络、数字电视建设，提升</w:t>
      </w:r>
      <w:r>
        <w:rPr>
          <w:rFonts w:ascii="仿宋_GB2312" w:hAnsi="仿宋_GB2312" w:eastAsia="仿宋_GB2312" w:cs="仿宋_GB2312"/>
          <w:sz w:val="32"/>
          <w:szCs w:val="32"/>
        </w:rPr>
        <w:t>5G网络覆盖水平和千兆接入能力，到2025年，所有行政村基本实现5G全覆盖。</w:t>
      </w:r>
      <w:r>
        <w:rPr>
          <w:rFonts w:hint="eastAsia" w:ascii="仿宋_GB2312" w:eastAsia="仿宋_GB2312"/>
          <w:sz w:val="32"/>
          <w:szCs w:val="32"/>
        </w:rPr>
        <w:t>持续开展山东省数字乡村试点工作，推进乡村管理服务数字化，推进农村集体经济、集体资产、农村产权流转交易数字化管理。开展智慧农业技术示范应用，加快农业产业数字化提升</w:t>
      </w:r>
      <w:r>
        <w:rPr>
          <w:rFonts w:hint="eastAsia" w:ascii="仿宋_GB2312" w:hAnsi="仿宋_GB2312" w:eastAsia="仿宋_GB2312" w:cs="仿宋_GB2312"/>
          <w:sz w:val="32"/>
          <w:szCs w:val="32"/>
        </w:rPr>
        <w:t>。创新数字乡村治理，推进“互联网</w:t>
      </w:r>
      <w:r>
        <w:rPr>
          <w:rFonts w:ascii="仿宋_GB2312" w:hAnsi="仿宋_GB2312" w:eastAsia="仿宋_GB2312" w:cs="仿宋_GB2312"/>
          <w:sz w:val="32"/>
          <w:szCs w:val="32"/>
        </w:rPr>
        <w:t>+党建”，</w:t>
      </w:r>
      <w:r>
        <w:rPr>
          <w:rFonts w:hint="eastAsia" w:ascii="仿宋_GB2312" w:hAnsi="仿宋_GB2312" w:eastAsia="仿宋_GB2312" w:cs="仿宋_GB2312"/>
          <w:sz w:val="32"/>
          <w:szCs w:val="32"/>
        </w:rPr>
        <w:t>完善“互联网</w:t>
      </w:r>
      <w:r>
        <w:rPr>
          <w:rFonts w:ascii="仿宋_GB2312" w:hAnsi="仿宋_GB2312" w:eastAsia="仿宋_GB2312" w:cs="仿宋_GB2312"/>
          <w:sz w:val="32"/>
          <w:szCs w:val="32"/>
        </w:rPr>
        <w:t>+网格治理”服务管理模式，建设农村集体资产大数据库</w:t>
      </w:r>
      <w:bookmarkStart w:id="176" w:name="_Toc1130364688"/>
      <w:bookmarkStart w:id="177" w:name="_Toc729996582"/>
      <w:bookmarkStart w:id="178" w:name="_Toc2255"/>
      <w:bookmarkStart w:id="179" w:name="_Toc17180"/>
      <w:bookmarkStart w:id="180" w:name="_Toc90813746"/>
      <w:bookmarkStart w:id="181" w:name="_Toc90649754"/>
      <w:bookmarkStart w:id="182" w:name="_Toc93651853"/>
      <w:r>
        <w:rPr>
          <w:rFonts w:hint="eastAsia" w:ascii="仿宋_GB2312" w:hAnsi="Times New Roman" w:eastAsia="仿宋_GB2312" w:cs="Times New Roman"/>
          <w:sz w:val="32"/>
          <w:szCs w:val="32"/>
        </w:rPr>
        <w:t>，形成具有历城特色、全省领先的数字乡村试点区。</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183" w:name="_Toc24921"/>
      <w:bookmarkStart w:id="184" w:name="_Toc4203"/>
      <w:bookmarkStart w:id="185" w:name="_Toc8650"/>
      <w:bookmarkStart w:id="186" w:name="_Toc28355"/>
      <w:r>
        <w:rPr>
          <w:rFonts w:hint="eastAsia" w:ascii="方正小标宋简体" w:eastAsia="方正小标宋简体"/>
          <w:b w:val="0"/>
          <w:sz w:val="36"/>
          <w:szCs w:val="36"/>
        </w:rPr>
        <w:fldChar w:fldCharType="begin"/>
      </w:r>
      <w:r>
        <w:rPr>
          <w:rFonts w:hint="eastAsia" w:ascii="方正小标宋简体" w:eastAsia="方正小标宋简体"/>
          <w:b w:val="0"/>
          <w:sz w:val="36"/>
          <w:szCs w:val="36"/>
        </w:rPr>
        <w:instrText xml:space="preserve">HYPERLINK "../../../00微信/WeChat Files/wxid_n4yggc87raz022/FileStorage/微信/WeChat/WeChat Files/wxid_n4yggc87raz022/FileStorage/File/2021-12/济南 第四章、第七章第三节  20211213.docx" \l "_Toc11024"</w:instrText>
      </w:r>
      <w:r>
        <w:rPr>
          <w:rFonts w:hint="eastAsia" w:ascii="方正小标宋简体" w:eastAsia="方正小标宋简体"/>
          <w:b w:val="0"/>
          <w:sz w:val="36"/>
          <w:szCs w:val="36"/>
        </w:rPr>
        <w:fldChar w:fldCharType="separate"/>
      </w:r>
      <w:bookmarkStart w:id="187" w:name="_Toc90649744"/>
      <w:bookmarkStart w:id="188" w:name="_Toc90328739"/>
      <w:bookmarkStart w:id="189" w:name="_Toc90813736"/>
      <w:bookmarkStart w:id="190" w:name="_Toc91673397"/>
      <w:bookmarkStart w:id="191" w:name="_Toc123911403"/>
      <w:r>
        <w:rPr>
          <w:rFonts w:hint="eastAsia" w:ascii="方正小标宋简体" w:eastAsia="方正小标宋简体"/>
          <w:b w:val="0"/>
          <w:sz w:val="36"/>
          <w:szCs w:val="36"/>
        </w:rPr>
        <w:t>第四章 深入推进绿色城镇化</w:t>
      </w:r>
      <w:r>
        <w:rPr>
          <w:rFonts w:hint="eastAsia" w:ascii="方正小标宋简体" w:eastAsia="方正小标宋简体"/>
          <w:b w:val="0"/>
          <w:sz w:val="36"/>
          <w:szCs w:val="36"/>
        </w:rPr>
        <w:fldChar w:fldCharType="end"/>
      </w:r>
      <w:bookmarkEnd w:id="176"/>
      <w:bookmarkEnd w:id="177"/>
      <w:bookmarkEnd w:id="187"/>
      <w:bookmarkEnd w:id="188"/>
      <w:bookmarkEnd w:id="189"/>
      <w:bookmarkEnd w:id="190"/>
      <w:bookmarkStart w:id="192" w:name="_Toc494598212"/>
      <w:bookmarkEnd w:id="192"/>
      <w:bookmarkStart w:id="193" w:name="_Toc190464830"/>
      <w:bookmarkEnd w:id="193"/>
      <w:r>
        <w:rPr>
          <w:rFonts w:hint="eastAsia" w:ascii="方正小标宋简体" w:eastAsia="方正小标宋简体"/>
          <w:b w:val="0"/>
          <w:sz w:val="36"/>
          <w:szCs w:val="36"/>
        </w:rPr>
        <w:t xml:space="preserve"> 绘就宜居宜业生态历城</w:t>
      </w:r>
      <w:bookmarkEnd w:id="178"/>
      <w:bookmarkEnd w:id="179"/>
      <w:bookmarkEnd w:id="183"/>
      <w:bookmarkEnd w:id="184"/>
      <w:bookmarkEnd w:id="185"/>
      <w:bookmarkEnd w:id="186"/>
      <w:bookmarkEnd w:id="191"/>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坚持生态优先绿色发展，不断厚植高质量发展的生态底色，将绿色发展理念全面融入城镇化发展全过程，加快形成集约紧凑低碳的城市发展模式、产业结构和生活方式。以“绿城花城”和“</w:t>
      </w:r>
      <w:bookmarkStart w:id="194" w:name="OLE_LINK25"/>
      <w:bookmarkStart w:id="195" w:name="OLE_LINK22"/>
      <w:r>
        <w:rPr>
          <w:rFonts w:hint="eastAsia" w:ascii="仿宋_GB2312" w:hAnsi="Times New Roman" w:eastAsia="仿宋_GB2312" w:cs="Times New Roman"/>
          <w:sz w:val="32"/>
          <w:szCs w:val="32"/>
        </w:rPr>
        <w:t>千园之城</w:t>
      </w:r>
      <w:bookmarkEnd w:id="194"/>
      <w:bookmarkEnd w:id="195"/>
      <w:r>
        <w:rPr>
          <w:rFonts w:hint="eastAsia" w:ascii="仿宋_GB2312" w:hAnsi="Times New Roman" w:eastAsia="仿宋_GB2312" w:cs="Times New Roman"/>
          <w:sz w:val="32"/>
          <w:szCs w:val="32"/>
        </w:rPr>
        <w:t>”建设为抓手，加大生态建设和保护力度，</w:t>
      </w:r>
      <w:r>
        <w:rPr>
          <w:rFonts w:hint="eastAsia" w:ascii="仿宋_GB2312" w:hAnsi="宋体" w:eastAsia="仿宋_GB2312" w:cs="仿宋_GB2312"/>
          <w:sz w:val="32"/>
          <w:szCs w:val="32"/>
        </w:rPr>
        <w:t>努力打造“森林围城、绿道穿城、花景满城、四季绿城”的城市景观形象，</w:t>
      </w:r>
      <w:r>
        <w:rPr>
          <w:rFonts w:hint="eastAsia" w:ascii="仿宋_GB2312" w:hAnsi="Times New Roman" w:eastAsia="仿宋_GB2312" w:cs="Times New Roman"/>
          <w:sz w:val="32"/>
          <w:szCs w:val="32"/>
        </w:rPr>
        <w:t>建设人与自然和谐共生的宜居宜业生态历城。</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96" w:name="_Toc1859593390"/>
      <w:bookmarkStart w:id="197" w:name="_Toc90813737"/>
      <w:bookmarkStart w:id="198" w:name="_Toc27358"/>
      <w:bookmarkStart w:id="199" w:name="_Toc486200819"/>
      <w:bookmarkStart w:id="200" w:name="_Toc2323"/>
      <w:bookmarkStart w:id="201" w:name="_Toc6286"/>
      <w:bookmarkStart w:id="202" w:name="_Toc90649745"/>
      <w:bookmarkStart w:id="203" w:name="_Toc31713"/>
      <w:bookmarkStart w:id="204" w:name="_Toc2724"/>
      <w:bookmarkStart w:id="205" w:name="_Toc677271444"/>
      <w:bookmarkStart w:id="206" w:name="_Toc664048626"/>
      <w:bookmarkStart w:id="207" w:name="_Toc91673398"/>
      <w:bookmarkStart w:id="208" w:name="_Toc20215"/>
      <w:bookmarkStart w:id="209" w:name="_Toc123911404"/>
      <w:r>
        <w:rPr>
          <w:rFonts w:hint="eastAsia" w:ascii="黑体" w:hAnsi="黑体" w:eastAsia="黑体" w:cs="Times New Roman"/>
          <w:bCs/>
          <w:sz w:val="32"/>
          <w:szCs w:val="32"/>
        </w:rPr>
        <w:t>一、</w:t>
      </w:r>
      <w:bookmarkEnd w:id="196"/>
      <w:bookmarkEnd w:id="197"/>
      <w:bookmarkEnd w:id="198"/>
      <w:bookmarkEnd w:id="199"/>
      <w:bookmarkEnd w:id="200"/>
      <w:bookmarkEnd w:id="201"/>
      <w:bookmarkEnd w:id="202"/>
      <w:bookmarkEnd w:id="203"/>
      <w:bookmarkEnd w:id="204"/>
      <w:bookmarkEnd w:id="205"/>
      <w:bookmarkEnd w:id="206"/>
      <w:bookmarkEnd w:id="207"/>
      <w:bookmarkEnd w:id="208"/>
      <w:bookmarkStart w:id="210" w:name="OLE_LINK10"/>
      <w:bookmarkStart w:id="211" w:name="OLE_LINK8"/>
      <w:bookmarkStart w:id="212" w:name="OLE_LINK9"/>
      <w:r>
        <w:rPr>
          <w:rFonts w:hint="eastAsia" w:ascii="黑体" w:hAnsi="黑体" w:eastAsia="黑体" w:cs="Times New Roman"/>
          <w:bCs/>
          <w:sz w:val="32"/>
          <w:szCs w:val="32"/>
        </w:rPr>
        <w:t>创建守红线的精细善治之城</w:t>
      </w:r>
      <w:bookmarkEnd w:id="209"/>
      <w:bookmarkEnd w:id="210"/>
      <w:bookmarkEnd w:id="211"/>
      <w:bookmarkEnd w:id="212"/>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bookmarkStart w:id="213" w:name="OLE_LINK42"/>
      <w:bookmarkStart w:id="214" w:name="OLE_LINK43"/>
      <w:r>
        <w:rPr>
          <w:rFonts w:hint="eastAsia" w:ascii="仿宋_GB2312" w:hAnsi="Times New Roman" w:eastAsia="仿宋_GB2312" w:cs="Times New Roman"/>
          <w:sz w:val="32"/>
          <w:szCs w:val="32"/>
        </w:rPr>
        <w:t>强化国土空间规划的约束管控作用</w:t>
      </w:r>
      <w:bookmarkEnd w:id="213"/>
      <w:bookmarkEnd w:id="214"/>
      <w:r>
        <w:rPr>
          <w:rFonts w:hint="eastAsia" w:ascii="仿宋_GB2312" w:hAnsi="Times New Roman" w:eastAsia="仿宋_GB2312" w:cs="Times New Roman"/>
          <w:sz w:val="32"/>
          <w:szCs w:val="32"/>
        </w:rPr>
        <w:t>，健全用途管制，综合考虑人口、经济、生活和生态需要，合理确定城市规模和空间结构，加快推动城市结构优化、功能完善和品质提升，</w:t>
      </w:r>
      <w:r>
        <w:rPr>
          <w:rFonts w:hint="eastAsia" w:ascii="仿宋_GB2312" w:hAnsi="仿宋_GB2312" w:eastAsia="仿宋_GB2312" w:cs="仿宋_GB2312"/>
          <w:sz w:val="32"/>
          <w:szCs w:val="32"/>
        </w:rPr>
        <w:t>推动城市管理向城市治理转变。</w:t>
      </w:r>
    </w:p>
    <w:p>
      <w:pPr>
        <w:pageBreakBefore w:val="0"/>
        <w:kinsoku/>
        <w:wordWrap/>
        <w:topLinePunct w:val="0"/>
        <w:bidi w:val="0"/>
        <w:spacing w:line="580" w:lineRule="exact"/>
        <w:ind w:firstLine="640" w:firstLineChars="200"/>
        <w:textAlignment w:val="auto"/>
        <w:rPr>
          <w:rFonts w:ascii="仿宋_GB2312" w:hAnsi="宋体" w:eastAsia="仿宋_GB2312"/>
          <w:kern w:val="0"/>
          <w:sz w:val="32"/>
          <w:szCs w:val="32"/>
        </w:rPr>
      </w:pPr>
      <w:r>
        <w:rPr>
          <w:rFonts w:hint="eastAsia" w:ascii="楷体_GB2312" w:hAnsi="Times New Roman" w:eastAsia="楷体_GB2312" w:cs="Times New Roman"/>
          <w:sz w:val="32"/>
          <w:szCs w:val="32"/>
        </w:rPr>
        <w:t>（一）</w:t>
      </w:r>
      <w:bookmarkStart w:id="215" w:name="OLE_LINK61"/>
      <w:bookmarkStart w:id="216" w:name="OLE_LINK62"/>
      <w:r>
        <w:rPr>
          <w:rFonts w:hint="eastAsia" w:ascii="楷体_GB2312" w:hAnsi="Times New Roman" w:eastAsia="楷体_GB2312" w:cs="Times New Roman"/>
          <w:sz w:val="32"/>
          <w:szCs w:val="32"/>
        </w:rPr>
        <w:t>守住底线红线，留住绿水青山</w:t>
      </w:r>
      <w:bookmarkEnd w:id="215"/>
      <w:bookmarkEnd w:id="216"/>
      <w:r>
        <w:rPr>
          <w:rFonts w:hint="eastAsia" w:ascii="楷体_GB2312" w:hAnsi="Times New Roman" w:eastAsia="楷体_GB2312" w:cs="Times New Roman"/>
          <w:sz w:val="32"/>
          <w:szCs w:val="32"/>
        </w:rPr>
        <w:t>。</w:t>
      </w:r>
      <w:bookmarkStart w:id="217" w:name="OLE_LINK64"/>
      <w:bookmarkStart w:id="218" w:name="OLE_LINK63"/>
      <w:r>
        <w:rPr>
          <w:rFonts w:hint="eastAsia" w:ascii="仿宋_GB2312" w:hAnsi="Times New Roman" w:eastAsia="仿宋_GB2312" w:cs="Times New Roman"/>
          <w:sz w:val="32"/>
          <w:szCs w:val="32"/>
        </w:rPr>
        <w:t>在资源环境承载能力和国土空间开发适宜性评价的基础</w:t>
      </w:r>
      <w:bookmarkEnd w:id="217"/>
      <w:bookmarkEnd w:id="218"/>
      <w:r>
        <w:rPr>
          <w:rFonts w:hint="eastAsia" w:ascii="仿宋_GB2312" w:hAnsi="Times New Roman" w:eastAsia="仿宋_GB2312" w:cs="Times New Roman"/>
          <w:sz w:val="32"/>
          <w:szCs w:val="32"/>
        </w:rPr>
        <w:t>上，科学有序统筹布局生态、农业、城镇等功能空间，划定生态保护红线、永久基本农田、城镇开发边界等空间管控边界，强化底线约束，预留可持续发展空间。</w:t>
      </w:r>
      <w:bookmarkStart w:id="219" w:name="OLE_LINK70"/>
      <w:bookmarkStart w:id="220" w:name="OLE_LINK69"/>
      <w:r>
        <w:rPr>
          <w:rFonts w:hint="eastAsia" w:ascii="仿宋_GB2312" w:hAnsi="宋体" w:eastAsia="仿宋_GB2312"/>
          <w:kern w:val="0"/>
          <w:sz w:val="32"/>
          <w:szCs w:val="32"/>
        </w:rPr>
        <w:t>统筹</w:t>
      </w:r>
      <w:bookmarkStart w:id="221" w:name="OLE_LINK73"/>
      <w:bookmarkStart w:id="222" w:name="OLE_LINK74"/>
      <w:r>
        <w:rPr>
          <w:rFonts w:hint="eastAsia" w:ascii="仿宋_GB2312" w:hAnsi="宋体" w:eastAsia="仿宋_GB2312"/>
          <w:kern w:val="0"/>
          <w:sz w:val="32"/>
          <w:szCs w:val="32"/>
        </w:rPr>
        <w:t>协调</w:t>
      </w:r>
      <w:bookmarkStart w:id="223" w:name="OLE_LINK65"/>
      <w:bookmarkStart w:id="224" w:name="OLE_LINK66"/>
      <w:r>
        <w:rPr>
          <w:rFonts w:hint="eastAsia" w:ascii="仿宋_GB2312" w:hAnsi="宋体" w:eastAsia="仿宋_GB2312"/>
          <w:kern w:val="0"/>
          <w:sz w:val="32"/>
          <w:szCs w:val="32"/>
        </w:rPr>
        <w:t>山水林田湖草</w:t>
      </w:r>
      <w:bookmarkEnd w:id="221"/>
      <w:bookmarkEnd w:id="222"/>
      <w:bookmarkEnd w:id="223"/>
      <w:bookmarkEnd w:id="224"/>
      <w:r>
        <w:rPr>
          <w:rFonts w:hint="eastAsia" w:ascii="仿宋_GB2312" w:hAnsi="宋体" w:eastAsia="仿宋_GB2312"/>
          <w:kern w:val="0"/>
          <w:sz w:val="32"/>
          <w:szCs w:val="32"/>
        </w:rPr>
        <w:t>生态要素和“山泉湖河城”独特禀赋，优化国土空间开发保护格局，系统推进污染防治，全面改善生态环境，促进经济社会发展全面绿色转型。</w:t>
      </w:r>
      <w:r>
        <w:rPr>
          <w:rFonts w:hint="eastAsia" w:ascii="仿宋_GB2312" w:hAnsi="宋体" w:eastAsia="仿宋_GB2312" w:cs="仿宋_GB2312"/>
          <w:kern w:val="0"/>
          <w:sz w:val="32"/>
          <w:szCs w:val="32"/>
        </w:rPr>
        <w:t>开展大规模国土绿化行动，加快水土流失综合治理，保护生物多样性，筑牢生态安全屏障</w:t>
      </w:r>
      <w:bookmarkEnd w:id="219"/>
      <w:bookmarkEnd w:id="220"/>
      <w:r>
        <w:rPr>
          <w:rFonts w:hint="eastAsia" w:ascii="仿宋_GB2312" w:hAnsi="宋体" w:eastAsia="仿宋_GB2312" w:cs="仿宋_GB2312"/>
          <w:kern w:val="0"/>
          <w:sz w:val="32"/>
          <w:szCs w:val="32"/>
        </w:rPr>
        <w:t>。推进山体生态修复，</w:t>
      </w:r>
      <w:bookmarkStart w:id="225" w:name="OLE_LINK72"/>
      <w:bookmarkStart w:id="226" w:name="OLE_LINK71"/>
      <w:r>
        <w:rPr>
          <w:rFonts w:hint="eastAsia" w:ascii="仿宋_GB2312" w:hAnsi="宋体" w:eastAsia="仿宋_GB2312" w:cs="仿宋_GB2312"/>
          <w:kern w:val="0"/>
          <w:sz w:val="32"/>
          <w:szCs w:val="32"/>
        </w:rPr>
        <w:t>保护和修复黄河生态环境，打造黄河生态风貌带，</w:t>
      </w:r>
      <w:bookmarkEnd w:id="225"/>
      <w:bookmarkEnd w:id="226"/>
      <w:r>
        <w:rPr>
          <w:rFonts w:hint="eastAsia" w:ascii="仿宋_GB2312" w:hAnsi="宋体" w:eastAsia="仿宋_GB2312" w:cs="仿宋_GB2312"/>
          <w:kern w:val="0"/>
          <w:sz w:val="32"/>
          <w:szCs w:val="32"/>
        </w:rPr>
        <w:t>加强森林、河流、湖泊、湿地等自然生态保护。</w:t>
      </w:r>
    </w:p>
    <w:p>
      <w:pPr>
        <w:pageBreakBefore w:val="0"/>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（二）优化城市形象，塑造城市品质。</w:t>
      </w:r>
      <w:r>
        <w:rPr>
          <w:rFonts w:hint="eastAsia" w:ascii="仿宋_GB2312" w:hAnsi="宋体" w:eastAsia="仿宋_GB2312"/>
          <w:kern w:val="0"/>
          <w:sz w:val="32"/>
          <w:szCs w:val="32"/>
        </w:rPr>
        <w:t>全面提升城市品质，打造宜居宜业城市环境，让城市更富活力、更具品味、更显温度。</w:t>
      </w:r>
      <w:r>
        <w:rPr>
          <w:rFonts w:hint="eastAsia" w:ascii="仿宋_GB2312" w:hAnsi="Times New Roman" w:eastAsia="仿宋_GB2312" w:cs="Times New Roman"/>
          <w:sz w:val="32"/>
          <w:szCs w:val="32"/>
        </w:rPr>
        <w:t>精准实施城市更新行动，</w:t>
      </w:r>
      <w:bookmarkStart w:id="227" w:name="OLE_LINK49"/>
      <w:bookmarkStart w:id="228" w:name="OLE_LINK50"/>
      <w:r>
        <w:rPr>
          <w:rFonts w:hint="eastAsia" w:ascii="仿宋_GB2312" w:hAnsi="Times New Roman" w:eastAsia="仿宋_GB2312" w:cs="Times New Roman"/>
          <w:sz w:val="32"/>
          <w:szCs w:val="32"/>
        </w:rPr>
        <w:t>加快推动城市结构优化和功能完善，</w:t>
      </w:r>
      <w:bookmarkEnd w:id="227"/>
      <w:bookmarkEnd w:id="228"/>
      <w:r>
        <w:rPr>
          <w:rFonts w:hint="eastAsia" w:ascii="仿宋_GB2312" w:hAnsi="Times New Roman" w:eastAsia="仿宋_GB2312" w:cs="Times New Roman"/>
          <w:sz w:val="32"/>
          <w:szCs w:val="32"/>
        </w:rPr>
        <w:t>优化老城区城市肌理和功能风貌，建设宜居、绿色、韧性、智慧、人文城市，推动精致城区建设。聚力打造“全福河特色风貌带”，依托河道水系串联周边区域，实施岸线整治、景观提升、功能重塑，着力打造绿色生态廊道、滨水休闲连廊、城市科创走廊。聚力建设“东风产城融合示范区”，改造花园路、辛祝路周边环境，推动化纤厂、洪苑、百花等片区提升。</w:t>
      </w:r>
      <w:r>
        <w:rPr>
          <w:rFonts w:hint="eastAsia" w:ascii="仿宋_GB2312" w:hAnsi="仿宋_GB2312" w:eastAsia="仿宋_GB2312" w:cs="仿宋_GB2312"/>
          <w:sz w:val="32"/>
          <w:szCs w:val="32"/>
        </w:rPr>
        <w:t>推进城市道路环境精细化管理，抓好市政设施、园林绿化、环境卫生、城市家具、空间立面、广告牌匾、街面秩序等整治提升，全面提升城市建设品质。</w:t>
      </w:r>
    </w:p>
    <w:p>
      <w:pPr>
        <w:pageBreakBefore w:val="0"/>
        <w:kinsoku/>
        <w:wordWrap/>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（三）</w:t>
      </w:r>
      <w:bookmarkStart w:id="229" w:name="OLE_LINK6"/>
      <w:bookmarkStart w:id="230" w:name="OLE_LINK7"/>
      <w:r>
        <w:rPr>
          <w:rFonts w:hint="eastAsia" w:ascii="楷体_GB2312" w:hAnsi="Times New Roman" w:eastAsia="楷体_GB2312" w:cs="Times New Roman"/>
          <w:sz w:val="32"/>
          <w:szCs w:val="32"/>
        </w:rPr>
        <w:t>加强城市管理，提升善治水平</w:t>
      </w:r>
      <w:bookmarkEnd w:id="229"/>
      <w:bookmarkEnd w:id="230"/>
      <w:r>
        <w:rPr>
          <w:rFonts w:hint="eastAsia" w:ascii="楷体_GB2312" w:hAnsi="Times New Roman" w:eastAsia="楷体_GB2312" w:cs="Times New Roman"/>
          <w:sz w:val="32"/>
          <w:szCs w:val="32"/>
        </w:rPr>
        <w:t>。</w:t>
      </w:r>
      <w:bookmarkStart w:id="231" w:name="OLE_LINK48"/>
      <w:r>
        <w:rPr>
          <w:rFonts w:hint="eastAsia" w:ascii="仿宋_GB2312" w:hAnsi="仿宋_GB2312" w:eastAsia="仿宋_GB2312" w:cs="仿宋_GB2312"/>
          <w:sz w:val="32"/>
          <w:szCs w:val="32"/>
        </w:rPr>
        <w:t>推动城市管理向城市治理转变</w:t>
      </w:r>
      <w:bookmarkEnd w:id="231"/>
      <w:r>
        <w:rPr>
          <w:rFonts w:hint="eastAsia" w:ascii="仿宋_GB2312" w:hAnsi="仿宋_GB2312" w:eastAsia="仿宋_GB2312" w:cs="仿宋_GB2312"/>
          <w:sz w:val="32"/>
          <w:szCs w:val="32"/>
        </w:rPr>
        <w:t>，提升城市善治水平</w:t>
      </w:r>
      <w:r>
        <w:rPr>
          <w:rFonts w:hint="eastAsia" w:ascii="仿宋_GB2312" w:hAnsi="宋体" w:eastAsia="仿宋_GB2312" w:cs="仿宋_GB2312"/>
          <w:kern w:val="0"/>
          <w:sz w:val="32"/>
          <w:szCs w:val="32"/>
        </w:rPr>
        <w:t>。开展城市“微改造”“微更新”，强化智能交通应用和道路停车秩序管理，下大气力解决交通拥堵、乱停乱放等城市顽疾。抓</w:t>
      </w:r>
      <w:bookmarkStart w:id="232" w:name="OLE_LINK79"/>
      <w:bookmarkStart w:id="233" w:name="OLE_LINK80"/>
      <w:r>
        <w:rPr>
          <w:rFonts w:hint="eastAsia" w:ascii="仿宋_GB2312" w:hAnsi="宋体" w:eastAsia="仿宋_GB2312" w:cs="仿宋_GB2312"/>
          <w:kern w:val="0"/>
          <w:sz w:val="32"/>
          <w:szCs w:val="32"/>
        </w:rPr>
        <w:t>好城市体</w:t>
      </w:r>
      <w:bookmarkEnd w:id="232"/>
      <w:bookmarkEnd w:id="233"/>
      <w:r>
        <w:rPr>
          <w:rFonts w:hint="eastAsia" w:ascii="仿宋_GB2312" w:hAnsi="宋体" w:eastAsia="仿宋_GB2312" w:cs="仿宋_GB2312"/>
          <w:kern w:val="0"/>
          <w:sz w:val="32"/>
          <w:szCs w:val="32"/>
        </w:rPr>
        <w:t>检，持续开展市容环境和城市出入口、“三高”沿线等重点区域综合整治，全面提升绿化水平，让城市更加靓丽。</w:t>
      </w:r>
      <w:r>
        <w:rPr>
          <w:rFonts w:hint="eastAsia" w:ascii="仿宋_GB2312" w:hAnsi="宋体" w:eastAsia="仿宋_GB2312" w:cs="仿宋_GB2312"/>
          <w:sz w:val="32"/>
          <w:szCs w:val="32"/>
        </w:rPr>
        <w:t>加大清违清临力度</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持续推进无违建街道提档升级</w:t>
      </w:r>
      <w:r>
        <w:rPr>
          <w:rFonts w:hint="eastAsia" w:ascii="仿宋_GB2312" w:hAnsi="宋体" w:eastAsia="仿宋_GB2312" w:cs="仿宋_GB2312"/>
          <w:kern w:val="0"/>
          <w:sz w:val="32"/>
          <w:szCs w:val="32"/>
        </w:rPr>
        <w:t>，实现违建零增长。</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234" w:name="_Toc13476"/>
      <w:bookmarkStart w:id="235" w:name="_Toc91673399"/>
      <w:bookmarkStart w:id="236" w:name="_Toc29833"/>
      <w:bookmarkStart w:id="237" w:name="_Toc90328741"/>
      <w:bookmarkStart w:id="238" w:name="_Toc700872405"/>
      <w:bookmarkStart w:id="239" w:name="_Toc25995"/>
      <w:bookmarkStart w:id="240" w:name="_Toc5663"/>
      <w:bookmarkStart w:id="241" w:name="_Toc2686"/>
      <w:bookmarkStart w:id="242" w:name="_Toc10628"/>
      <w:bookmarkStart w:id="243" w:name="_Toc1016615621"/>
      <w:bookmarkStart w:id="244" w:name="_Toc1050929346"/>
      <w:bookmarkStart w:id="245" w:name="_Toc1279621530"/>
      <w:bookmarkStart w:id="246" w:name="_Toc90649746"/>
      <w:bookmarkStart w:id="247" w:name="_Toc90813738"/>
      <w:bookmarkStart w:id="248" w:name="_Toc26255"/>
      <w:bookmarkStart w:id="249" w:name="_Toc123911405"/>
      <w:r>
        <w:rPr>
          <w:rFonts w:hint="eastAsia" w:ascii="黑体" w:hAnsi="黑体" w:eastAsia="黑体" w:cs="Times New Roman"/>
          <w:bCs/>
          <w:sz w:val="32"/>
          <w:szCs w:val="32"/>
        </w:rPr>
        <w:t>二、</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Start w:id="250" w:name="OLE_LINK3"/>
      <w:r>
        <w:rPr>
          <w:rFonts w:hint="eastAsia" w:ascii="黑体" w:hAnsi="黑体" w:eastAsia="黑体" w:cs="Times New Roman"/>
          <w:bCs/>
          <w:sz w:val="32"/>
          <w:szCs w:val="32"/>
        </w:rPr>
        <w:t>建设有魅力的绿色低碳之城</w:t>
      </w:r>
      <w:bookmarkEnd w:id="249"/>
      <w:bookmarkEnd w:id="250"/>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坚持“绿水青山就是金山银山”理念</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严守生态保护红线，建设天蓝地绿山清水秀的生态环境，以实现“双碳”倒逼改革，促进城镇化全面绿色转型，加强环境整治力度，打造功能完善、现代时尚的美好生活示范区。</w:t>
      </w:r>
    </w:p>
    <w:p>
      <w:pPr>
        <w:pageBreakBefore w:val="0"/>
        <w:kinsoku/>
        <w:wordWrap/>
        <w:topLinePunct w:val="0"/>
        <w:bidi w:val="0"/>
        <w:adjustRightInd w:val="0"/>
        <w:snapToGrid w:val="0"/>
        <w:spacing w:line="580" w:lineRule="exact"/>
        <w:ind w:firstLine="640" w:firstLineChars="200"/>
        <w:textAlignment w:val="auto"/>
        <w:rPr>
          <w:rFonts w:ascii="仿宋_GB2312" w:hAnsi="仿宋" w:eastAsia="仿宋_GB2312" w:cs="Times New Roman"/>
          <w:bCs/>
          <w:sz w:val="32"/>
          <w:szCs w:val="32"/>
        </w:rPr>
      </w:pPr>
      <w:r>
        <w:rPr>
          <w:rFonts w:hint="eastAsia" w:ascii="楷体_GB2312" w:hAnsi="Times New Roman" w:eastAsia="楷体_GB2312" w:cs="Times New Roman"/>
          <w:sz w:val="32"/>
          <w:szCs w:val="32"/>
        </w:rPr>
        <w:t>（一）完善城乡环境设施体系。</w:t>
      </w:r>
      <w:r>
        <w:rPr>
          <w:rFonts w:hint="eastAsia" w:ascii="仿宋_GB2312" w:hAnsi="仿宋" w:eastAsia="仿宋_GB2312" w:cs="Times New Roman"/>
          <w:bCs/>
          <w:sz w:val="32"/>
          <w:szCs w:val="32"/>
        </w:rPr>
        <w:t>以国家黑臭水体治理示范城市建设和小清河环境综合整治为抓手，推进河道黑臭水体整治工程和农村生活污水治理工程，</w:t>
      </w:r>
      <w:r>
        <w:rPr>
          <w:rFonts w:ascii="仿宋_GB2312" w:hAnsi="仿宋" w:eastAsia="仿宋_GB2312" w:cs="Times New Roman"/>
          <w:bCs/>
          <w:sz w:val="32"/>
          <w:szCs w:val="32"/>
        </w:rPr>
        <w:t>到2025年农村生活污水治理率达到80%</w:t>
      </w:r>
      <w:r>
        <w:rPr>
          <w:rFonts w:ascii="仿宋_GB2312" w:eastAsia="仿宋_GB2312"/>
          <w:sz w:val="32"/>
          <w:szCs w:val="32"/>
        </w:rPr>
        <w:t>。开展老城区污水管网检测修复，完成市政道路现有雨污合流管网改造，消除老城区和城乡结合部雨污合流区，以及混接错接小区的雨污混接点，结合市政道路建设同步敷设排水管线</w:t>
      </w:r>
      <w:r>
        <w:rPr>
          <w:rFonts w:hint="eastAsia" w:ascii="仿宋_GB2312" w:eastAsia="仿宋_GB2312"/>
          <w:sz w:val="32"/>
          <w:szCs w:val="32"/>
        </w:rPr>
        <w:t>。</w:t>
      </w:r>
      <w:r>
        <w:rPr>
          <w:rFonts w:hint="eastAsia" w:ascii="仿宋_GB2312" w:hAnsi="仿宋" w:eastAsia="仿宋_GB2312" w:cs="Times New Roman"/>
          <w:bCs/>
          <w:sz w:val="32"/>
          <w:szCs w:val="32"/>
        </w:rPr>
        <w:t>建设雨水收集入渗工程，加强雨洪资源以及非常规水源利用。</w:t>
      </w:r>
      <w:r>
        <w:rPr>
          <w:rFonts w:ascii="仿宋_GB2312" w:eastAsia="仿宋_GB2312"/>
          <w:sz w:val="32"/>
          <w:szCs w:val="32"/>
        </w:rPr>
        <w:t>推进再生水厂、主干管网建设，推广再生水</w:t>
      </w:r>
      <w:r>
        <w:rPr>
          <w:rFonts w:ascii="仿宋_GB2312" w:hAnsi="仿宋" w:eastAsia="仿宋_GB2312" w:cs="Times New Roman"/>
          <w:bCs/>
          <w:sz w:val="32"/>
          <w:szCs w:val="32"/>
        </w:rPr>
        <w:t>管网覆盖范围内城市绿化浇灌、市政道路浇洒和河湖湿地使用再生水</w:t>
      </w:r>
      <w:r>
        <w:rPr>
          <w:rFonts w:hint="eastAsia" w:ascii="仿宋_GB2312" w:hAnsi="仿宋" w:eastAsia="仿宋_GB2312" w:cs="Times New Roman"/>
          <w:bCs/>
          <w:sz w:val="32"/>
          <w:szCs w:val="32"/>
        </w:rPr>
        <w:t>，到2025年</w:t>
      </w:r>
      <w:r>
        <w:rPr>
          <w:rFonts w:ascii="仿宋_GB2312" w:hAnsi="仿宋" w:eastAsia="仿宋_GB2312" w:cs="Times New Roman"/>
          <w:bCs/>
          <w:sz w:val="32"/>
          <w:szCs w:val="32"/>
        </w:rPr>
        <w:t>城</w:t>
      </w:r>
      <w:r>
        <w:rPr>
          <w:rFonts w:hint="eastAsia" w:ascii="仿宋_GB2312" w:hAnsi="仿宋" w:eastAsia="仿宋_GB2312" w:cs="Times New Roman"/>
          <w:bCs/>
          <w:sz w:val="32"/>
          <w:szCs w:val="32"/>
        </w:rPr>
        <w:t>市</w:t>
      </w:r>
      <w:r>
        <w:rPr>
          <w:rFonts w:ascii="仿宋_GB2312" w:hAnsi="仿宋" w:eastAsia="仿宋_GB2312" w:cs="Times New Roman"/>
          <w:bCs/>
          <w:sz w:val="32"/>
          <w:szCs w:val="32"/>
        </w:rPr>
        <w:t>再生水利用率达到</w:t>
      </w:r>
      <w:r>
        <w:rPr>
          <w:rFonts w:hint="eastAsia" w:ascii="仿宋_GB2312" w:hAnsi="仿宋" w:eastAsia="仿宋_GB2312" w:cs="Times New Roman"/>
          <w:bCs/>
          <w:sz w:val="32"/>
          <w:szCs w:val="32"/>
        </w:rPr>
        <w:t>50%，</w:t>
      </w:r>
      <w:r>
        <w:rPr>
          <w:rFonts w:ascii="仿宋_GB2312" w:hAnsi="仿宋" w:eastAsia="仿宋_GB2312" w:cs="Times New Roman"/>
          <w:bCs/>
          <w:sz w:val="32"/>
          <w:szCs w:val="32"/>
        </w:rPr>
        <w:t>到</w:t>
      </w:r>
      <w:r>
        <w:rPr>
          <w:rFonts w:hint="eastAsia" w:ascii="仿宋_GB2312" w:hAnsi="仿宋" w:eastAsia="仿宋_GB2312" w:cs="Times New Roman"/>
          <w:bCs/>
          <w:sz w:val="32"/>
          <w:szCs w:val="32"/>
        </w:rPr>
        <w:t>2035年</w:t>
      </w:r>
      <w:r>
        <w:rPr>
          <w:rFonts w:ascii="仿宋_GB2312" w:hAnsi="仿宋" w:eastAsia="仿宋_GB2312" w:cs="Times New Roman"/>
          <w:bCs/>
          <w:sz w:val="32"/>
          <w:szCs w:val="32"/>
        </w:rPr>
        <w:t>城</w:t>
      </w:r>
      <w:r>
        <w:rPr>
          <w:rFonts w:hint="eastAsia" w:ascii="仿宋_GB2312" w:hAnsi="仿宋" w:eastAsia="仿宋_GB2312" w:cs="Times New Roman"/>
          <w:bCs/>
          <w:sz w:val="32"/>
          <w:szCs w:val="32"/>
        </w:rPr>
        <w:t>市</w:t>
      </w:r>
      <w:r>
        <w:rPr>
          <w:rFonts w:ascii="仿宋_GB2312" w:hAnsi="仿宋" w:eastAsia="仿宋_GB2312" w:cs="Times New Roman"/>
          <w:bCs/>
          <w:sz w:val="32"/>
          <w:szCs w:val="32"/>
        </w:rPr>
        <w:t>再生水利用率达到</w:t>
      </w:r>
      <w:r>
        <w:rPr>
          <w:rFonts w:hint="eastAsia" w:ascii="仿宋_GB2312" w:hAnsi="仿宋" w:eastAsia="仿宋_GB2312" w:cs="Times New Roman"/>
          <w:bCs/>
          <w:sz w:val="32"/>
          <w:szCs w:val="32"/>
        </w:rPr>
        <w:t>65%。推</w:t>
      </w:r>
      <w:r>
        <w:rPr>
          <w:rFonts w:hint="eastAsia" w:ascii="仿宋_GB2312" w:hAnsi="宋体" w:eastAsia="仿宋_GB2312" w:cs="仿宋_GB2312"/>
          <w:kern w:val="0"/>
          <w:sz w:val="32"/>
          <w:szCs w:val="32"/>
        </w:rPr>
        <w:t>进生活垃圾分类网点和废旧物资回收网点“两网融合”，探索试点农村生活垃圾就地资源化利用新途径，到2025年，全区</w:t>
      </w:r>
      <w:r>
        <w:rPr>
          <w:rFonts w:hint="eastAsia" w:ascii="仿宋_GB2312" w:hAnsi="宋体" w:eastAsia="仿宋_GB2312" w:cs="仿宋_GB2312"/>
          <w:sz w:val="32"/>
          <w:szCs w:val="32"/>
        </w:rPr>
        <w:t>生活垃圾无害化处理率达到100%，</w:t>
      </w:r>
      <w:r>
        <w:rPr>
          <w:rFonts w:hint="eastAsia" w:ascii="仿宋_GB2312" w:hAnsi="宋体" w:eastAsia="仿宋_GB2312" w:cs="仿宋_GB2312"/>
          <w:kern w:val="0"/>
          <w:sz w:val="32"/>
          <w:szCs w:val="32"/>
        </w:rPr>
        <w:t>实现生活垃圾“零填埋”。</w:t>
      </w:r>
    </w:p>
    <w:p>
      <w:pPr>
        <w:pStyle w:val="11"/>
        <w:pageBreakBefore w:val="0"/>
        <w:widowControl/>
        <w:kinsoku/>
        <w:wordWrap/>
        <w:overflowPunct w:val="0"/>
        <w:topLinePunct w:val="0"/>
        <w:bidi w:val="0"/>
        <w:spacing w:beforeAutospacing="0" w:afterAutospacing="0" w:line="580" w:lineRule="exact"/>
        <w:ind w:firstLine="640" w:firstLineChars="200"/>
        <w:jc w:val="both"/>
        <w:textAlignment w:val="auto"/>
        <w:rPr>
          <w:rFonts w:ascii="楷体_GB2312" w:hAnsi="Times New Roman" w:eastAsia="仿宋_GB2312"/>
          <w:sz w:val="32"/>
          <w:szCs w:val="32"/>
        </w:rPr>
      </w:pPr>
      <w:r>
        <w:rPr>
          <w:rFonts w:hint="eastAsia" w:ascii="楷体_GB2312" w:hAnsi="Times New Roman" w:eastAsia="楷体_GB2312"/>
          <w:sz w:val="32"/>
          <w:szCs w:val="32"/>
        </w:rPr>
        <w:t>（二）全面加大节能降碳力度。</w:t>
      </w:r>
      <w:r>
        <w:rPr>
          <w:rFonts w:hint="eastAsia" w:ascii="仿宋_GB2312" w:hAnsi="仿宋_GB2312" w:eastAsia="仿宋_GB2312" w:cs="仿宋_GB2312"/>
          <w:sz w:val="32"/>
          <w:szCs w:val="32"/>
        </w:rPr>
        <w:t>制定碳达峰工作方案和重点领域碳达峰行动方案，</w:t>
      </w:r>
      <w:r>
        <w:rPr>
          <w:rFonts w:hint="eastAsia" w:ascii="仿宋_GB2312" w:hAnsi="宋体" w:eastAsia="仿宋_GB2312" w:cs="仿宋_GB2312"/>
          <w:sz w:val="32"/>
          <w:szCs w:val="32"/>
        </w:rPr>
        <w:t>推动实现减污降碳协同效应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shd w:val="clear" w:color="auto" w:fill="FFFFFF"/>
        </w:rPr>
        <w:t>严格管控高耗能、高排放项目，实施“四减四增”行动，完成节能、减排、降碳目标任务。实施空气质量提升行动，开展“压煤、抑尘、减排、治污”等专项治理，巩固重污染天气消除、柴油货车污染治理攻坚成果，实现空气质量稳步提升。加快构建改善生态环境常态长效机制，严格执行企业环境信用评价制度，推动减污降碳协同增效。</w:t>
      </w:r>
      <w:r>
        <w:rPr>
          <w:rFonts w:hint="eastAsia" w:ascii="仿宋_GB2312" w:hAnsi="Times New Roman" w:eastAsia="仿宋_GB2312"/>
          <w:sz w:val="32"/>
          <w:szCs w:val="32"/>
        </w:rPr>
        <w:t>大力发展清洁能源、节能环保等绿色新兴产业，发展太阳能光伏和风能利用等分布式能源。加强能耗总量和强度“双控”，严控新上高耗能项目，制定重点企业减煤计划，推进清洁能源倍增行动，争取“十四五”时期煤炭消费零增长。到2025年创建绿色工厂不少于10家、绿色园区（产业集群、产业集聚区）不低于1个。大力推广装配式建筑，城市新建民用建筑中绿色建筑比例达到100%。</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（三）建立健全环境治理机制与体系。</w:t>
      </w:r>
      <w:r>
        <w:rPr>
          <w:rFonts w:hint="eastAsia" w:ascii="仿宋_GB2312" w:hAnsi="Times New Roman" w:eastAsia="仿宋_GB2312" w:cs="Times New Roman"/>
          <w:sz w:val="32"/>
          <w:szCs w:val="32"/>
        </w:rPr>
        <w:t>严格落实生态环境保护党政同责、一岗双责，完善区、街道两级领导体制、工作机制和生态环境损害责任终身追究制，完善街道生态环境高质量发展考核办法。完善河长制、湖长制、林长制，开展全域生态综合治理，统筹推进生态环境保护。实施以生态保护红线、环境质量底线、资源利用上线和环境准入清单为核心的“三线一单”环境管控体系。坚持源头防治、综合施策，实施空气质量全面改善行动，统筹推进细颗粒物（PM</w:t>
      </w:r>
      <w:r>
        <w:rPr>
          <w:rFonts w:hint="eastAsia" w:ascii="仿宋_GB2312" w:hAnsi="Times New Roman" w:eastAsia="仿宋_GB2312" w:cs="Times New Roman"/>
          <w:sz w:val="32"/>
          <w:szCs w:val="32"/>
          <w:vertAlign w:val="subscript"/>
        </w:rPr>
        <w:t>2.5</w:t>
      </w:r>
      <w:r>
        <w:rPr>
          <w:rFonts w:hint="eastAsia" w:ascii="仿宋_GB2312" w:hAnsi="Times New Roman" w:eastAsia="仿宋_GB2312" w:cs="Times New Roman"/>
          <w:sz w:val="32"/>
          <w:szCs w:val="32"/>
        </w:rPr>
        <w:t>）和臭氧（O</w:t>
      </w:r>
      <w:r>
        <w:rPr>
          <w:rFonts w:hint="eastAsia" w:ascii="仿宋_GB2312" w:hAnsi="Times New Roman" w:eastAsia="仿宋_GB2312" w:cs="Times New Roman"/>
          <w:sz w:val="32"/>
          <w:szCs w:val="32"/>
          <w:vertAlign w:val="subscript"/>
        </w:rPr>
        <w:t>3</w:t>
      </w:r>
      <w:r>
        <w:rPr>
          <w:rFonts w:hint="eastAsia" w:ascii="仿宋_GB2312" w:hAnsi="Times New Roman" w:eastAsia="仿宋_GB2312" w:cs="Times New Roman"/>
          <w:sz w:val="32"/>
          <w:szCs w:val="32"/>
        </w:rPr>
        <w:t>）协同控制，实施氮氧化物和挥发性有机物协同治理。</w:t>
      </w:r>
      <w:r>
        <w:rPr>
          <w:rFonts w:hint="eastAsia" w:ascii="仿宋_GB2312" w:hAnsi="仿宋" w:eastAsia="仿宋_GB2312" w:cs="Times New Roman"/>
          <w:bCs/>
          <w:sz w:val="32"/>
          <w:szCs w:val="32"/>
        </w:rPr>
        <w:t>统筹</w:t>
      </w:r>
      <w:r>
        <w:rPr>
          <w:rFonts w:ascii="仿宋_GB2312" w:hAnsi="仿宋" w:eastAsia="仿宋_GB2312" w:cs="Times New Roman"/>
          <w:bCs/>
          <w:sz w:val="32"/>
          <w:szCs w:val="32"/>
        </w:rPr>
        <w:t>水资源、水生态和水环境，</w:t>
      </w:r>
      <w:r>
        <w:rPr>
          <w:rFonts w:hint="eastAsia" w:ascii="仿宋_GB2312" w:hAnsi="仿宋" w:eastAsia="仿宋_GB2312" w:cs="Times New Roman"/>
          <w:bCs/>
          <w:sz w:val="32"/>
          <w:szCs w:val="32"/>
        </w:rPr>
        <w:t>强化河流断面水质考核，加强污染源头防控，到2025年，实现国控和省控断面水环境质量达标率100%。</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（四）全面推进资源节约集约利用。</w:t>
      </w:r>
      <w:r>
        <w:rPr>
          <w:rFonts w:ascii="仿宋_GB2312" w:hAnsi="宋体" w:eastAsia="仿宋_GB2312" w:cs="仿宋_GB2312"/>
          <w:kern w:val="0"/>
          <w:sz w:val="32"/>
          <w:szCs w:val="32"/>
        </w:rPr>
        <w:t>严格落实节水优先，全面促进水资源集约节约利用，建立节水型生产方式和消费模式，</w:t>
      </w:r>
      <w:r>
        <w:rPr>
          <w:rFonts w:hint="eastAsia" w:ascii="仿宋_GB2312" w:hAnsi="宋体" w:eastAsia="仿宋_GB2312" w:cs="仿宋_GB2312"/>
          <w:kern w:val="0"/>
          <w:sz w:val="32"/>
          <w:szCs w:val="32"/>
        </w:rPr>
        <w:t>健全节约用水体制机制，加快推进节水技术改造，</w:t>
      </w:r>
      <w:r>
        <w:rPr>
          <w:rFonts w:ascii="仿宋_GB2312" w:hAnsi="宋体" w:eastAsia="仿宋_GB2312" w:cs="仿宋_GB2312"/>
          <w:kern w:val="0"/>
          <w:sz w:val="32"/>
          <w:szCs w:val="32"/>
        </w:rPr>
        <w:t>促进产业结构优化，着力增强水循环利用，努力提高水资源产出效益</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扎实推进节水典范城市建设</w:t>
      </w:r>
      <w:r>
        <w:rPr>
          <w:rFonts w:hint="eastAsia" w:ascii="仿宋_GB2312" w:hAnsi="宋体" w:eastAsia="仿宋_GB2312" w:cs="仿宋_GB2312"/>
          <w:kern w:val="0"/>
          <w:sz w:val="32"/>
          <w:szCs w:val="32"/>
        </w:rPr>
        <w:t>。</w:t>
      </w:r>
      <w:r>
        <w:rPr>
          <w:rFonts w:hint="eastAsia" w:ascii="仿宋_GB2312" w:hAnsi="Times New Roman" w:eastAsia="仿宋_GB2312" w:cs="Times New Roman"/>
          <w:sz w:val="32"/>
          <w:szCs w:val="32"/>
        </w:rPr>
        <w:t>强化新增建设用地指标调控，建立健全低效用地再开发激励机制和存量建设用地退出激励机制，盘活存量建设用地，加大低效用地再开发力度。</w:t>
      </w:r>
      <w:r>
        <w:rPr>
          <w:rFonts w:ascii="仿宋_GB2312" w:hAnsi="宋体" w:eastAsia="仿宋_GB2312" w:cs="仿宋_GB2312"/>
          <w:kern w:val="0"/>
          <w:sz w:val="32"/>
          <w:szCs w:val="32"/>
        </w:rPr>
        <w:t>推进建筑垃圾消纳场建设，充分利用土地复耕、山体修复、矿坑回填等项目，优化建筑垃圾直接利用点整体布局，实现建筑垃圾源头减量化，推进“无废城市”建设。</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（五）倡导绿色低碳生活方式。</w:t>
      </w:r>
      <w:r>
        <w:rPr>
          <w:rFonts w:hint="eastAsia" w:ascii="仿宋_GB2312" w:hAnsi="宋体" w:eastAsia="仿宋_GB2312" w:cs="仿宋_GB2312"/>
          <w:kern w:val="0"/>
          <w:sz w:val="32"/>
          <w:szCs w:val="32"/>
        </w:rPr>
        <w:t>实施城市更新行动，推行小规模、渐进式有机更新和微改造，防止大拆大建，全面推行绿色低碳建筑。健全完善绿色交通体系，</w:t>
      </w:r>
      <w:r>
        <w:rPr>
          <w:rFonts w:hint="eastAsia" w:ascii="仿宋_GB2312" w:hAnsi="Times New Roman" w:eastAsia="仿宋_GB2312" w:cs="Times New Roman"/>
          <w:sz w:val="32"/>
          <w:szCs w:val="32"/>
        </w:rPr>
        <w:t>推广绿色出行方式，加快城市轨道交通网建设，增加慢行系统，</w:t>
      </w:r>
      <w:r>
        <w:rPr>
          <w:rFonts w:hint="eastAsia" w:ascii="仿宋_GB2312" w:hAnsi="宋体" w:eastAsia="仿宋_GB2312" w:cs="仿宋_GB2312"/>
          <w:kern w:val="0"/>
          <w:sz w:val="32"/>
          <w:szCs w:val="32"/>
        </w:rPr>
        <w:t>鼓励使用节能和新能源车辆，加快充电基础设施建设。推动绿色消费、倡导低碳生活，多措并举巩固生活垃圾分类投放的宣传工作。广泛开展节约型机关、绿色社区、绿色家庭、绿色学校等创建活动。</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251" w:name="_Toc91673400"/>
      <w:bookmarkStart w:id="252" w:name="_Toc9662"/>
      <w:bookmarkStart w:id="253" w:name="_Toc17557"/>
      <w:bookmarkStart w:id="254" w:name="_Toc30978"/>
      <w:bookmarkStart w:id="255" w:name="_Toc1876475825"/>
      <w:bookmarkStart w:id="256" w:name="_Toc8316"/>
      <w:bookmarkStart w:id="257" w:name="_Toc948524399"/>
      <w:bookmarkStart w:id="258" w:name="_Toc90813739"/>
      <w:bookmarkStart w:id="259" w:name="_Toc1274052809"/>
      <w:bookmarkStart w:id="260" w:name="_Toc90328742"/>
      <w:bookmarkStart w:id="261" w:name="_Toc12807"/>
      <w:bookmarkStart w:id="262" w:name="_Toc829605981"/>
      <w:bookmarkStart w:id="263" w:name="_Toc2719"/>
      <w:bookmarkStart w:id="264" w:name="_Toc10457"/>
      <w:bookmarkStart w:id="265" w:name="_Toc90649747"/>
      <w:bookmarkStart w:id="266" w:name="_Toc123911406"/>
      <w:r>
        <w:rPr>
          <w:rFonts w:hint="eastAsia" w:ascii="黑体" w:hAnsi="黑体" w:eastAsia="黑体" w:cs="Times New Roman"/>
          <w:bCs/>
          <w:sz w:val="32"/>
          <w:szCs w:val="32"/>
        </w:rPr>
        <w:t>三、</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Start w:id="267" w:name="OLE_LINK5"/>
      <w:bookmarkStart w:id="268" w:name="OLE_LINK4"/>
      <w:bookmarkStart w:id="269" w:name="_Hlk79789922"/>
      <w:r>
        <w:rPr>
          <w:rFonts w:hint="eastAsia" w:ascii="黑体" w:hAnsi="黑体" w:eastAsia="黑体" w:cs="Times New Roman"/>
          <w:bCs/>
          <w:sz w:val="32"/>
          <w:szCs w:val="32"/>
        </w:rPr>
        <w:t>共创可持续的韧性生态之城</w:t>
      </w:r>
      <w:bookmarkEnd w:id="266"/>
      <w:bookmarkEnd w:id="267"/>
      <w:bookmarkEnd w:id="268"/>
    </w:p>
    <w:p>
      <w:pPr>
        <w:pageBreakBefore w:val="0"/>
        <w:kinsoku/>
        <w:wordWrap/>
        <w:overflowPunct w:val="0"/>
        <w:topLinePunct w:val="0"/>
        <w:bidi w:val="0"/>
        <w:spacing w:line="580" w:lineRule="exact"/>
        <w:ind w:firstLine="640" w:firstLineChars="200"/>
        <w:textAlignment w:val="auto"/>
        <w:rPr>
          <w:rFonts w:ascii="楷体_GB2312" w:hAnsi="Times New Roman" w:eastAsia="楷体_GB2312" w:cs="Times New Roman"/>
          <w:sz w:val="32"/>
          <w:szCs w:val="32"/>
        </w:rPr>
      </w:pPr>
      <w:r>
        <w:rPr>
          <w:rFonts w:hint="eastAsia" w:ascii="仿宋_GB2312" w:hAnsi="Times New Roman" w:eastAsia="仿宋_GB2312" w:cs="Times New Roman"/>
          <w:sz w:val="32"/>
          <w:szCs w:val="32"/>
        </w:rPr>
        <w:t>以人民为中心，生命至上，立足生态安全格局，统筹城镇化高质量发展和安全危机防控，着力构建城市安全发展体系，加强生态建设，增强城市安全韧性。</w:t>
      </w:r>
    </w:p>
    <w:p>
      <w:pPr>
        <w:pageBreakBefore w:val="0"/>
        <w:numPr>
          <w:ilvl w:val="0"/>
          <w:numId w:val="1"/>
        </w:numPr>
        <w:kinsoku/>
        <w:wordWrap/>
        <w:topLinePunct w:val="0"/>
        <w:autoSpaceDE w:val="0"/>
        <w:autoSpaceDN w:val="0"/>
        <w:bidi w:val="0"/>
        <w:adjustRightInd w:val="0"/>
        <w:snapToGrid w:val="0"/>
        <w:spacing w:line="580" w:lineRule="exact"/>
        <w:ind w:firstLine="640" w:firstLineChars="200"/>
        <w:jc w:val="left"/>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筑牢</w:t>
      </w:r>
      <w:bookmarkStart w:id="270" w:name="OLE_LINK89"/>
      <w:bookmarkStart w:id="271" w:name="OLE_LINK90"/>
      <w:r>
        <w:rPr>
          <w:rFonts w:hint="eastAsia" w:ascii="楷体_GB2312" w:hAnsi="Times New Roman" w:eastAsia="楷体_GB2312" w:cs="Times New Roman"/>
          <w:sz w:val="32"/>
          <w:szCs w:val="32"/>
        </w:rPr>
        <w:t>生态安全屏障</w:t>
      </w:r>
      <w:bookmarkEnd w:id="270"/>
      <w:bookmarkEnd w:id="271"/>
      <w:r>
        <w:rPr>
          <w:rFonts w:hint="eastAsia" w:ascii="楷体_GB2312" w:hAnsi="Times New Roman" w:eastAsia="楷体_GB2312" w:cs="Times New Roman"/>
          <w:sz w:val="32"/>
          <w:szCs w:val="32"/>
        </w:rPr>
        <w:t>。</w:t>
      </w:r>
      <w:r>
        <w:rPr>
          <w:rFonts w:hint="eastAsia" w:ascii="仿宋_GB2312" w:hAnsi="宋体" w:eastAsia="仿宋_GB2312" w:cs="仿宋_GB2312"/>
          <w:kern w:val="0"/>
          <w:sz w:val="32"/>
          <w:szCs w:val="32"/>
        </w:rPr>
        <w:t>推动山水林田湖草一体化保护和修复，加强黄河、小清河等重要生态廊道建设，高水平打造“两河生态体系”。打造串联“南山北水”和城市生态系统的滨水生态廊道，以重点河流和重要引调水工程为骨架，以河湖湿地、灌排沟渠为脉络，形成全域连通生态格局。开展植树造林，增加森林资源，构建农田防护和生态保护体系。推进白泉等湿地资源保护和恢复，发挥湿地生态效益，加大泉水补给区保护力度。高规格构建城市绿道体系，加快规划建设铁路沿线、重要道路、重要支流等绿道绿廊。加强山体保护，严防严控</w:t>
      </w:r>
      <w:bookmarkStart w:id="272" w:name="OLE_LINK92"/>
      <w:bookmarkStart w:id="273" w:name="OLE_LINK91"/>
      <w:r>
        <w:rPr>
          <w:rFonts w:hint="eastAsia" w:ascii="仿宋_GB2312" w:hAnsi="宋体" w:eastAsia="仿宋_GB2312" w:cs="仿宋_GB2312"/>
          <w:kern w:val="0"/>
          <w:sz w:val="32"/>
          <w:szCs w:val="32"/>
        </w:rPr>
        <w:t>非法开采</w:t>
      </w:r>
      <w:bookmarkEnd w:id="272"/>
      <w:bookmarkEnd w:id="273"/>
      <w:r>
        <w:rPr>
          <w:rFonts w:hint="eastAsia" w:ascii="仿宋_GB2312" w:hAnsi="宋体" w:eastAsia="仿宋_GB2312" w:cs="仿宋_GB2312"/>
          <w:kern w:val="0"/>
          <w:sz w:val="32"/>
          <w:szCs w:val="32"/>
        </w:rPr>
        <w:t>行为，建立山体保护长效管理机制，落实山体保护措施。</w:t>
      </w:r>
    </w:p>
    <w:p>
      <w:pPr>
        <w:pageBreakBefore w:val="0"/>
        <w:kinsoku/>
        <w:wordWrap/>
        <w:topLinePunct w:val="0"/>
        <w:bidi w:val="0"/>
        <w:adjustRightInd w:val="0"/>
        <w:snapToGrid w:val="0"/>
        <w:spacing w:line="580" w:lineRule="exact"/>
        <w:ind w:firstLine="640" w:firstLineChars="200"/>
        <w:jc w:val="left"/>
        <w:textAlignment w:val="auto"/>
      </w:pPr>
      <w:r>
        <w:rPr>
          <w:rFonts w:hint="eastAsia" w:ascii="楷体_GB2312" w:hAnsi="Times New Roman" w:eastAsia="楷体_GB2312" w:cs="Times New Roman"/>
          <w:sz w:val="32"/>
          <w:szCs w:val="32"/>
        </w:rPr>
        <w:t>（二）增强城市防洪排涝能力。</w:t>
      </w:r>
      <w:r>
        <w:rPr>
          <w:rFonts w:hint="eastAsia" w:ascii="仿宋_GB2312" w:hAnsi="Times New Roman" w:eastAsia="仿宋_GB2312" w:cs="Times New Roman"/>
          <w:sz w:val="32"/>
          <w:szCs w:val="32"/>
        </w:rPr>
        <w:t>统筹城市排水管网、城市河道、调蓄水面等排水防涝设施建设，构建生态措施和工程措施结合的系统排水防涝体系。建立以河道、水库和蓄滞洪区为构架的水旱灾害防御工程体系，提升洪涝灾害防御能力和超标准洪水应对能力。</w:t>
      </w:r>
      <w:r>
        <w:rPr>
          <w:rFonts w:hint="eastAsia" w:ascii="仿宋_GB2312" w:hAnsi="宋体" w:eastAsia="仿宋_GB2312" w:cs="仿宋_GB2312"/>
          <w:kern w:val="0"/>
          <w:sz w:val="32"/>
          <w:szCs w:val="32"/>
        </w:rPr>
        <w:t>持续开展小清河环境综合整治工程，</w:t>
      </w:r>
      <w:bookmarkStart w:id="274" w:name="_Hlk103763878"/>
      <w:r>
        <w:rPr>
          <w:rFonts w:hint="eastAsia" w:ascii="仿宋_GB2312" w:hAnsi="宋体" w:eastAsia="仿宋_GB2312" w:cs="仿宋_GB2312"/>
          <w:kern w:val="0"/>
          <w:sz w:val="32"/>
          <w:szCs w:val="32"/>
        </w:rPr>
        <w:t>实施全福河、韩仓河（工业北路—小清河段）、大辛河（经十路以北河段）以及赵王河、友谊河、巨野河等河道生态治理，全面改善水生态质量。</w:t>
      </w:r>
      <w:bookmarkEnd w:id="274"/>
      <w:bookmarkStart w:id="275" w:name="_Hlk103763898"/>
      <w:r>
        <w:rPr>
          <w:rFonts w:hint="eastAsia" w:ascii="仿宋_GB2312" w:hAnsi="宋体" w:eastAsia="仿宋_GB2312" w:cs="仿宋_GB2312"/>
          <w:kern w:val="0"/>
          <w:sz w:val="32"/>
          <w:szCs w:val="32"/>
        </w:rPr>
        <w:t>有序推进美丽幸福河湖创建，2030年底前，区级以上河道全部完成省级美丽幸福示范河湖创建。</w:t>
      </w:r>
      <w:bookmarkEnd w:id="275"/>
    </w:p>
    <w:p>
      <w:pPr>
        <w:pageBreakBefore w:val="0"/>
        <w:widowControl/>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w:t>
      </w:r>
      <w:bookmarkEnd w:id="269"/>
      <w:r>
        <w:rPr>
          <w:rFonts w:hint="eastAsia" w:ascii="楷体_GB2312" w:hAnsi="Times New Roman" w:eastAsia="楷体_GB2312" w:cs="Times New Roman"/>
          <w:sz w:val="32"/>
          <w:szCs w:val="32"/>
        </w:rPr>
        <w:t>全面提高城市安全保障水平。</w:t>
      </w:r>
      <w:r>
        <w:rPr>
          <w:rFonts w:hint="eastAsia" w:ascii="仿宋_GB2312" w:hAnsi="宋体" w:eastAsia="仿宋_GB2312" w:cs="仿宋_GB2312"/>
          <w:kern w:val="0"/>
          <w:sz w:val="32"/>
          <w:szCs w:val="32"/>
        </w:rPr>
        <w:t>推进公共安全工作精细化、信息化、法治化，加快完善立体化社会治安防控体系，全面提升维护公共安全能力水平。结合“智慧城市”建设，统筹建设大数据、云计算中心和物联网等基础设施，推动各类基础设施互联互通，推进各类数据集成应用，打造升级版社会治安防控体系。提高风险预警和应急处置能力，防范、化解、管控社会公共安全风险。实施自然灾害防治能力提升工程，完善建筑应急避难功能，提高洪涝干旱、森林火灾、地质灾害、气象灾害、地震等自然灾害防御工程标准，增强应对灾害能力。巩固提升国家食品安全示范城市创建成果，强化食品药品安全源头治理和全程监管，实施食药安全智慧监管工程，建立完善在线监管平台，建设“食安历城”。</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（四）健全完善应急管理体系。</w:t>
      </w:r>
      <w:r>
        <w:rPr>
          <w:rFonts w:hint="eastAsia" w:ascii="仿宋_GB2312" w:hAnsi="Times New Roman" w:eastAsia="仿宋_GB2312" w:cs="Times New Roman"/>
          <w:sz w:val="32"/>
          <w:szCs w:val="32"/>
        </w:rPr>
        <w:t>加快构建集应急预案、预测预警、应急指挥、应急队伍、应急物资保障、应急工作规范等为一体的城市应急管理和救援体系，全面提升防灾减灾救灾能力。建设自然灾害综合风险和综合减灾能力数据库，完善自然灾害监测预报预警机制，构建协同联动、全域覆盖的监测预警网络，提升多灾种和灾害链综合风险监测、风险早期识别和预报预警能力。加强应急物资储备体系建设，打造高效可靠的灾备中心。壮大社会救援力量，加快构建生物安全风险防控和治理体系，实施疾控体系现代化建设行动，实现疾病预防控制监测预警网络全区覆盖。</w:t>
      </w:r>
    </w:p>
    <w:p>
      <w:pPr>
        <w:pageBreakBefore w:val="0"/>
        <w:widowControl/>
        <w:kinsoku/>
        <w:wordWrap/>
        <w:topLinePunct w:val="0"/>
        <w:bidi w:val="0"/>
        <w:adjustRightInd w:val="0"/>
        <w:snapToGrid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kern w:val="0"/>
          <w:sz w:val="32"/>
          <w:szCs w:val="32"/>
        </w:rPr>
        <w:t>（五）推进平安历城建设</w:t>
      </w:r>
      <w:r>
        <w:rPr>
          <w:rFonts w:hint="eastAsia" w:ascii="仿宋_GB2312" w:hAnsi="Times New Roman" w:eastAsia="仿宋_GB2312" w:cs="Times New Roman"/>
          <w:kern w:val="0"/>
          <w:sz w:val="32"/>
          <w:szCs w:val="32"/>
        </w:rPr>
        <w:t>。</w:t>
      </w:r>
      <w:bookmarkStart w:id="276" w:name="_Toc2046154684"/>
      <w:bookmarkStart w:id="277" w:name="_Toc90649748"/>
      <w:bookmarkStart w:id="278" w:name="_Toc21336"/>
      <w:bookmarkStart w:id="279" w:name="_Toc1870387688"/>
      <w:bookmarkStart w:id="280" w:name="_Toc90328743"/>
      <w:bookmarkStart w:id="281" w:name="_Toc91673401"/>
      <w:bookmarkStart w:id="282" w:name="_Toc2448"/>
      <w:bookmarkStart w:id="283" w:name="_Toc90813740"/>
      <w:bookmarkStart w:id="284" w:name="_Toc11181"/>
      <w:r>
        <w:rPr>
          <w:rFonts w:hint="eastAsia" w:ascii="仿宋_GB2312" w:hAnsi="Calibri" w:eastAsia="仿宋_GB2312" w:cs="Times New Roman"/>
          <w:bCs/>
          <w:sz w:val="32"/>
          <w:szCs w:val="32"/>
        </w:rPr>
        <w:t>建设“天网、雪亮”两大工程</w:t>
      </w:r>
      <w:r>
        <w:rPr>
          <w:rFonts w:hint="eastAsia" w:ascii="仿宋_GB2312" w:hAnsi="Times New Roman" w:eastAsia="仿宋_GB2312" w:cs="Times New Roman"/>
          <w:sz w:val="32"/>
          <w:szCs w:val="32"/>
        </w:rPr>
        <w:t>，整合监控资源，发挥图侦作用，提高办案效率，利用警务助理工作模式打造标杆警务助理工作站。建立重性精神病人管理的长效机制，利用信息系统，做好前科人员、违法犯罪嫌疑人等重点人口的日常管理工作。老旧小区提升改造过程中应用安全防范技术，持续开展治安混乱地区整治工作，治安清查常态化，建立部门联合清查机制。</w:t>
      </w:r>
      <w:bookmarkStart w:id="285" w:name="OLE_LINK101"/>
      <w:bookmarkStart w:id="286" w:name="OLE_LINK102"/>
      <w:r>
        <w:rPr>
          <w:rFonts w:hint="eastAsia" w:ascii="仿宋_GB2312" w:hAnsi="Times New Roman" w:eastAsia="仿宋_GB2312" w:cs="Times New Roman"/>
          <w:sz w:val="32"/>
          <w:szCs w:val="32"/>
        </w:rPr>
        <w:t>强</w:t>
      </w:r>
      <w:bookmarkStart w:id="287" w:name="OLE_LINK98"/>
      <w:bookmarkStart w:id="288" w:name="OLE_LINK97"/>
      <w:r>
        <w:rPr>
          <w:rFonts w:hint="eastAsia" w:ascii="仿宋_GB2312" w:hAnsi="Times New Roman" w:eastAsia="仿宋_GB2312" w:cs="Times New Roman"/>
          <w:sz w:val="32"/>
          <w:szCs w:val="32"/>
        </w:rPr>
        <w:t>化安全领域智慧化应</w:t>
      </w:r>
      <w:bookmarkEnd w:id="287"/>
      <w:bookmarkEnd w:id="288"/>
      <w:r>
        <w:rPr>
          <w:rFonts w:hint="eastAsia" w:ascii="仿宋_GB2312" w:hAnsi="Times New Roman" w:eastAsia="仿宋_GB2312" w:cs="Times New Roman"/>
          <w:sz w:val="32"/>
          <w:szCs w:val="32"/>
        </w:rPr>
        <w:t>用，推动安全数据跨领域分享</w:t>
      </w:r>
      <w:bookmarkEnd w:id="285"/>
      <w:bookmarkEnd w:id="286"/>
      <w:r>
        <w:rPr>
          <w:rFonts w:hint="eastAsia" w:ascii="仿宋_GB2312" w:hAnsi="Times New Roman" w:eastAsia="仿宋_GB2312" w:cs="Times New Roman"/>
          <w:sz w:val="32"/>
          <w:szCs w:val="32"/>
        </w:rPr>
        <w:t>，维系工业、生产、消防、交通等重点行业安全，对</w:t>
      </w:r>
      <w:bookmarkStart w:id="289" w:name="OLE_LINK100"/>
      <w:bookmarkStart w:id="290" w:name="OLE_LINK99"/>
      <w:r>
        <w:rPr>
          <w:rFonts w:hint="eastAsia" w:ascii="仿宋_GB2312" w:hAnsi="Times New Roman" w:eastAsia="仿宋_GB2312" w:cs="Times New Roman"/>
          <w:sz w:val="32"/>
          <w:szCs w:val="32"/>
        </w:rPr>
        <w:t>食品、居家、校园</w:t>
      </w:r>
      <w:bookmarkEnd w:id="289"/>
      <w:bookmarkEnd w:id="290"/>
      <w:r>
        <w:rPr>
          <w:rFonts w:hint="eastAsia" w:ascii="仿宋_GB2312" w:hAnsi="Times New Roman" w:eastAsia="仿宋_GB2312" w:cs="Times New Roman"/>
          <w:sz w:val="32"/>
          <w:szCs w:val="32"/>
        </w:rPr>
        <w:t>等百姓身边的安全保持持续高压态势，切实维护公共安全环境。</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291" w:name="_Toc32050"/>
      <w:bookmarkStart w:id="292" w:name="_Toc374735455"/>
      <w:bookmarkStart w:id="293" w:name="_Toc23425"/>
      <w:bookmarkStart w:id="294" w:name="_Toc9564"/>
      <w:bookmarkStart w:id="295" w:name="_Toc18508"/>
      <w:bookmarkStart w:id="296" w:name="_Toc15551"/>
      <w:bookmarkStart w:id="297" w:name="_Toc2109548469"/>
      <w:bookmarkStart w:id="298" w:name="_Toc18159"/>
      <w:bookmarkStart w:id="299" w:name="_Toc123911407"/>
      <w:r>
        <w:rPr>
          <w:rFonts w:hint="eastAsia" w:ascii="黑体" w:hAnsi="黑体" w:eastAsia="黑体" w:cs="Times New Roman"/>
          <w:bCs/>
          <w:sz w:val="32"/>
          <w:szCs w:val="32"/>
        </w:rPr>
        <w:t>四、</w:t>
      </w:r>
      <w:bookmarkEnd w:id="276"/>
      <w:bookmarkEnd w:id="277"/>
      <w:bookmarkEnd w:id="278"/>
      <w:bookmarkEnd w:id="279"/>
      <w:bookmarkEnd w:id="280"/>
      <w:bookmarkEnd w:id="281"/>
      <w:bookmarkEnd w:id="282"/>
      <w:bookmarkEnd w:id="283"/>
      <w:bookmarkEnd w:id="284"/>
      <w:bookmarkEnd w:id="291"/>
      <w:bookmarkEnd w:id="292"/>
      <w:bookmarkEnd w:id="293"/>
      <w:bookmarkEnd w:id="294"/>
      <w:bookmarkEnd w:id="295"/>
      <w:bookmarkEnd w:id="296"/>
      <w:bookmarkEnd w:id="297"/>
      <w:bookmarkEnd w:id="298"/>
      <w:bookmarkStart w:id="300" w:name="OLE_LINK2"/>
      <w:bookmarkStart w:id="301" w:name="OLE_LINK1"/>
      <w:bookmarkStart w:id="302" w:name="_Hlk90044879"/>
      <w:r>
        <w:rPr>
          <w:rFonts w:hint="eastAsia" w:ascii="黑体" w:hAnsi="黑体" w:eastAsia="黑体" w:cs="Times New Roman"/>
          <w:bCs/>
          <w:sz w:val="32"/>
          <w:szCs w:val="32"/>
        </w:rPr>
        <w:t>打造聚活力的文旅融合之城</w:t>
      </w:r>
      <w:bookmarkEnd w:id="299"/>
    </w:p>
    <w:bookmarkEnd w:id="300"/>
    <w:bookmarkEnd w:id="301"/>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历城素有“齐鲁首邑”之称，文脉绵长、底蕴深厚，是一座历史悠久的“人文之城”。充分挖掘黄河文化、泉水文化、历史文化等丰富内涵，延续历史文脉，融入现代元素，塑强城市品牌，让历史文化和现代生活融为一体，让文化基因生生不息、代代传承。</w:t>
      </w:r>
    </w:p>
    <w:p>
      <w:pPr>
        <w:pageBreakBefore w:val="0"/>
        <w:widowControl/>
        <w:kinsoku/>
        <w:wordWrap/>
        <w:topLinePunct w:val="0"/>
        <w:bidi w:val="0"/>
        <w:spacing w:line="580" w:lineRule="exact"/>
        <w:ind w:firstLine="640" w:firstLineChars="200"/>
        <w:textAlignment w:val="auto"/>
      </w:pPr>
      <w:r>
        <w:rPr>
          <w:rFonts w:hint="eastAsia" w:ascii="楷体_GB2312" w:hAnsi="Times New Roman" w:eastAsia="楷体_GB2312" w:cs="Times New Roman"/>
          <w:kern w:val="0"/>
          <w:sz w:val="32"/>
          <w:szCs w:val="32"/>
        </w:rPr>
        <w:t>（一）传承弘扬优秀传统文化。</w:t>
      </w:r>
      <w:r>
        <w:rPr>
          <w:rFonts w:hint="eastAsia" w:ascii="仿宋_GB2312" w:hAnsi="宋体" w:eastAsia="仿宋_GB2312" w:cs="仿宋_GB2312"/>
          <w:kern w:val="0"/>
          <w:sz w:val="32"/>
          <w:szCs w:val="32"/>
        </w:rPr>
        <w:t>挖掘黄河文化、齐鲁文化、名士文化等历史文化资源，注重历史风韵在现代城市的创造性呈现</w:t>
      </w:r>
      <w:r>
        <w:rPr>
          <w:rFonts w:hint="eastAsia" w:ascii="仿宋_GB2312" w:hAnsi="Times New Roman" w:eastAsia="仿宋_GB2312" w:cs="Times New Roman"/>
          <w:sz w:val="32"/>
          <w:szCs w:val="32"/>
        </w:rPr>
        <w:t>，着力开发文旅驱动型旅游产品，打造优秀传统文化传承与旅游创新发展示范地。</w:t>
      </w:r>
      <w:r>
        <w:rPr>
          <w:rFonts w:hint="eastAsia" w:ascii="仿宋_GB2312" w:hAnsi="宋体" w:eastAsia="仿宋_GB2312" w:cs="仿宋_GB2312"/>
          <w:kern w:val="0"/>
          <w:sz w:val="32"/>
          <w:szCs w:val="32"/>
        </w:rPr>
        <w:t>加</w:t>
      </w:r>
      <w:bookmarkStart w:id="303" w:name="OLE_LINK103"/>
      <w:bookmarkStart w:id="304" w:name="OLE_LINK104"/>
      <w:r>
        <w:rPr>
          <w:rFonts w:hint="eastAsia" w:ascii="仿宋_GB2312" w:hAnsi="宋体" w:eastAsia="仿宋_GB2312" w:cs="仿宋_GB2312"/>
          <w:kern w:val="0"/>
          <w:sz w:val="32"/>
          <w:szCs w:val="32"/>
        </w:rPr>
        <w:t>强历史文物保护，发掘一</w:t>
      </w:r>
      <w:bookmarkEnd w:id="303"/>
      <w:bookmarkEnd w:id="304"/>
      <w:r>
        <w:rPr>
          <w:rFonts w:hint="eastAsia" w:ascii="仿宋_GB2312" w:hAnsi="宋体" w:eastAsia="仿宋_GB2312" w:cs="仿宋_GB2312"/>
          <w:kern w:val="0"/>
          <w:sz w:val="32"/>
          <w:szCs w:val="32"/>
        </w:rPr>
        <w:t>批考古项目，启动大辛庄考古遗址公园建设，实施馆藏精品文物数字化工程，激活大辛庄古文化遗址等文物古迹历史价值。</w:t>
      </w:r>
      <w:r>
        <w:rPr>
          <w:rFonts w:hint="eastAsia" w:ascii="仿宋_GB2312" w:hAnsi="Times New Roman" w:eastAsia="仿宋_GB2312" w:cs="Times New Roman"/>
          <w:sz w:val="32"/>
          <w:szCs w:val="32"/>
        </w:rPr>
        <w:t>大力推广梆鼓秧歌、芯子、五音戏等非物质文化遗产，弘扬“济南之根”文化底蕴。发扬名士文化，挖掘梳理</w:t>
      </w:r>
      <w:r>
        <w:rPr>
          <w:rFonts w:hint="eastAsia" w:ascii="仿宋_GB2312" w:hAnsi="宋体" w:eastAsia="仿宋_GB2312" w:cs="仿宋_GB2312"/>
          <w:kern w:val="0"/>
          <w:sz w:val="32"/>
          <w:szCs w:val="32"/>
        </w:rPr>
        <w:t>大舜、鲍叔牙、李清照、闵子骞等</w:t>
      </w:r>
      <w:r>
        <w:rPr>
          <w:rFonts w:hint="eastAsia" w:ascii="仿宋_GB2312" w:hAnsi="Times New Roman" w:eastAsia="仿宋_GB2312" w:cs="Times New Roman"/>
          <w:sz w:val="32"/>
          <w:szCs w:val="32"/>
        </w:rPr>
        <w:t>历史文化名人事迹，推动“历城名士馆”建设，举办名士文化学习教育活动。依托黄台车站、山东大学老校建筑群等载体，融汇东西方文化、发扬开放文化，提升文化包容度。</w:t>
      </w:r>
      <w:r>
        <w:rPr>
          <w:rFonts w:hint="eastAsia" w:ascii="仿宋_GB2312" w:hAnsi="宋体" w:eastAsia="仿宋_GB2312" w:cs="仿宋_GB2312"/>
          <w:kern w:val="0"/>
          <w:sz w:val="32"/>
          <w:szCs w:val="32"/>
        </w:rPr>
        <w:t>深化“历城融媒”平台建设，加快推进媒体深度融合发展，形成全媒体对外传播格局，打造新时代历城文化学习传播实践重要阵地。加强文化宣传教育力度，积极组织文化进企业、进农村、进机关、进校园、进社区活动。大力开展对外文化交流工作，提高历城文化对外影响力。</w:t>
      </w:r>
    </w:p>
    <w:p>
      <w:pPr>
        <w:pageBreakBefore w:val="0"/>
        <w:kinsoku/>
        <w:wordWrap/>
        <w:topLinePunct w:val="0"/>
        <w:bidi w:val="0"/>
        <w:adjustRightInd w:val="0"/>
        <w:snapToGrid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kern w:val="0"/>
          <w:sz w:val="32"/>
          <w:szCs w:val="32"/>
        </w:rPr>
        <w:t>（二）凸显泉城独特城市文脉。</w:t>
      </w:r>
      <w:r>
        <w:rPr>
          <w:rFonts w:hint="eastAsia" w:ascii="仿宋_GB2312" w:hAnsi="Times New Roman" w:eastAsia="仿宋_GB2312" w:cs="Times New Roman"/>
          <w:sz w:val="32"/>
          <w:szCs w:val="32"/>
        </w:rPr>
        <w:t>挖掘历城“泉”文化精髓，</w:t>
      </w:r>
      <w:r>
        <w:rPr>
          <w:rFonts w:hint="eastAsia" w:ascii="仿宋_GB2312" w:hAnsi="宋体" w:eastAsia="仿宋_GB2312" w:cs="仿宋_GB2312"/>
          <w:kern w:val="0"/>
          <w:sz w:val="32"/>
          <w:szCs w:val="32"/>
        </w:rPr>
        <w:t>济南72名泉有11处在历城涌流，“山、泉、湖、河、城”交织辉映，</w:t>
      </w:r>
      <w:r>
        <w:rPr>
          <w:rFonts w:hint="eastAsia" w:ascii="仿宋_GB2312" w:hAnsi="Times New Roman" w:eastAsia="仿宋_GB2312" w:cs="Times New Roman"/>
          <w:sz w:val="32"/>
          <w:szCs w:val="32"/>
        </w:rPr>
        <w:t>以泉水景观、泉水文化为核心，加强独特生态景观和历史文化资源的保护利用，塑造城市独特文化特色。加强泉水资源普查，加大泉池修复力度，开展白泉泉群、彩石玉河泉泉群、港沟玉漏泉泉源的保护和展示工作。加强古树名木保护管理，强化历史建筑、名人故居、老旧工业厂房保护修缮。</w:t>
      </w:r>
    </w:p>
    <w:p>
      <w:pPr>
        <w:pageBreakBefore w:val="0"/>
        <w:widowControl/>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kern w:val="0"/>
          <w:sz w:val="32"/>
          <w:szCs w:val="32"/>
        </w:rPr>
        <w:t>（三）推进“泉城济南·多彩历城”城市品牌创建行动。</w:t>
      </w:r>
      <w:r>
        <w:rPr>
          <w:rFonts w:hint="eastAsia" w:ascii="仿宋_GB2312" w:hAnsi="宋体" w:eastAsia="仿宋_GB2312" w:cs="仿宋_GB2312"/>
          <w:kern w:val="0"/>
          <w:sz w:val="32"/>
          <w:szCs w:val="32"/>
        </w:rPr>
        <w:t>依托“古色历城、金色历城、绿色历城、蓝色历城、银色历城”的五大核心资源优势以及丰富多元项目体系，打造丰富多彩的文旅产品体系和产品形象，建设“泉城济南·多彩历城”城市品牌。依托厚重文化资源，加快文化旅游融合发展示范区、旅游文创产业园、旅游科创街区与文化休闲街区等建设，升级旅游标识系统，打造旅游公共服务体系和全域文化旅游优质名片。</w:t>
      </w:r>
      <w:bookmarkEnd w:id="302"/>
    </w:p>
    <w:p>
      <w:pPr>
        <w:pageBreakBefore w:val="0"/>
        <w:kinsoku/>
        <w:wordWrap/>
        <w:topLinePunct w:val="0"/>
        <w:autoSpaceDE w:val="0"/>
        <w:autoSpaceDN w:val="0"/>
        <w:bidi w:val="0"/>
        <w:adjustRightInd w:val="0"/>
        <w:snapToGrid w:val="0"/>
        <w:spacing w:line="580" w:lineRule="exact"/>
        <w:ind w:firstLine="640" w:firstLineChars="200"/>
        <w:jc w:val="left"/>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（四）加快文化旅游融合发展。</w:t>
      </w:r>
      <w:r>
        <w:rPr>
          <w:rFonts w:ascii="仿宋_GB2312" w:hAnsi="宋体" w:eastAsia="仿宋_GB2312" w:cs="仿宋_GB2312"/>
          <w:kern w:val="0"/>
          <w:sz w:val="32"/>
          <w:szCs w:val="32"/>
        </w:rPr>
        <w:t>依托优越的区位、资源优势，以构建多元化旅游新业态为突破点，通过体制机制创新、旅游项目打造、旅游产品创新、旅游服务提升等举措，助推旅游供给侧结构</w:t>
      </w:r>
      <w:r>
        <w:rPr>
          <w:rFonts w:hint="eastAsia" w:ascii="仿宋_GB2312" w:hAnsi="宋体" w:eastAsia="仿宋_GB2312" w:cs="仿宋_GB2312"/>
          <w:kern w:val="0"/>
          <w:sz w:val="32"/>
          <w:szCs w:val="32"/>
          <w:lang w:val="en-US" w:eastAsia="zh-CN"/>
        </w:rPr>
        <w:t>性</w:t>
      </w:r>
      <w:bookmarkStart w:id="512" w:name="_GoBack"/>
      <w:bookmarkEnd w:id="512"/>
      <w:r>
        <w:rPr>
          <w:rFonts w:ascii="仿宋_GB2312" w:hAnsi="宋体" w:eastAsia="仿宋_GB2312" w:cs="仿宋_GB2312"/>
          <w:kern w:val="0"/>
          <w:sz w:val="32"/>
          <w:szCs w:val="32"/>
        </w:rPr>
        <w:t>改革，推动旅游产业转型升级，</w:t>
      </w:r>
      <w:r>
        <w:rPr>
          <w:rFonts w:hint="eastAsia" w:ascii="仿宋_GB2312" w:hAnsi="宋体" w:eastAsia="仿宋_GB2312" w:cs="仿宋_GB2312"/>
          <w:kern w:val="0"/>
          <w:sz w:val="32"/>
          <w:szCs w:val="32"/>
        </w:rPr>
        <w:t>打造</w:t>
      </w:r>
      <w:r>
        <w:rPr>
          <w:rFonts w:ascii="仿宋_GB2312" w:hAnsi="宋体" w:eastAsia="仿宋_GB2312" w:cs="仿宋_GB2312"/>
          <w:kern w:val="0"/>
          <w:sz w:val="32"/>
          <w:szCs w:val="32"/>
        </w:rPr>
        <w:t>山东主客共享优质旅游体验地、泉城休闲后花园、知名科创工业旅游目的地</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建设</w:t>
      </w:r>
      <w:r>
        <w:rPr>
          <w:rFonts w:hint="eastAsia" w:ascii="仿宋_GB2312" w:hAnsi="宋体" w:eastAsia="仿宋_GB2312" w:cs="仿宋_GB2312"/>
          <w:kern w:val="0"/>
          <w:sz w:val="32"/>
          <w:szCs w:val="32"/>
        </w:rPr>
        <w:t>国家级文旅产业融合发展示范区。以黄河文化、鹊华文化为脉络，做好黄河、华山等旅游资源的挖掘开发与宣传推广，创建具有历城特色的区域性文化旅游品牌。以“一廊（鹊华视廊）、两曲（黄河九曲和十曲）、三桥（黄河公路大桥、石济客专大桥、凤凰路大桥）”为核心景观，塑造“依水、背绿、望山”的生态旅游格局。分类整合各类文旅资源，建设一批富有文化特色的旅游景区和度假区，打造历史文化游、红色游、特色游、生态游等多条精品旅游线路。</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305" w:name="_Toc19281"/>
      <w:bookmarkStart w:id="306" w:name="_Toc91673402"/>
      <w:bookmarkStart w:id="307" w:name="_Toc1443743521"/>
      <w:bookmarkStart w:id="308" w:name="_Toc10763"/>
      <w:bookmarkStart w:id="309" w:name="_Toc90813741"/>
      <w:bookmarkStart w:id="310" w:name="_Toc1871919044"/>
      <w:bookmarkStart w:id="311" w:name="_Toc90328750"/>
      <w:bookmarkStart w:id="312" w:name="_Toc9951"/>
      <w:bookmarkStart w:id="313" w:name="_Toc90649749"/>
      <w:bookmarkStart w:id="314" w:name="_Toc27447"/>
      <w:bookmarkStart w:id="315" w:name="_Toc5489"/>
      <w:bookmarkStart w:id="316" w:name="_Toc1510412388"/>
      <w:bookmarkStart w:id="317" w:name="_Toc1330"/>
      <w:bookmarkStart w:id="318" w:name="_Toc507149367"/>
      <w:bookmarkStart w:id="319" w:name="_Toc123911408"/>
      <w:bookmarkStart w:id="320" w:name="_Toc67304282"/>
      <w:bookmarkStart w:id="321" w:name="_Toc67304281"/>
      <w:bookmarkStart w:id="322" w:name="_Toc90328744"/>
      <w:bookmarkStart w:id="323" w:name="_Toc84951506"/>
      <w:r>
        <w:rPr>
          <w:rFonts w:hint="eastAsia" w:ascii="方正小标宋简体" w:eastAsia="方正小标宋简体"/>
          <w:b w:val="0"/>
          <w:sz w:val="36"/>
          <w:szCs w:val="36"/>
        </w:rPr>
        <w:t>第五章 深入推进均衡城镇化</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Pr>
          <w:rFonts w:hint="eastAsia" w:ascii="方正小标宋简体" w:eastAsia="方正小标宋简体"/>
          <w:b w:val="0"/>
          <w:sz w:val="36"/>
          <w:szCs w:val="36"/>
        </w:rPr>
        <w:t>建设协同发展品质历城</w:t>
      </w:r>
      <w:bookmarkEnd w:id="319"/>
    </w:p>
    <w:p>
      <w:pPr>
        <w:pageBreakBefore w:val="0"/>
        <w:kinsoku/>
        <w:wordWrap/>
        <w:topLinePunct w:val="0"/>
        <w:bidi w:val="0"/>
        <w:spacing w:line="580" w:lineRule="exact"/>
        <w:ind w:firstLine="640" w:firstLineChars="200"/>
        <w:textAlignment w:val="auto"/>
        <w:rPr>
          <w:rFonts w:ascii="仿宋_GB2312" w:hAnsi="Times New Roman" w:eastAsia="仿宋_GB2312" w:cs="Times New Roman"/>
          <w:b/>
          <w:bCs/>
          <w:sz w:val="32"/>
          <w:szCs w:val="32"/>
        </w:rPr>
      </w:pPr>
      <w:r>
        <w:rPr>
          <w:rFonts w:hint="eastAsia" w:ascii="仿宋_GB2312" w:hAnsi="Times New Roman" w:eastAsia="仿宋_GB2312" w:cs="Times New Roman"/>
          <w:sz w:val="32"/>
          <w:szCs w:val="32"/>
        </w:rPr>
        <w:t>建立城市空间、社会、资金等领域治理体制机制，健全全民覆盖、普惠共享、城乡一体</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制度并轨的基本公共服务体系，完善共建共治共享的社会治理格局</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促进城乡居民共同富裕</w:t>
      </w:r>
      <w:r>
        <w:rPr>
          <w:rFonts w:ascii="仿宋_GB2312" w:hAnsi="Times New Roman" w:eastAsia="仿宋_GB2312" w:cs="Times New Roman"/>
          <w:sz w:val="32"/>
          <w:szCs w:val="32"/>
        </w:rPr>
        <w:t>。</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黑体"/>
          <w:sz w:val="32"/>
          <w:szCs w:val="32"/>
        </w:rPr>
      </w:pPr>
      <w:bookmarkStart w:id="324" w:name="_Toc9572"/>
      <w:bookmarkStart w:id="325" w:name="_Toc23676"/>
      <w:bookmarkStart w:id="326" w:name="_Toc27102"/>
      <w:bookmarkStart w:id="327" w:name="_Toc28636"/>
      <w:bookmarkStart w:id="328" w:name="_Toc886989600"/>
      <w:bookmarkStart w:id="329" w:name="_Toc90649750"/>
      <w:bookmarkStart w:id="330" w:name="_Toc1044793506"/>
      <w:bookmarkStart w:id="331" w:name="_Toc91673403"/>
      <w:bookmarkStart w:id="332" w:name="_Toc782491567"/>
      <w:bookmarkStart w:id="333" w:name="_Toc90813742"/>
      <w:bookmarkStart w:id="334" w:name="_Toc20296"/>
      <w:bookmarkStart w:id="335" w:name="_Toc9368"/>
      <w:bookmarkStart w:id="336" w:name="_Toc90328752"/>
      <w:bookmarkStart w:id="337" w:name="_Toc1167202354"/>
      <w:bookmarkStart w:id="338" w:name="_Toc24264"/>
      <w:bookmarkStart w:id="339" w:name="_Toc123911409"/>
      <w:bookmarkStart w:id="340" w:name="_Toc28649"/>
      <w:r>
        <w:rPr>
          <w:rFonts w:hint="eastAsia" w:ascii="黑体" w:hAnsi="黑体" w:eastAsia="黑体" w:cs="Times New Roman"/>
          <w:bCs/>
          <w:sz w:val="32"/>
          <w:szCs w:val="32"/>
        </w:rPr>
        <w:t>一、</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Start w:id="341" w:name="OLE_LINK12"/>
      <w:bookmarkStart w:id="342" w:name="OLE_LINK11"/>
      <w:r>
        <w:rPr>
          <w:rFonts w:hint="eastAsia" w:ascii="黑体" w:hAnsi="黑体" w:eastAsia="黑体" w:cs="黑体"/>
          <w:sz w:val="32"/>
          <w:szCs w:val="32"/>
        </w:rPr>
        <w:t>构筑</w:t>
      </w:r>
      <w:bookmarkEnd w:id="341"/>
      <w:bookmarkEnd w:id="342"/>
      <w:r>
        <w:rPr>
          <w:rFonts w:ascii="黑体" w:hAnsi="黑体" w:eastAsia="黑体" w:cs="黑体"/>
          <w:sz w:val="32"/>
          <w:szCs w:val="32"/>
        </w:rPr>
        <w:t>互联互通的城</w:t>
      </w:r>
      <w:r>
        <w:rPr>
          <w:rFonts w:hint="eastAsia" w:ascii="黑体" w:hAnsi="黑体" w:eastAsia="黑体" w:cs="黑体"/>
          <w:sz w:val="32"/>
          <w:szCs w:val="32"/>
        </w:rPr>
        <w:t>乡</w:t>
      </w:r>
      <w:r>
        <w:rPr>
          <w:rFonts w:ascii="黑体" w:hAnsi="黑体" w:eastAsia="黑体" w:cs="黑体"/>
          <w:sz w:val="32"/>
          <w:szCs w:val="32"/>
        </w:rPr>
        <w:t>基础设施体系</w:t>
      </w:r>
      <w:bookmarkEnd w:id="339"/>
    </w:p>
    <w:p>
      <w:pPr>
        <w:pageBreakBefore w:val="0"/>
        <w:kinsoku/>
        <w:wordWrap/>
        <w:overflowPunct w:val="0"/>
        <w:topLinePunct w:val="0"/>
        <w:bidi w:val="0"/>
        <w:spacing w:line="580" w:lineRule="exact"/>
        <w:ind w:firstLine="640" w:firstLineChars="200"/>
        <w:textAlignment w:val="auto"/>
        <w:rPr>
          <w:rFonts w:ascii="楷体_GB2312" w:hAnsi="仿宋_GB2312" w:eastAsia="楷体_GB2312" w:cs="仿宋_GB2312"/>
          <w:sz w:val="32"/>
          <w:szCs w:val="32"/>
        </w:rPr>
      </w:pPr>
      <w:bookmarkStart w:id="343" w:name="_Hlk90233411"/>
      <w:r>
        <w:rPr>
          <w:rFonts w:hint="eastAsia" w:ascii="仿宋_GB2312" w:hAnsi="Times New Roman" w:eastAsia="仿宋_GB2312" w:cs="Times New Roman"/>
          <w:sz w:val="32"/>
          <w:szCs w:val="32"/>
        </w:rPr>
        <w:t>城乡公共资源均衡配置，是从根本上消除城乡二元结构的必然要求。完善新型城镇化和乡村发展资金保障机制，推动城镇各类基础设施向农村延伸覆盖，开创城乡公共资源均衡配置新局面。</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（一）建立城乡基础设施一体化发展机制。</w:t>
      </w:r>
      <w:r>
        <w:rPr>
          <w:rFonts w:hint="eastAsia" w:ascii="仿宋_GB2312" w:hAnsi="Times New Roman" w:eastAsia="仿宋_GB2312" w:cs="Times New Roman"/>
          <w:sz w:val="32"/>
          <w:szCs w:val="32"/>
        </w:rPr>
        <w:t>系统编制涵盖交通、水、能源、环境卫生、园林绿化、信息通信、广播电视等系统的城市基础设施建设规划，统筹布局、集约建设，有序引导项目实施。按照“全生命周期管理”理念，构建城乡基础设施规划、建设、运行维护、更新等各环节的统筹建设发展机制。推动城乡综合立体交通网、现代物流网、能源保障网、市政公用设施网、现代水网、新型基础设施网、农村基础设施网等“七网”设施向乡村延伸。</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（二）推动城市基础设施提质升级。</w:t>
      </w:r>
      <w:r>
        <w:rPr>
          <w:rFonts w:ascii="仿宋_GB2312" w:hAnsi="Times New Roman" w:eastAsia="仿宋_GB2312" w:cs="Times New Roman"/>
          <w:sz w:val="32"/>
          <w:szCs w:val="32"/>
        </w:rPr>
        <w:t>构建现代化基础设施体系，推进交通设施互联互通，</w:t>
      </w:r>
      <w:r>
        <w:rPr>
          <w:rFonts w:hint="eastAsia" w:ascii="仿宋_GB2312" w:hAnsi="Times New Roman" w:eastAsia="仿宋_GB2312" w:cs="Times New Roman"/>
          <w:sz w:val="32"/>
          <w:szCs w:val="32"/>
        </w:rPr>
        <w:t>完善城市综合道路通行结构，打通“断头路”和“瓶颈路”，建立结构合理、衔接高效、外联内畅、</w:t>
      </w:r>
      <w:r>
        <w:rPr>
          <w:rFonts w:ascii="仿宋_GB2312" w:hAnsi="Times New Roman" w:eastAsia="仿宋_GB2312" w:cs="Times New Roman"/>
          <w:sz w:val="32"/>
          <w:szCs w:val="32"/>
        </w:rPr>
        <w:t>陆水相通、空地互接</w:t>
      </w:r>
      <w:r>
        <w:rPr>
          <w:rFonts w:hint="eastAsia" w:ascii="仿宋_GB2312" w:hAnsi="Times New Roman" w:eastAsia="仿宋_GB2312" w:cs="Times New Roman"/>
          <w:sz w:val="32"/>
          <w:szCs w:val="32"/>
        </w:rPr>
        <w:t>的现代化多层级的综合立体交通枢纽体系，提高整体路网通达效益。</w:t>
      </w:r>
      <w:bookmarkStart w:id="344" w:name="OLE_LINK17"/>
      <w:bookmarkStart w:id="345" w:name="OLE_LINK16"/>
      <w:r>
        <w:rPr>
          <w:rFonts w:hint="eastAsia" w:ascii="仿宋_GB2312" w:hAnsi="Times New Roman" w:eastAsia="仿宋_GB2312" w:cs="Times New Roman"/>
          <w:sz w:val="32"/>
          <w:szCs w:val="32"/>
        </w:rPr>
        <w:t>构建“系统完备、安全可靠，集约高效、绿色智能，循环通畅、调控有序”的现代水网，以骨干河道和重要引调水工程为骨架，以河湖水系连通和灌排渠系为脉络，以重点水库湖泊为节点，形成“九纵四横泾脉相连、五源多点润泽八方”的区级水网总体格局，提升完善“南山北水”的城市生态格局。</w:t>
      </w:r>
      <w:bookmarkEnd w:id="344"/>
      <w:bookmarkEnd w:id="345"/>
      <w:r>
        <w:rPr>
          <w:rFonts w:hint="eastAsia" w:ascii="仿宋_GB2312" w:hAnsi="Times New Roman" w:eastAsia="仿宋_GB2312" w:cs="Times New Roman"/>
          <w:sz w:val="32"/>
          <w:szCs w:val="32"/>
        </w:rPr>
        <w:t>“十四五”期间，</w:t>
      </w:r>
      <w:r>
        <w:rPr>
          <w:rFonts w:ascii="仿宋_GB2312" w:hAnsi="Times New Roman" w:eastAsia="仿宋_GB2312" w:cs="Times New Roman"/>
          <w:sz w:val="32"/>
          <w:szCs w:val="32"/>
        </w:rPr>
        <w:t>加快推进小清河复航，高速、高铁和轨道交通等重大交通基础设施建设</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完成奥体西路北延、奥体</w:t>
      </w:r>
      <w:bookmarkStart w:id="346" w:name="OLE_LINK15"/>
      <w:r>
        <w:rPr>
          <w:rFonts w:ascii="仿宋_GB2312" w:hAnsi="Times New Roman" w:eastAsia="仿宋_GB2312" w:cs="Times New Roman"/>
          <w:sz w:val="32"/>
          <w:szCs w:val="32"/>
        </w:rPr>
        <w:t>中路北延、凤凰路北延、开源路南延</w:t>
      </w:r>
      <w:r>
        <w:rPr>
          <w:rFonts w:hint="eastAsia" w:ascii="仿宋_GB2312" w:hAnsi="Times New Roman" w:eastAsia="仿宋_GB2312" w:cs="Times New Roman"/>
          <w:sz w:val="32"/>
          <w:szCs w:val="32"/>
        </w:rPr>
        <w:t>、辛祝路电建路下穿铁路通道</w:t>
      </w:r>
      <w:r>
        <w:rPr>
          <w:rFonts w:ascii="仿宋_GB2312" w:hAnsi="Times New Roman" w:eastAsia="仿宋_GB2312" w:cs="Times New Roman"/>
          <w:sz w:val="32"/>
          <w:szCs w:val="32"/>
        </w:rPr>
        <w:t>等市政道路建设。</w:t>
      </w:r>
      <w:bookmarkEnd w:id="346"/>
      <w:r>
        <w:rPr>
          <w:rFonts w:ascii="仿宋_GB2312" w:hAnsi="Times New Roman" w:eastAsia="仿宋_GB2312" w:cs="Times New Roman"/>
          <w:sz w:val="32"/>
          <w:szCs w:val="32"/>
        </w:rPr>
        <w:t>积极推进</w:t>
      </w:r>
      <w:r>
        <w:rPr>
          <w:rFonts w:hint="eastAsia" w:ascii="仿宋_GB2312" w:hAnsi="Times New Roman" w:eastAsia="仿宋_GB2312" w:cs="Times New Roman"/>
          <w:sz w:val="32"/>
          <w:szCs w:val="32"/>
        </w:rPr>
        <w:t>城区</w:t>
      </w:r>
      <w:r>
        <w:rPr>
          <w:rFonts w:ascii="仿宋_GB2312" w:hAnsi="Times New Roman" w:eastAsia="仿宋_GB2312" w:cs="Times New Roman"/>
          <w:sz w:val="32"/>
          <w:szCs w:val="32"/>
        </w:rPr>
        <w:t>支路建设，打通交通微循环。完善社区配套基础设施，打通城市建设管理“最后一公里”，保障居民享有完善的基础设施配套服务体系。</w:t>
      </w:r>
    </w:p>
    <w:p>
      <w:pPr>
        <w:pageBreakBefore w:val="0"/>
        <w:kinsoku/>
        <w:wordWrap/>
        <w:topLinePunct w:val="0"/>
        <w:bidi w:val="0"/>
        <w:spacing w:line="580" w:lineRule="exact"/>
        <w:ind w:firstLine="640" w:firstLineChars="200"/>
        <w:textAlignment w:val="auto"/>
        <w:rPr>
          <w:rFonts w:ascii="仿宋_GB2312" w:hAnsi="仿宋_GB2312" w:eastAsia="仿宋_GB2312" w:cs="仿宋_GB2312"/>
          <w:spacing w:val="-6"/>
          <w:sz w:val="32"/>
          <w:szCs w:val="32"/>
        </w:rPr>
      </w:pPr>
      <w:r>
        <w:rPr>
          <w:rFonts w:hint="eastAsia" w:ascii="楷体_GB2312" w:hAnsi="楷体_GB2312" w:eastAsia="楷体_GB2312" w:cs="楷体_GB2312"/>
          <w:sz w:val="32"/>
          <w:szCs w:val="32"/>
        </w:rPr>
        <w:t>（三）着力推进和美宜居乡村建设。</w:t>
      </w:r>
      <w:r>
        <w:rPr>
          <w:rFonts w:hint="eastAsia" w:ascii="仿宋_GB2312" w:hAnsi="Times New Roman" w:eastAsia="仿宋_GB2312" w:cs="Times New Roman"/>
          <w:sz w:val="32"/>
          <w:szCs w:val="32"/>
        </w:rPr>
        <w:t>积极创建</w:t>
      </w:r>
      <w:r>
        <w:rPr>
          <w:rFonts w:ascii="仿宋_GB2312" w:hAnsi="Times New Roman" w:eastAsia="仿宋_GB2312" w:cs="Times New Roman"/>
          <w:sz w:val="32"/>
          <w:szCs w:val="32"/>
        </w:rPr>
        <w:t>乡村振兴齐鲁样板村和省级美丽乡村示范村</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以港九</w:t>
      </w:r>
      <w:r>
        <w:rPr>
          <w:rFonts w:hint="eastAsia" w:ascii="仿宋_GB2312" w:hAnsi="Times New Roman" w:eastAsia="仿宋_GB2312" w:cs="Times New Roman"/>
          <w:sz w:val="32"/>
          <w:szCs w:val="32"/>
        </w:rPr>
        <w:t>美丽乡村先行</w:t>
      </w:r>
      <w:r>
        <w:rPr>
          <w:rFonts w:ascii="仿宋_GB2312" w:hAnsi="Times New Roman" w:eastAsia="仿宋_GB2312" w:cs="Times New Roman"/>
          <w:sz w:val="32"/>
          <w:szCs w:val="32"/>
        </w:rPr>
        <w:t>区、彩石五村生态农旅等项目为突破点，扎实开展乡村建设</w:t>
      </w:r>
      <w:r>
        <w:rPr>
          <w:rFonts w:hint="eastAsia" w:ascii="仿宋_GB2312" w:hAnsi="Times New Roman" w:eastAsia="仿宋_GB2312" w:cs="Times New Roman"/>
          <w:sz w:val="32"/>
          <w:szCs w:val="32"/>
        </w:rPr>
        <w:t>与基础设施配套建设。</w:t>
      </w:r>
      <w:r>
        <w:rPr>
          <w:rFonts w:hint="eastAsia" w:ascii="仿宋_GB2312" w:hAnsi="仿宋_GB2312" w:eastAsia="仿宋_GB2312" w:cs="仿宋_GB2312"/>
          <w:sz w:val="32"/>
          <w:szCs w:val="32"/>
          <w:lang w:bidi="zh-CN"/>
        </w:rPr>
        <w:t>统筹布局道路、供水、供电、通讯等设施，改善农村基础设施条件。</w:t>
      </w:r>
      <w:r>
        <w:rPr>
          <w:rFonts w:hint="eastAsia" w:ascii="仿宋_GB2312" w:hAnsi="宋体" w:eastAsia="仿宋_GB2312" w:cs="仿宋_GB2312"/>
          <w:kern w:val="0"/>
          <w:sz w:val="32"/>
          <w:szCs w:val="32"/>
        </w:rPr>
        <w:t>深入开展农村人居环境整治行动，推进城乡环卫一体化，</w:t>
      </w:r>
      <w:r>
        <w:rPr>
          <w:rFonts w:hint="eastAsia" w:ascii="仿宋_GB2312" w:hAnsi="仿宋_GB2312" w:eastAsia="仿宋_GB2312" w:cs="仿宋_GB2312"/>
          <w:spacing w:val="-6"/>
          <w:sz w:val="32"/>
          <w:szCs w:val="32"/>
        </w:rPr>
        <w:t>健全农村人居环境整治长效机制</w:t>
      </w:r>
      <w:r>
        <w:rPr>
          <w:rFonts w:hint="eastAsia" w:ascii="仿宋_GB2312" w:hAnsi="宋体" w:eastAsia="仿宋_GB2312" w:cs="仿宋_GB2312"/>
          <w:kern w:val="0"/>
          <w:sz w:val="32"/>
          <w:szCs w:val="32"/>
        </w:rPr>
        <w:t>。</w:t>
      </w:r>
      <w:r>
        <w:rPr>
          <w:rFonts w:hint="eastAsia" w:ascii="仿宋_GB2312" w:hAnsi="仿宋_GB2312" w:eastAsia="仿宋_GB2312" w:cs="仿宋_GB2312"/>
          <w:spacing w:val="-6"/>
          <w:sz w:val="32"/>
          <w:szCs w:val="32"/>
        </w:rPr>
        <w:t>开展美丽乡村示范创建活动，到2025年美丽乡村示范村覆盖率达到40%以上。</w:t>
      </w:r>
    </w:p>
    <w:bookmarkEnd w:id="340"/>
    <w:bookmarkEnd w:id="343"/>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347" w:name="_Toc10871"/>
      <w:bookmarkStart w:id="348" w:name="_Toc1688847408"/>
      <w:bookmarkStart w:id="349" w:name="_Toc21846"/>
      <w:bookmarkStart w:id="350" w:name="_Toc90328753"/>
      <w:bookmarkStart w:id="351" w:name="_Toc90649751"/>
      <w:bookmarkStart w:id="352" w:name="_Toc1794811137"/>
      <w:bookmarkStart w:id="353" w:name="_Toc6988"/>
      <w:bookmarkStart w:id="354" w:name="_Toc341566394"/>
      <w:bookmarkStart w:id="355" w:name="_Toc91673404"/>
      <w:bookmarkStart w:id="356" w:name="_Toc17459"/>
      <w:bookmarkStart w:id="357" w:name="_Toc90813743"/>
      <w:bookmarkStart w:id="358" w:name="_Toc3608"/>
      <w:bookmarkStart w:id="359" w:name="_Toc624598515"/>
      <w:bookmarkStart w:id="360" w:name="_Toc1567"/>
      <w:bookmarkStart w:id="361" w:name="_Toc123911410"/>
      <w:bookmarkStart w:id="362" w:name="_Toc1703"/>
      <w:r>
        <w:rPr>
          <w:rFonts w:hint="eastAsia" w:ascii="黑体" w:hAnsi="黑体" w:eastAsia="黑体" w:cs="Times New Roman"/>
          <w:bCs/>
          <w:sz w:val="32"/>
          <w:szCs w:val="32"/>
        </w:rPr>
        <w:t>二、</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Fonts w:hint="eastAsia" w:ascii="黑体" w:hAnsi="黑体" w:eastAsia="黑体" w:cs="Times New Roman"/>
          <w:bCs/>
          <w:sz w:val="32"/>
          <w:szCs w:val="32"/>
        </w:rPr>
        <w:t>健全人人共享的基本公共服务</w:t>
      </w:r>
      <w:bookmarkStart w:id="363" w:name="OLE_LINK24"/>
      <w:bookmarkStart w:id="364" w:name="OLE_LINK23"/>
      <w:r>
        <w:rPr>
          <w:rFonts w:hint="eastAsia" w:ascii="黑体" w:hAnsi="黑体" w:eastAsia="黑体" w:cs="Times New Roman"/>
          <w:bCs/>
          <w:sz w:val="32"/>
          <w:szCs w:val="32"/>
        </w:rPr>
        <w:t>体系</w:t>
      </w:r>
      <w:bookmarkEnd w:id="361"/>
    </w:p>
    <w:bookmarkEnd w:id="363"/>
    <w:bookmarkEnd w:id="364"/>
    <w:p>
      <w:pPr>
        <w:pageBreakBefore w:val="0"/>
        <w:kinsoku/>
        <w:wordWrap/>
        <w:topLinePunct w:val="0"/>
        <w:bidi w:val="0"/>
        <w:spacing w:line="580" w:lineRule="exact"/>
        <w:ind w:firstLine="640" w:firstLineChars="200"/>
        <w:textAlignment w:val="auto"/>
        <w:rPr>
          <w:rFonts w:ascii="楷体_GB2312" w:hAnsi="仿宋_GB2312" w:eastAsia="楷体_GB2312" w:cs="仿宋_GB2312"/>
          <w:sz w:val="32"/>
          <w:szCs w:val="32"/>
        </w:rPr>
      </w:pPr>
      <w:r>
        <w:rPr>
          <w:rFonts w:hint="eastAsia" w:ascii="仿宋_GB2312" w:hAnsi="Times New Roman" w:eastAsia="仿宋_GB2312" w:cs="Times New Roman"/>
          <w:sz w:val="32"/>
          <w:szCs w:val="32"/>
        </w:rPr>
        <w:t>坚持以人民为中心，以义务教育、卫生健康、公共文化体育、社会保障为重点，努力办好民生事业，做好普惠性、基础性、兜底性民生保障，改善人民生活品质，实现城乡基本公共服务常住人口全覆盖、均等化。</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（一）实现教育资源均衡供给。</w:t>
      </w:r>
      <w:r>
        <w:rPr>
          <w:rFonts w:hint="eastAsia" w:ascii="仿宋_GB2312" w:hAnsi="Times New Roman" w:eastAsia="仿宋_GB2312" w:cs="Times New Roman"/>
          <w:sz w:val="32"/>
          <w:szCs w:val="32"/>
        </w:rPr>
        <w:t>“以办人民满意教育”为目标，按照全区教育一盘棋原则，加快教育改革，创新教育服务业态，全面提高教学质量和整体育人水平，推动教育高品质发展，打造现代化教育强区。充分发挥历城二中的辐射和带动作用，深入探索“教育集团+优质学区”办学模式改革，完善幼小初高一体高效发展模式，通过“名校+农村校”“名校+新建校”“名校+薄弱校”等方式，输出优质管理模式，助力提升新建学校、薄弱学校、街道学校教学质量和办学水平，构建优质均衡的公共教育服务体系和城乡一体化的义务教育发展格局。</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仿宋_GB2312" w:eastAsia="楷体_GB2312" w:cs="仿宋_GB2312"/>
          <w:sz w:val="32"/>
          <w:szCs w:val="32"/>
        </w:rPr>
        <w:t>（二）健全卫生健康服务体系。</w:t>
      </w:r>
      <w:r>
        <w:rPr>
          <w:rFonts w:hint="eastAsia" w:ascii="仿宋_GB2312" w:hAnsi="宋体" w:eastAsia="仿宋_GB2312" w:cs="仿宋_GB2312"/>
          <w:kern w:val="0"/>
          <w:sz w:val="32"/>
          <w:szCs w:val="32"/>
        </w:rPr>
        <w:t>实施公立医院高质量发展工程，加快唐冶片区三级综合性医院建设，发挥驻区省市级大医院辐射带动作用，借助山东省公共卫生临床中心（鲍山院区）、济南市第三人民医院、济南市第七人民医院在医疗、急救、教学、科研等方面优势，推进其重点临床科室服务链条向我区基层机构延伸。推进社区医院和街村一体化村卫生室建设，开展基层特色科室建设。实施服务能力提升行动，推行“区管街用”“街管村用”管理机制，加强基层卫生人才配置。完善分级诊疗体系，网格化推进城市医疗联合体建设，到</w:t>
      </w:r>
      <w:r>
        <w:rPr>
          <w:rFonts w:ascii="仿宋_GB2312" w:hAnsi="宋体" w:eastAsia="仿宋_GB2312" w:cs="仿宋_GB2312"/>
          <w:kern w:val="0"/>
          <w:sz w:val="32"/>
          <w:szCs w:val="32"/>
        </w:rPr>
        <w:t>2025年制度体系和发展模式基本成熟，</w:t>
      </w:r>
      <w:r>
        <w:rPr>
          <w:rFonts w:ascii="仿宋_GB2312" w:hAnsi="仿宋_GB2312" w:eastAsia="仿宋_GB2312" w:cs="仿宋_GB2312"/>
          <w:sz w:val="32"/>
          <w:szCs w:val="32"/>
        </w:rPr>
        <w:t>70%以上街道卫生院、社区卫生服务中心达到省提升标准，2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%以上达到国家推荐标准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50%以上的乡村医生具备执业（助理）医师资格或具备大专以上学历。</w:t>
      </w:r>
      <w:r>
        <w:rPr>
          <w:rFonts w:hint="eastAsia" w:ascii="仿宋_GB2312" w:hAnsi="仿宋" w:eastAsia="仿宋_GB2312" w:cs="仿宋"/>
          <w:bCs/>
          <w:sz w:val="32"/>
          <w:szCs w:val="32"/>
        </w:rPr>
        <w:t>深入推进紧密型城乡医联体建设，建立上级医院和基层医疗卫生机构“传帮带”关系</w:t>
      </w:r>
      <w:r>
        <w:rPr>
          <w:rFonts w:hint="eastAsia" w:ascii="仿宋_GB2312" w:eastAsia="仿宋_GB2312"/>
          <w:bCs/>
          <w:sz w:val="32"/>
          <w:szCs w:val="32"/>
        </w:rPr>
        <w:t>，</w:t>
      </w:r>
      <w:r>
        <w:rPr>
          <w:rFonts w:hint="eastAsia" w:ascii="仿宋_GB2312" w:hAnsi="仿宋_GB2312" w:eastAsia="仿宋_GB2312" w:cs="仿宋_GB2312"/>
          <w:sz w:val="32"/>
          <w:szCs w:val="32"/>
        </w:rPr>
        <w:t>至少开通</w:t>
      </w:r>
      <w:r>
        <w:rPr>
          <w:rFonts w:ascii="仿宋_GB2312" w:hAnsi="仿宋_GB2312" w:eastAsia="仿宋_GB2312" w:cs="仿宋_GB2312"/>
          <w:sz w:val="32"/>
          <w:szCs w:val="32"/>
        </w:rPr>
        <w:t>1家门诊慢特病跨省联网医疗机构。</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（三）打造文体惠民新格局。</w:t>
      </w:r>
      <w:r>
        <w:rPr>
          <w:rFonts w:hint="eastAsia" w:ascii="仿宋_GB2312" w:hAnsi="Times New Roman" w:eastAsia="仿宋_GB2312" w:cs="Times New Roman"/>
          <w:sz w:val="32"/>
          <w:szCs w:val="32"/>
        </w:rPr>
        <w:t>实施文化惠民工程，加强公共文化基础设施建设，增加精神文化产品和服务供给，满足人民群众日益增加的文化需求，提升城市文化品质。优化公共文化设施布局，完善区、街道、村（社区）三级公共文化服务体系。提升基层公共文化服务能力，通过文化与生态协同发展、文化与乡村同频共振，积极推动公共文化与旅游、生态、乡村振兴等深度融合发展，探索并创新公共文化服务融合化发展路径，形成公共文化服务良性循环，推动公共文化服务高质量发展。依托互联网平台，搭建功能完备的数字文化服务平台，构建较为丰富的数字文化资源，构建功能完备的网上公共文化服务空间，强化对街道、村居文化活动的监管考核。到2025年，建设泉城书房5个，利用社会资源，探索推进泉城书屋建设。</w:t>
      </w:r>
    </w:p>
    <w:p>
      <w:pPr>
        <w:pageBreakBefore w:val="0"/>
        <w:widowControl/>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仿宋_GB2312" w:eastAsia="楷体_GB2312" w:cs="仿宋_GB2312"/>
          <w:sz w:val="32"/>
          <w:szCs w:val="32"/>
        </w:rPr>
        <w:t>（四）提升医保社保服务水平。</w:t>
      </w:r>
      <w:r>
        <w:rPr>
          <w:rFonts w:hint="eastAsia" w:ascii="仿宋_GB2312" w:hAnsi="仿宋_GB2312" w:eastAsia="仿宋_GB2312" w:cs="仿宋_GB2312"/>
          <w:sz w:val="32"/>
          <w:szCs w:val="32"/>
        </w:rPr>
        <w:t>健全完善社会保障体系，发挥社会保障兜底作用，保障全区居民基本生存与生活需要。</w:t>
      </w:r>
      <w:r>
        <w:rPr>
          <w:rFonts w:hint="eastAsia" w:ascii="仿宋_GB2312" w:hAnsi="宋体" w:eastAsia="仿宋_GB2312" w:cs="仿宋_GB2312"/>
          <w:kern w:val="0"/>
          <w:sz w:val="32"/>
          <w:szCs w:val="32"/>
        </w:rPr>
        <w:t>强化社会保险</w:t>
      </w:r>
      <w:r>
        <w:rPr>
          <w:rFonts w:hint="eastAsia" w:ascii="仿宋_GB2312" w:hAnsi="Times New Roman" w:eastAsia="仿宋_GB2312" w:cs="Times New Roman"/>
          <w:sz w:val="32"/>
          <w:szCs w:val="32"/>
        </w:rPr>
        <w:t>保障能力，实施全民参保计划，提高社会保险覆盖面。扩大社区养老服务设施供给，大力发展社区和居家养老服务，建立养老服务机构综合监管机制。</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2025年，街道</w:t>
      </w:r>
      <w:r>
        <w:rPr>
          <w:rFonts w:hint="eastAsia" w:ascii="仿宋_GB2312" w:hAnsi="仿宋_GB2312" w:eastAsia="仿宋_GB2312" w:cs="仿宋_GB2312"/>
          <w:sz w:val="32"/>
          <w:szCs w:val="32"/>
        </w:rPr>
        <w:t>综合养老服务中心覆盖率达到</w:t>
      </w:r>
      <w:r>
        <w:rPr>
          <w:rFonts w:ascii="仿宋_GB2312" w:hAnsi="仿宋_GB2312" w:eastAsia="仿宋_GB2312" w:cs="仿宋_GB2312"/>
          <w:sz w:val="32"/>
          <w:szCs w:val="32"/>
        </w:rPr>
        <w:t>60%以上，实现城乡社区日间照料服务全覆盖。在全区所有街道和有条件的村（社区）普遍建立“如康家园”，实现基层残疾人服务阵地全覆盖</w:t>
      </w:r>
      <w:r>
        <w:rPr>
          <w:rFonts w:hint="eastAsia" w:ascii="仿宋_GB2312" w:hAnsi="宋体" w:eastAsia="仿宋_GB2312" w:cs="仿宋_GB2312"/>
          <w:kern w:val="0"/>
          <w:sz w:val="32"/>
          <w:szCs w:val="32"/>
        </w:rPr>
        <w:t>，兜牢基本民生保障底线。</w:t>
      </w:r>
      <w:bookmarkStart w:id="365" w:name="_Toc91673405"/>
      <w:bookmarkStart w:id="366" w:name="_Toc470380434"/>
      <w:bookmarkStart w:id="367" w:name="_Toc1668651927"/>
      <w:bookmarkStart w:id="368" w:name="_Toc721956822"/>
      <w:bookmarkStart w:id="369" w:name="_Toc90328754"/>
      <w:bookmarkStart w:id="370" w:name="_Toc90649752"/>
      <w:bookmarkStart w:id="371" w:name="_Toc1388263476"/>
      <w:bookmarkStart w:id="372" w:name="_Toc90813744"/>
    </w:p>
    <w:p>
      <w:pPr>
        <w:pageBreakBefore w:val="0"/>
        <w:widowControl/>
        <w:kinsoku/>
        <w:wordWrap/>
        <w:topLinePunct w:val="0"/>
        <w:bidi w:val="0"/>
        <w:spacing w:line="580" w:lineRule="exact"/>
        <w:ind w:firstLine="640" w:firstLineChars="200"/>
        <w:jc w:val="left"/>
        <w:textAlignment w:val="auto"/>
        <w:outlineLvl w:val="1"/>
        <w:rPr>
          <w:rFonts w:ascii="黑体" w:hAnsi="黑体" w:eastAsia="黑体" w:cs="Times New Roman"/>
          <w:bCs/>
          <w:sz w:val="32"/>
          <w:szCs w:val="32"/>
        </w:rPr>
      </w:pPr>
      <w:bookmarkStart w:id="373" w:name="_Toc32107"/>
      <w:bookmarkStart w:id="374" w:name="_Toc32514"/>
      <w:bookmarkStart w:id="375" w:name="_Toc6236"/>
      <w:bookmarkStart w:id="376" w:name="_Toc15110"/>
      <w:bookmarkStart w:id="377" w:name="_Toc7520"/>
      <w:bookmarkStart w:id="378" w:name="_Toc12016"/>
      <w:bookmarkStart w:id="379" w:name="_Toc123911411"/>
      <w:r>
        <w:rPr>
          <w:rFonts w:hint="eastAsia" w:ascii="黑体" w:hAnsi="黑体" w:eastAsia="黑体" w:cs="Times New Roman"/>
          <w:bCs/>
          <w:sz w:val="32"/>
          <w:szCs w:val="32"/>
        </w:rPr>
        <w:t>三、</w:t>
      </w:r>
      <w:bookmarkEnd w:id="362"/>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hint="eastAsia" w:ascii="黑体" w:hAnsi="黑体" w:eastAsia="黑体" w:cs="Times New Roman"/>
          <w:bCs/>
          <w:sz w:val="32"/>
          <w:szCs w:val="32"/>
        </w:rPr>
        <w:t>构建协同高效的城乡社会治理</w:t>
      </w:r>
      <w:bookmarkEnd w:id="379"/>
      <w:r>
        <w:rPr>
          <w:rFonts w:hint="eastAsia" w:ascii="黑体" w:hAnsi="黑体" w:eastAsia="黑体" w:cs="Times New Roman"/>
          <w:bCs/>
          <w:sz w:val="32"/>
          <w:szCs w:val="32"/>
        </w:rPr>
        <w:t>体系</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立足民生导向，以社工站支撑为着力，打造社区治理新高地。建立“总站-分站”两级社会工作服务体系，构建网格化管理、精细化服务、系统化支撑、开放共享的基层治理体系，打造政府治理同社区、社会组织、居民自治良性互动的社会治理共同体。</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（一）全面夯实基层治理。</w:t>
      </w:r>
      <w:r>
        <w:rPr>
          <w:rFonts w:hint="eastAsia" w:ascii="仿宋_GB2312" w:hAnsi="Times New Roman" w:eastAsia="仿宋_GB2312" w:cs="Times New Roman"/>
          <w:sz w:val="32"/>
          <w:szCs w:val="32"/>
        </w:rPr>
        <w:t>充分发挥基层党组织在基层治理中的战斗堡垒作用，健全党组织领导、基层政府主导、人民群众为主体的基层社会治理框架。联动社会多方力量共同参与基层治理，形成有效的“五社联动”机制。充分挖掘街道辖区资源，探索新时代城乡社会治理区域化新模式。积极打造当地企业、商圈与街道的资源共享平台，并与多所高校搭建志愿服务平台，开展志愿活动及服务，落实“社会工作人才+志愿者”联动服务模式常态化，形成多方主体“共建、共治、共享”的社区治理新格局。</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（二）引导多方主体协同。</w:t>
      </w:r>
      <w:r>
        <w:rPr>
          <w:rFonts w:hint="eastAsia" w:ascii="仿宋_GB2312" w:hAnsi="Times New Roman" w:eastAsia="仿宋_GB2312" w:cs="Times New Roman"/>
          <w:sz w:val="32"/>
          <w:szCs w:val="32"/>
        </w:rPr>
        <w:t>发挥政府在社会治理中的作用，促进“五社”间的有效衔接和良性互动，构建全民参与社会治理新格局。强化多元主体之间的联动机制，构建有效的协商对话机制。充分利用现代网络资源，搭建志愿者服务平台,引入专业服务平台,</w:t>
      </w:r>
      <w:r>
        <w:rPr>
          <w:rFonts w:hint="eastAsia" w:ascii="仿宋_GB2312" w:hAnsi="仿宋_GB2312" w:eastAsia="仿宋_GB2312" w:cs="仿宋_GB2312"/>
          <w:sz w:val="32"/>
          <w:szCs w:val="32"/>
        </w:rPr>
        <w:t>创新打造“红色动能集聚区”，开展村党组织分类推进整体提升三年行动，</w:t>
      </w:r>
      <w:r>
        <w:rPr>
          <w:rFonts w:ascii="仿宋_GB2312" w:hAnsi="仿宋_GB2312" w:eastAsia="仿宋_GB2312" w:cs="仿宋_GB2312"/>
          <w:sz w:val="32"/>
          <w:szCs w:val="32"/>
        </w:rPr>
        <w:t>实现全区村党组织滚动整建、全域推进、整体提升</w:t>
      </w:r>
      <w:r>
        <w:rPr>
          <w:rFonts w:hint="eastAsia" w:ascii="仿宋_GB2312" w:hAnsi="仿宋_GB2312" w:eastAsia="仿宋_GB2312" w:cs="仿宋_GB2312"/>
          <w:sz w:val="32"/>
          <w:szCs w:val="32"/>
        </w:rPr>
        <w:t>，</w:t>
      </w:r>
      <w:r>
        <w:rPr>
          <w:rFonts w:hint="eastAsia" w:ascii="仿宋_GB2312" w:hAnsi="Times New Roman" w:eastAsia="仿宋_GB2312" w:cs="Times New Roman"/>
          <w:sz w:val="32"/>
          <w:szCs w:val="32"/>
        </w:rPr>
        <w:t>为居民提供参与社区治理的路径。健全培育机制、监督评估机制、制度保障机制，推动微公益创投常态化。利用多重平台对各类社会组织进行宣传，开展系列性、主题性活动，激发居民参与社区社会组织的积极性。</w:t>
      </w:r>
      <w:bookmarkStart w:id="380" w:name="_Toc91673406"/>
      <w:bookmarkStart w:id="381" w:name="_Toc90813745"/>
      <w:bookmarkStart w:id="382" w:name="_Toc31483"/>
      <w:bookmarkStart w:id="383" w:name="_Toc695277718"/>
      <w:bookmarkStart w:id="384" w:name="_Toc24003"/>
      <w:bookmarkStart w:id="385" w:name="_Toc16978"/>
      <w:bookmarkStart w:id="386" w:name="_Toc90649753"/>
      <w:bookmarkStart w:id="387" w:name="_Toc571411245"/>
      <w:bookmarkStart w:id="388" w:name="_Toc5638"/>
      <w:bookmarkStart w:id="389" w:name="_Toc714584658"/>
      <w:bookmarkStart w:id="390" w:name="_Toc2056748737"/>
      <w:bookmarkStart w:id="391" w:name="_Toc6885"/>
      <w:bookmarkStart w:id="392" w:name="_Toc90328755"/>
      <w:bookmarkStart w:id="393" w:name="_Toc24798"/>
      <w:bookmarkStart w:id="394" w:name="_Toc18659"/>
    </w:p>
    <w:p>
      <w:pPr>
        <w:pageBreakBefore w:val="0"/>
        <w:kinsoku/>
        <w:wordWrap/>
        <w:topLinePunct w:val="0"/>
        <w:bidi w:val="0"/>
        <w:spacing w:line="580" w:lineRule="exact"/>
        <w:ind w:firstLine="640" w:firstLineChars="200"/>
        <w:textAlignment w:val="auto"/>
        <w:outlineLvl w:val="1"/>
        <w:rPr>
          <w:rFonts w:ascii="仿宋_GB2312" w:hAnsi="Times New Roman" w:eastAsia="仿宋_GB2312" w:cs="Times New Roman"/>
          <w:sz w:val="32"/>
          <w:szCs w:val="32"/>
        </w:rPr>
      </w:pPr>
      <w:bookmarkStart w:id="395" w:name="_Toc123911412"/>
      <w:r>
        <w:rPr>
          <w:rFonts w:hint="eastAsia" w:ascii="黑体" w:hAnsi="黑体" w:eastAsia="黑体" w:cs="Times New Roman"/>
          <w:sz w:val="32"/>
          <w:szCs w:val="32"/>
        </w:rPr>
        <w:t>四、</w:t>
      </w:r>
      <w:bookmarkStart w:id="396" w:name="OLE_LINK27"/>
      <w:bookmarkStart w:id="397" w:name="OLE_LINK28"/>
      <w:bookmarkStart w:id="398" w:name="OLE_LINK29"/>
      <w:bookmarkStart w:id="399" w:name="OLE_LINK30"/>
      <w:bookmarkStart w:id="400" w:name="OLE_LINK35"/>
      <w:bookmarkStart w:id="401" w:name="OLE_LINK37"/>
      <w:bookmarkStart w:id="402" w:name="OLE_LINK36"/>
      <w:bookmarkStart w:id="403" w:name="OLE_LINK31"/>
      <w:bookmarkStart w:id="404" w:name="OLE_LINK34"/>
      <w:bookmarkStart w:id="405" w:name="OLE_LINK33"/>
      <w:bookmarkStart w:id="406" w:name="OLE_LINK32"/>
      <w:r>
        <w:rPr>
          <w:rFonts w:hint="eastAsia" w:ascii="黑体" w:hAnsi="黑体" w:eastAsia="黑体" w:cs="Times New Roman"/>
          <w:sz w:val="32"/>
          <w:szCs w:val="32"/>
        </w:rPr>
        <w:t>擘画共同富裕</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6"/>
      <w:bookmarkEnd w:id="397"/>
      <w:r>
        <w:rPr>
          <w:rFonts w:hint="eastAsia" w:ascii="黑体" w:hAnsi="黑体" w:eastAsia="黑体" w:cs="Times New Roman"/>
          <w:sz w:val="32"/>
          <w:szCs w:val="32"/>
        </w:rPr>
        <w:t>的城乡</w:t>
      </w:r>
      <w:bookmarkEnd w:id="398"/>
      <w:bookmarkEnd w:id="399"/>
      <w:r>
        <w:rPr>
          <w:rFonts w:hint="eastAsia" w:ascii="黑体" w:hAnsi="黑体" w:eastAsia="黑体" w:cs="Times New Roman"/>
          <w:sz w:val="32"/>
          <w:szCs w:val="32"/>
        </w:rPr>
        <w:t>安居乐业</w:t>
      </w:r>
      <w:r>
        <w:rPr>
          <w:rFonts w:ascii="黑体" w:hAnsi="黑体" w:eastAsia="黑体" w:cs="Times New Roman"/>
          <w:sz w:val="32"/>
          <w:szCs w:val="32"/>
        </w:rPr>
        <w:t>图景</w:t>
      </w:r>
      <w:bookmarkEnd w:id="395"/>
      <w:bookmarkEnd w:id="400"/>
      <w:bookmarkEnd w:id="401"/>
      <w:bookmarkEnd w:id="402"/>
      <w:bookmarkEnd w:id="403"/>
      <w:bookmarkEnd w:id="404"/>
      <w:bookmarkEnd w:id="405"/>
      <w:bookmarkEnd w:id="406"/>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积极拓展城乡居民就业创业增收空间，鼓励劳动者通过诚实劳动、辛勤劳动、创新创业实现增收致富，在城镇化高质量发展和城乡融合发展中扎实推动共同富裕。</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（一）健全城乡居民稳定增收机制。</w:t>
      </w:r>
      <w:r>
        <w:rPr>
          <w:rFonts w:hint="eastAsia" w:ascii="仿宋_GB2312" w:hAnsi="宋体" w:eastAsia="仿宋_GB2312" w:cs="仿宋_GB2312"/>
          <w:kern w:val="0"/>
          <w:sz w:val="32"/>
          <w:szCs w:val="32"/>
        </w:rPr>
        <w:t>深化城乡资源要素一体化配置体制改革，健全各类生产要素参与分配机制，促进城乡资源双向流动，拓宽城乡居民增收渠道。完善再分配调节机制，壮大中等收入人群。加快健全覆盖全民的多层次社会保障体系，稳步提高社会保障水平。扩大优质就业岗位数量，提高就业稳定性和就业质量，推动中低收入群体加快向中高收入人群迈进。提高基本公共服务均等化程度，减轻居民家庭在住房、教育、育幼、医疗、养老等方面的支出负担，稳定消费预期。</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（二）拓展农民增收渠道。</w:t>
      </w:r>
      <w:r>
        <w:rPr>
          <w:rFonts w:hint="eastAsia" w:ascii="仿宋_GB2312" w:hAnsi="宋体" w:eastAsia="仿宋_GB2312" w:cs="仿宋_GB2312"/>
          <w:kern w:val="0"/>
          <w:sz w:val="32"/>
          <w:szCs w:val="32"/>
        </w:rPr>
        <w:t>以有效保障粮食安全作为首要任务，以增加农民收入为目标，以科学发展为主体，以加快转变农业发展方式为主线，提高现代农业装备水平和农业科技水平。做大做强农业优势产业，着力引导和扶持农业产业化龙头企业的发展，延长农业产业链，提高农产品附加值，加快农业产业化经营和农业结构调整，带动相关产业发展，提高农村经济发展水平。盘活农村集体建设用地及闲置农房，发展健康养老、乡村民宿等。</w:t>
      </w:r>
    </w:p>
    <w:p>
      <w:pPr>
        <w:pageBreakBefore w:val="0"/>
        <w:kinsoku/>
        <w:wordWrap/>
        <w:overflowPunct w:val="0"/>
        <w:topLinePunct w:val="0"/>
        <w:bidi w:val="0"/>
        <w:spacing w:line="580" w:lineRule="exact"/>
        <w:ind w:firstLine="640" w:firstLineChars="200"/>
        <w:jc w:val="left"/>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（三）加强农民创新创业服务。</w:t>
      </w:r>
      <w:r>
        <w:rPr>
          <w:rFonts w:hint="eastAsia" w:ascii="仿宋_GB2312" w:hAnsi="宋体" w:eastAsia="仿宋_GB2312" w:cs="仿宋_GB2312"/>
          <w:kern w:val="0"/>
          <w:sz w:val="32"/>
          <w:szCs w:val="32"/>
        </w:rPr>
        <w:t>发挥社会化服务组织作用，开展生产托管、农技指导、产品营销等服务，为农民参与产业融合创造良好条件。健全覆盖城乡的就业创业服务体系，推动创业，促进就业，加大政策引导力度，强化创业意识教育，营造鼓励自主创业的社会环境。围绕保供、衔接、建设、要害、改革等重点任务，以家庭农场经营者、农民合作社带头人为重点，加快培养各类乡村振兴带头人。适应现代农业发展要求，完善高素质农民培育制度体系，建立健全培训机构、实训基地、农民田间学校的准入标准，加快建立政府负责、多方参与、适度竞争的多元培育机制。</w:t>
      </w:r>
      <w:bookmarkEnd w:id="320"/>
      <w:bookmarkEnd w:id="321"/>
      <w:bookmarkEnd w:id="322"/>
      <w:bookmarkEnd w:id="323"/>
      <w:bookmarkStart w:id="407" w:name="_Toc31211"/>
      <w:bookmarkStart w:id="408" w:name="_Toc597266479"/>
      <w:bookmarkStart w:id="409" w:name="_Toc19412"/>
      <w:bookmarkStart w:id="410" w:name="_Toc299877265"/>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411" w:name="_Toc18675"/>
      <w:bookmarkStart w:id="412" w:name="_Toc18007"/>
      <w:bookmarkStart w:id="413" w:name="_Toc17444"/>
      <w:bookmarkStart w:id="414" w:name="_Toc17770"/>
      <w:bookmarkStart w:id="415" w:name="_Toc123911413"/>
      <w:r>
        <w:rPr>
          <w:rFonts w:hint="eastAsia" w:ascii="方正小标宋简体" w:eastAsia="方正小标宋简体"/>
          <w:b w:val="0"/>
          <w:sz w:val="36"/>
          <w:szCs w:val="36"/>
        </w:rPr>
        <w:t>第六章 深入推进双向城镇化</w:t>
      </w:r>
      <w:bookmarkEnd w:id="180"/>
      <w:bookmarkEnd w:id="181"/>
      <w:bookmarkEnd w:id="182"/>
      <w:r>
        <w:rPr>
          <w:rFonts w:hint="eastAsia" w:ascii="方正小标宋简体" w:eastAsia="方正小标宋简体"/>
          <w:b w:val="0"/>
          <w:sz w:val="36"/>
          <w:szCs w:val="36"/>
        </w:rPr>
        <w:t xml:space="preserve"> 实现城乡融合</w:t>
      </w:r>
      <w:bookmarkEnd w:id="407"/>
      <w:bookmarkEnd w:id="408"/>
      <w:bookmarkEnd w:id="409"/>
      <w:bookmarkEnd w:id="410"/>
      <w:bookmarkEnd w:id="411"/>
      <w:bookmarkEnd w:id="412"/>
      <w:bookmarkEnd w:id="413"/>
      <w:bookmarkEnd w:id="414"/>
      <w:r>
        <w:rPr>
          <w:rFonts w:hint="eastAsia" w:ascii="方正小标宋简体" w:eastAsia="方正小标宋简体"/>
          <w:b w:val="0"/>
          <w:sz w:val="36"/>
          <w:szCs w:val="36"/>
        </w:rPr>
        <w:t>幸福历城</w:t>
      </w:r>
      <w:bookmarkEnd w:id="415"/>
    </w:p>
    <w:p>
      <w:pPr>
        <w:pageBreakBefore w:val="0"/>
        <w:kinsoku/>
        <w:wordWrap/>
        <w:topLinePunct w:val="0"/>
        <w:bidi w:val="0"/>
        <w:spacing w:line="580" w:lineRule="exact"/>
        <w:ind w:firstLine="640" w:firstLineChars="200"/>
        <w:textAlignment w:val="auto"/>
        <w:rPr>
          <w:rFonts w:ascii="仿宋_GB2312" w:hAnsi="仿宋_GB2312" w:eastAsia="仿宋_GB2312" w:cs="仿宋_GB2312"/>
          <w:sz w:val="32"/>
          <w:szCs w:val="32"/>
        </w:rPr>
      </w:pPr>
      <w:bookmarkStart w:id="416" w:name="_Toc90649756"/>
      <w:bookmarkStart w:id="417" w:name="_Toc90328747"/>
      <w:bookmarkStart w:id="418" w:name="_Toc10195"/>
      <w:bookmarkStart w:id="419" w:name="_Toc10517"/>
      <w:r>
        <w:rPr>
          <w:rFonts w:ascii="仿宋_GB2312" w:hAnsi="仿宋_GB2312" w:eastAsia="仿宋_GB2312" w:cs="仿宋_GB2312"/>
          <w:sz w:val="32"/>
          <w:szCs w:val="32"/>
        </w:rPr>
        <w:t>注重“城”与“乡”的统筹融合，以城带乡、以工促农，</w:t>
      </w:r>
      <w:r>
        <w:rPr>
          <w:rFonts w:hint="eastAsia" w:ascii="仿宋_GB2312" w:hAnsi="仿宋_GB2312" w:eastAsia="仿宋_GB2312" w:cs="仿宋_GB2312"/>
          <w:sz w:val="32"/>
          <w:szCs w:val="32"/>
        </w:rPr>
        <w:t>加</w:t>
      </w:r>
      <w:r>
        <w:rPr>
          <w:rFonts w:ascii="仿宋_GB2312" w:hAnsi="仿宋_GB2312" w:eastAsia="仿宋_GB2312" w:cs="仿宋_GB2312"/>
          <w:sz w:val="32"/>
          <w:szCs w:val="32"/>
        </w:rPr>
        <w:t>快外来人口融入城市</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促进城乡要素自由流动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推动城乡产业协同发展</w:t>
      </w:r>
      <w:r>
        <w:rPr>
          <w:rFonts w:hint="eastAsia" w:ascii="仿宋_GB2312" w:hAnsi="仿宋_GB2312" w:eastAsia="仿宋_GB2312" w:cs="仿宋_GB2312"/>
          <w:sz w:val="32"/>
          <w:szCs w:val="32"/>
        </w:rPr>
        <w:t>，实现城乡</w:t>
      </w:r>
      <w:r>
        <w:rPr>
          <w:rFonts w:ascii="仿宋_GB2312" w:hAnsi="仿宋_GB2312" w:eastAsia="仿宋_GB2312" w:cs="仿宋_GB2312"/>
          <w:sz w:val="32"/>
          <w:szCs w:val="32"/>
        </w:rPr>
        <w:t>合理分工协作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双向互动</w:t>
      </w:r>
      <w:r>
        <w:rPr>
          <w:rFonts w:hint="eastAsia" w:ascii="仿宋_GB2312" w:hAnsi="仿宋_GB2312" w:eastAsia="仿宋_GB2312" w:cs="仿宋_GB2312"/>
          <w:sz w:val="32"/>
          <w:szCs w:val="32"/>
        </w:rPr>
        <w:t>，形成</w:t>
      </w:r>
      <w:r>
        <w:rPr>
          <w:rFonts w:ascii="仿宋_GB2312" w:hAnsi="仿宋_GB2312" w:eastAsia="仿宋_GB2312" w:cs="仿宋_GB2312"/>
          <w:sz w:val="32"/>
          <w:szCs w:val="32"/>
        </w:rPr>
        <w:t>相互协调、相互促进的有机统一整体</w:t>
      </w:r>
      <w:r>
        <w:rPr>
          <w:rFonts w:hint="eastAsia" w:ascii="仿宋_GB2312" w:hAnsi="仿宋_GB2312" w:eastAsia="仿宋_GB2312" w:cs="仿宋_GB2312"/>
          <w:sz w:val="32"/>
          <w:szCs w:val="32"/>
        </w:rPr>
        <w:t>。</w:t>
      </w:r>
    </w:p>
    <w:p>
      <w:pPr>
        <w:pStyle w:val="3"/>
        <w:keepNext w:val="0"/>
        <w:keepLines w:val="0"/>
        <w:pageBreakBefore w:val="0"/>
        <w:kinsoku/>
        <w:wordWrap/>
        <w:overflowPunct w:val="0"/>
        <w:topLinePunct w:val="0"/>
        <w:bidi w:val="0"/>
        <w:spacing w:before="0" w:after="0" w:line="580" w:lineRule="exact"/>
        <w:ind w:firstLine="640" w:firstLineChars="200"/>
        <w:textAlignment w:val="auto"/>
        <w:rPr>
          <w:rFonts w:ascii="黑体" w:hAnsi="黑体" w:eastAsia="黑体"/>
          <w:b w:val="0"/>
        </w:rPr>
      </w:pPr>
      <w:bookmarkStart w:id="420" w:name="_Toc1632351233"/>
      <w:bookmarkStart w:id="421" w:name="_Toc1673327241"/>
      <w:bookmarkStart w:id="422" w:name="_Toc90649755"/>
      <w:bookmarkStart w:id="423" w:name="_Toc28792"/>
      <w:bookmarkStart w:id="424" w:name="_Toc90328746"/>
      <w:bookmarkStart w:id="425" w:name="_Toc29142"/>
      <w:bookmarkStart w:id="426" w:name="_Toc91673388"/>
      <w:bookmarkStart w:id="427" w:name="_Toc12060"/>
      <w:bookmarkStart w:id="428" w:name="_Toc90813727"/>
      <w:bookmarkStart w:id="429" w:name="_Toc23123"/>
      <w:bookmarkStart w:id="430" w:name="_Toc24575"/>
      <w:bookmarkStart w:id="431" w:name="_Toc16195"/>
      <w:bookmarkStart w:id="432" w:name="_Toc1360699609"/>
      <w:bookmarkStart w:id="433" w:name="_Toc95296098"/>
      <w:bookmarkStart w:id="434" w:name="_Toc123911414"/>
      <w:bookmarkStart w:id="435" w:name="_Toc23517"/>
      <w:bookmarkStart w:id="436" w:name="_Toc23329"/>
      <w:r>
        <w:rPr>
          <w:rFonts w:hint="eastAsia" w:ascii="黑体" w:hAnsi="黑体" w:eastAsia="黑体"/>
          <w:b w:val="0"/>
        </w:rPr>
        <w:t>一、</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eastAsia" w:ascii="黑体" w:hAnsi="黑体" w:eastAsia="黑体"/>
          <w:b w:val="0"/>
        </w:rPr>
        <w:t>推动外来人口融入城市</w:t>
      </w:r>
      <w:bookmarkEnd w:id="434"/>
    </w:p>
    <w:bookmarkEnd w:id="435"/>
    <w:bookmarkEnd w:id="436"/>
    <w:p>
      <w:pPr>
        <w:pageBreakBefore w:val="0"/>
        <w:kinsoku/>
        <w:wordWrap/>
        <w:topLinePunct w:val="0"/>
        <w:bidi w:val="0"/>
        <w:spacing w:line="580" w:lineRule="exact"/>
        <w:ind w:firstLine="640" w:firstLineChars="200"/>
        <w:textAlignment w:val="auto"/>
        <w:rPr>
          <w:rFonts w:ascii="仿宋_GB2312" w:eastAsia="仿宋_GB2312"/>
          <w:b/>
          <w:bCs/>
          <w:sz w:val="32"/>
          <w:szCs w:val="32"/>
        </w:rPr>
      </w:pPr>
      <w:bookmarkStart w:id="437" w:name="_Toc95296100"/>
      <w:bookmarkStart w:id="438" w:name="_Toc1362889526"/>
      <w:bookmarkStart w:id="439" w:name="_Toc650296927"/>
      <w:bookmarkStart w:id="440" w:name="_Toc90328745"/>
      <w:r>
        <w:rPr>
          <w:rFonts w:hint="eastAsia" w:ascii="仿宋_GB2312" w:hAnsi="Arial" w:eastAsia="仿宋_GB2312" w:cs="Arial"/>
          <w:sz w:val="32"/>
          <w:szCs w:val="32"/>
          <w:shd w:val="clear" w:color="auto" w:fill="FFFFFF"/>
        </w:rPr>
        <w:t>建立健全农业转移人口市民化配套政策体系，着力提高农业转移人口市民化质量，促进农业转移人口融入城市。畅通农业转移人口举家进城落户渠道，</w:t>
      </w:r>
      <w:r>
        <w:rPr>
          <w:rFonts w:hint="eastAsia" w:ascii="仿宋_GB2312" w:eastAsia="仿宋_GB2312"/>
          <w:sz w:val="32"/>
          <w:szCs w:val="32"/>
        </w:rPr>
        <w:t>统筹推进以本地农村居民进城就业为主导的城镇化，积极稳妥、规范有序的加快我区本地农业转移人口市民化进程。</w:t>
      </w:r>
      <w:bookmarkEnd w:id="437"/>
      <w:bookmarkEnd w:id="438"/>
      <w:bookmarkEnd w:id="439"/>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sz w:val="32"/>
          <w:szCs w:val="32"/>
        </w:rPr>
        <w:t>（一）完善</w:t>
      </w:r>
      <w:r>
        <w:rPr>
          <w:rFonts w:ascii="楷体_GB2312" w:hAnsi="Times New Roman" w:eastAsia="楷体_GB2312"/>
          <w:sz w:val="32"/>
          <w:szCs w:val="32"/>
        </w:rPr>
        <w:t>城乡有序流动的人口迁徙制度</w:t>
      </w:r>
      <w:r>
        <w:rPr>
          <w:rFonts w:hint="eastAsia" w:ascii="楷体_GB2312" w:hAnsi="Times New Roman" w:eastAsia="楷体_GB2312"/>
          <w:sz w:val="32"/>
          <w:szCs w:val="32"/>
        </w:rPr>
        <w:t>。</w:t>
      </w:r>
      <w:r>
        <w:rPr>
          <w:rFonts w:hint="eastAsia" w:ascii="仿宋_GB2312" w:hAnsi="仿宋_GB2312" w:eastAsia="仿宋_GB2312" w:cs="仿宋_GB2312"/>
          <w:sz w:val="32"/>
          <w:szCs w:val="32"/>
        </w:rPr>
        <w:t>落实外来人口</w:t>
      </w:r>
      <w:r>
        <w:rPr>
          <w:rFonts w:ascii="仿宋_GB2312" w:hAnsi="仿宋_GB2312" w:eastAsia="仿宋_GB2312" w:cs="仿宋_GB2312"/>
          <w:sz w:val="32"/>
          <w:szCs w:val="32"/>
        </w:rPr>
        <w:t>经常居住地登记户口制度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健全社区（单位）集体户制度</w:t>
      </w:r>
      <w:r>
        <w:rPr>
          <w:rFonts w:hint="eastAsia" w:ascii="仿宋_GB2312" w:hAnsi="仿宋_GB2312" w:eastAsia="仿宋_GB2312" w:cs="仿宋_GB2312"/>
          <w:sz w:val="32"/>
          <w:szCs w:val="32"/>
        </w:rPr>
        <w:t>，破除隐形限制，完善多渠道落户选择，深入实施“零门槛”落户政策，合理引导劳动力</w:t>
      </w:r>
      <w:r>
        <w:rPr>
          <w:rFonts w:ascii="仿宋_GB2312" w:hAnsi="仿宋_GB2312" w:eastAsia="仿宋_GB2312" w:cs="仿宋_GB2312"/>
          <w:sz w:val="32"/>
          <w:szCs w:val="32"/>
        </w:rPr>
        <w:t>资源</w:t>
      </w:r>
      <w:r>
        <w:rPr>
          <w:rFonts w:hint="eastAsia" w:ascii="仿宋_GB2312" w:hAnsi="仿宋_GB2312" w:eastAsia="仿宋_GB2312" w:cs="仿宋_GB2312"/>
          <w:sz w:val="32"/>
          <w:szCs w:val="32"/>
        </w:rPr>
        <w:t>集聚发展，</w:t>
      </w:r>
      <w:r>
        <w:rPr>
          <w:rFonts w:ascii="仿宋_GB2312" w:hAnsi="仿宋_GB2312" w:eastAsia="仿宋_GB2312" w:cs="仿宋_GB2312"/>
          <w:sz w:val="32"/>
          <w:szCs w:val="32"/>
        </w:rPr>
        <w:t>促进人才有序流动，提高户籍人口城镇化率</w:t>
      </w:r>
      <w:r>
        <w:rPr>
          <w:rFonts w:hint="eastAsia" w:ascii="仿宋_GB2312" w:hAnsi="仿宋_GB2312" w:eastAsia="仿宋_GB2312" w:cs="仿宋_GB2312"/>
          <w:sz w:val="32"/>
          <w:szCs w:val="32"/>
        </w:rPr>
        <w:t>。建立人才加入乡村制度和符合条件的返乡就业创业人员在原籍地或就业创业地落户制度，</w:t>
      </w:r>
      <w:r>
        <w:rPr>
          <w:rFonts w:ascii="仿宋_GB2312" w:hAnsi="仿宋_GB2312" w:eastAsia="仿宋_GB2312" w:cs="仿宋_GB2312"/>
          <w:sz w:val="32"/>
          <w:szCs w:val="32"/>
        </w:rPr>
        <w:t>畅通入乡返乡落户渠道</w:t>
      </w:r>
      <w:r>
        <w:rPr>
          <w:rFonts w:hint="eastAsia" w:ascii="仿宋_GB2312" w:hAnsi="仿宋_GB2312" w:eastAsia="仿宋_GB2312" w:cs="仿宋_GB2312"/>
          <w:sz w:val="32"/>
          <w:szCs w:val="32"/>
        </w:rPr>
        <w:t>。确保进城农民放心落户，下乡人才安心创业，</w:t>
      </w:r>
      <w:r>
        <w:rPr>
          <w:rFonts w:ascii="仿宋_GB2312" w:hAnsi="仿宋_GB2312" w:eastAsia="仿宋_GB2312" w:cs="仿宋_GB2312"/>
          <w:sz w:val="32"/>
          <w:szCs w:val="32"/>
        </w:rPr>
        <w:t>促进人口双向流动，合理分布。</w:t>
      </w:r>
    </w:p>
    <w:p>
      <w:pPr>
        <w:pageBreakBefore w:val="0"/>
        <w:kinsoku/>
        <w:wordWrap/>
        <w:topLinePunct w:val="0"/>
        <w:bidi w:val="0"/>
        <w:spacing w:line="580" w:lineRule="exact"/>
        <w:ind w:firstLine="640" w:firstLineChars="200"/>
        <w:textAlignment w:val="auto"/>
        <w:rPr>
          <w:rFonts w:ascii="仿宋_GB2312" w:eastAsia="仿宋_GB2312"/>
          <w:b/>
          <w:bCs/>
          <w:sz w:val="32"/>
          <w:szCs w:val="32"/>
        </w:rPr>
      </w:pPr>
      <w:r>
        <w:rPr>
          <w:rFonts w:hint="eastAsia" w:ascii="楷体_GB2312" w:eastAsia="楷体_GB2312"/>
          <w:sz w:val="32"/>
          <w:szCs w:val="32"/>
        </w:rPr>
        <w:t>（二）维护进城落户农民的农村权益。</w:t>
      </w:r>
      <w:r>
        <w:rPr>
          <w:rFonts w:hint="eastAsia" w:ascii="仿宋_GB2312" w:hAnsi="仿宋_GB2312" w:eastAsia="仿宋_GB2312" w:cs="仿宋_GB2312"/>
          <w:sz w:val="32"/>
          <w:szCs w:val="32"/>
        </w:rPr>
        <w:t>全面完成农村不动产确权登记颁证，</w:t>
      </w:r>
      <w:r>
        <w:rPr>
          <w:rFonts w:hint="eastAsia" w:ascii="仿宋_GB2312" w:eastAsia="仿宋_GB2312"/>
          <w:sz w:val="32"/>
          <w:szCs w:val="32"/>
        </w:rPr>
        <w:t>巩固农村集体产权制度改革成果，合理确认集体经济组</w:t>
      </w:r>
      <w:r>
        <w:rPr>
          <w:rFonts w:hint="eastAsia" w:ascii="仿宋_GB2312" w:hAnsi="仿宋_GB2312" w:eastAsia="仿宋_GB2312" w:cs="仿宋_GB2312"/>
          <w:sz w:val="32"/>
          <w:szCs w:val="32"/>
        </w:rPr>
        <w:t>织成员身份。</w:t>
      </w:r>
      <w:r>
        <w:rPr>
          <w:rFonts w:ascii="仿宋_GB2312" w:hAnsi="仿宋_GB2312" w:eastAsia="仿宋_GB2312" w:cs="仿宋_GB2312"/>
          <w:sz w:val="32"/>
          <w:szCs w:val="32"/>
        </w:rPr>
        <w:t>保障进城落户农民农村土地承包权、宅基地使用权、集体收益分配权，</w:t>
      </w:r>
      <w:r>
        <w:rPr>
          <w:rFonts w:hint="eastAsia" w:ascii="仿宋_GB2312" w:hAnsi="仿宋_GB2312" w:eastAsia="仿宋_GB2312" w:cs="仿宋_GB2312"/>
          <w:sz w:val="32"/>
          <w:szCs w:val="32"/>
        </w:rPr>
        <w:t>建立农村集体经济组织成员进城落户转移“三权”备案制度，</w:t>
      </w:r>
      <w:r>
        <w:rPr>
          <w:rFonts w:ascii="仿宋_GB2312" w:hAnsi="仿宋_GB2312" w:eastAsia="仿宋_GB2312" w:cs="仿宋_GB2312"/>
          <w:sz w:val="32"/>
          <w:szCs w:val="32"/>
        </w:rPr>
        <w:t>促进在城镇稳定就业生活的农民自愿有序进城落户。</w:t>
      </w:r>
      <w:r>
        <w:rPr>
          <w:rFonts w:hint="eastAsia" w:ascii="仿宋_GB2312" w:hAnsi="仿宋_GB2312" w:eastAsia="仿宋_GB2312" w:cs="仿宋_GB2312"/>
          <w:sz w:val="32"/>
          <w:szCs w:val="32"/>
        </w:rPr>
        <w:t>大力推进农村“三变”改革，</w:t>
      </w:r>
      <w:r>
        <w:rPr>
          <w:rFonts w:hint="eastAsia" w:ascii="仿宋_GB2312" w:eastAsia="仿宋_GB2312"/>
          <w:sz w:val="32"/>
          <w:szCs w:val="32"/>
        </w:rPr>
        <w:t>完善农村产权交易市场体系，发挥农村产权交易平台作用，深化农村产权交易、农业融资担保、产权信息管理“三台共建”模式，放活土地经营权、拓展土地经营抵押权能。</w:t>
      </w:r>
    </w:p>
    <w:p>
      <w:pPr>
        <w:pageBreakBefore w:val="0"/>
        <w:kinsoku/>
        <w:wordWrap/>
        <w:topLinePunct w:val="0"/>
        <w:bidi w:val="0"/>
        <w:spacing w:line="580" w:lineRule="exact"/>
        <w:ind w:firstLine="640" w:firstLineChars="200"/>
        <w:textAlignment w:val="auto"/>
        <w:rPr>
          <w:rFonts w:ascii="仿宋_GB2312" w:hAnsi="Times New Roman" w:eastAsia="仿宋_GB2312"/>
          <w:sz w:val="32"/>
          <w:szCs w:val="32"/>
        </w:rPr>
      </w:pPr>
      <w:r>
        <w:rPr>
          <w:rFonts w:hint="eastAsia" w:ascii="楷体_GB2312" w:hAnsi="Times New Roman" w:eastAsia="楷体_GB2312"/>
          <w:bCs/>
          <w:sz w:val="32"/>
          <w:szCs w:val="32"/>
        </w:rPr>
        <w:t>（三）提升农业转移人口创业就业能力。</w:t>
      </w:r>
      <w:r>
        <w:rPr>
          <w:rFonts w:hint="eastAsia" w:ascii="仿宋_GB2312" w:hAnsi="Times New Roman" w:eastAsia="仿宋_GB2312"/>
          <w:sz w:val="32"/>
          <w:szCs w:val="32"/>
        </w:rPr>
        <w:t>合理统筹农业转移人口培训政策，</w:t>
      </w:r>
      <w:r>
        <w:rPr>
          <w:rFonts w:hint="eastAsia" w:ascii="仿宋_GB2312" w:hAnsi="微软雅黑" w:eastAsia="仿宋_GB2312"/>
          <w:sz w:val="32"/>
          <w:szCs w:val="32"/>
          <w:shd w:val="clear" w:color="auto" w:fill="FFFFFF"/>
        </w:rPr>
        <w:t>开辟和拓宽农业转移人口就业渠道，</w:t>
      </w:r>
      <w:r>
        <w:rPr>
          <w:rFonts w:hint="eastAsia" w:ascii="仿宋_GB2312" w:hAnsi="Times New Roman" w:eastAsia="仿宋_GB2312"/>
          <w:sz w:val="32"/>
          <w:szCs w:val="32"/>
        </w:rPr>
        <w:t>将农业转移人口纳入本地职业技术教育体系。统筹发挥企业、职业院校等作用，聚焦用工矛盾突出行业，面向新生代农民工持续大规模开展以大数据智能化为重点的职业技能培训和职业教育，提高其在城市稳定就业能力。</w:t>
      </w:r>
      <w:r>
        <w:rPr>
          <w:rFonts w:hint="eastAsia" w:ascii="仿宋_GB2312" w:hAnsi="微软雅黑" w:eastAsia="仿宋_GB2312"/>
          <w:sz w:val="32"/>
          <w:szCs w:val="32"/>
          <w:shd w:val="clear" w:color="auto" w:fill="FFFFFF"/>
        </w:rPr>
        <w:t>支持进城落户农业转移人口中的失业人员进行失业登记，并享受职业指导、介绍、培训等公共就业服务和扶持政策。</w:t>
      </w:r>
    </w:p>
    <w:p>
      <w:pPr>
        <w:pageBreakBefore w:val="0"/>
        <w:numPr>
          <w:ilvl w:val="255"/>
          <w:numId w:val="0"/>
        </w:numPr>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bCs/>
          <w:sz w:val="32"/>
          <w:szCs w:val="32"/>
        </w:rPr>
        <w:t>（四）推进基本公共服务常住人口全覆盖。</w:t>
      </w:r>
      <w:r>
        <w:rPr>
          <w:rFonts w:hint="eastAsia" w:ascii="仿宋_GB2312" w:hAnsi="仿宋_GB2312" w:eastAsia="仿宋_GB2312" w:cs="仿宋_GB2312"/>
          <w:sz w:val="32"/>
          <w:szCs w:val="32"/>
        </w:rPr>
        <w:t>推进基本公共服务均等化覆盖常住人口，推动随迁子女平等享受城区教育，在随迁子女集中的地区，加大公办幼儿园、中小学等建设投入力度，改善学校师资、教学环境，提升办学质量；提高基层公共卫生服务水平，将农业转移人口纳入社区基本医疗卫生服务体系，加强农业转移人口职业健康和卫生风险意识教育宣传，强化职业病预防和疾病控制，提高医疗救助保障水平；</w:t>
      </w:r>
      <w:r>
        <w:rPr>
          <w:rFonts w:hint="eastAsia" w:ascii="仿宋_GB2312" w:hAnsi="Times New Roman" w:eastAsia="仿宋_GB2312"/>
          <w:sz w:val="32"/>
          <w:szCs w:val="32"/>
        </w:rPr>
        <w:t>加快发展住房租赁市场，扩大小户型、低租金的保障性租赁住房供给，推动租购住房在享受公共服务上具有同等权利。</w:t>
      </w:r>
    </w:p>
    <w:bookmarkEnd w:id="440"/>
    <w:p>
      <w:pPr>
        <w:pageBreakBefore w:val="0"/>
        <w:kinsoku/>
        <w:wordWrap/>
        <w:topLinePunct w:val="0"/>
        <w:bidi w:val="0"/>
        <w:spacing w:line="580" w:lineRule="exact"/>
        <w:ind w:firstLine="640" w:firstLineChars="200"/>
        <w:textAlignment w:val="auto"/>
      </w:pPr>
      <w:r>
        <w:rPr>
          <w:rFonts w:hint="eastAsia" w:ascii="楷体_GB2312" w:hAnsi="Times New Roman" w:eastAsia="楷体_GB2312"/>
          <w:bCs/>
          <w:sz w:val="32"/>
          <w:szCs w:val="32"/>
        </w:rPr>
        <w:t>（五）健全外来人口社会参与机制。</w:t>
      </w:r>
      <w:r>
        <w:rPr>
          <w:rFonts w:hint="eastAsia" w:ascii="仿宋_GB2312" w:hAnsi="仿宋_GB2312" w:eastAsia="仿宋_GB2312" w:cs="仿宋_GB2312"/>
          <w:sz w:val="32"/>
          <w:szCs w:val="32"/>
        </w:rPr>
        <w:t>充分发挥社区、工会、共青团、妇联和社会组织作用，加强人文关怀，鼓励积极参与城市的公共安全和社会事务管理，循序渐进地提高外来人口适应城市、融入城市的能力。加强和创新社区管理，强化社区为农业转移人口提供户籍管理、就业培训、社保经办、教育医疗和文化娱乐服务等功能，满足农业转移人口基本工作、生活等方面的实际需求。依托社区、社会团体等机构开展新市民培训，组织文艺娱乐等群众性文化活动，增进新老市民之间的交流、交往，促进新老市民和谐共处。</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41" w:name="_Toc9152"/>
      <w:bookmarkStart w:id="442" w:name="_Toc20326"/>
      <w:bookmarkStart w:id="443" w:name="_Toc1060"/>
      <w:bookmarkStart w:id="444" w:name="_Toc123911415"/>
      <w:bookmarkStart w:id="445" w:name="_Toc6803"/>
      <w:bookmarkStart w:id="446" w:name="_Toc90813748"/>
      <w:bookmarkStart w:id="447" w:name="_Toc1504523684"/>
      <w:bookmarkStart w:id="448" w:name="_Toc22761"/>
      <w:bookmarkStart w:id="449" w:name="_Toc1431224810"/>
      <w:bookmarkStart w:id="450" w:name="_Toc19982"/>
      <w:bookmarkStart w:id="451" w:name="_Toc93651855"/>
      <w:r>
        <w:rPr>
          <w:rFonts w:hint="eastAsia" w:ascii="黑体" w:hAnsi="黑体" w:eastAsia="黑体" w:cs="Times New Roman"/>
          <w:bCs/>
          <w:sz w:val="32"/>
          <w:szCs w:val="32"/>
        </w:rPr>
        <w:t>二、</w:t>
      </w:r>
      <w:bookmarkStart w:id="452" w:name="_Toc2040853202"/>
      <w:bookmarkStart w:id="453" w:name="_Toc397155440"/>
      <w:bookmarkStart w:id="454" w:name="_Toc399596942"/>
      <w:r>
        <w:rPr>
          <w:rFonts w:hint="eastAsia" w:ascii="黑体" w:hAnsi="黑体" w:eastAsia="黑体" w:cs="黑体"/>
          <w:sz w:val="32"/>
          <w:szCs w:val="32"/>
        </w:rPr>
        <w:t>促进城乡要素自由</w:t>
      </w:r>
      <w:bookmarkEnd w:id="441"/>
      <w:bookmarkEnd w:id="442"/>
      <w:bookmarkEnd w:id="443"/>
      <w:bookmarkEnd w:id="452"/>
      <w:bookmarkEnd w:id="453"/>
      <w:bookmarkEnd w:id="454"/>
      <w:r>
        <w:rPr>
          <w:rFonts w:hint="eastAsia" w:ascii="黑体" w:hAnsi="黑体" w:eastAsia="黑体" w:cs="黑体"/>
          <w:sz w:val="32"/>
          <w:szCs w:val="32"/>
        </w:rPr>
        <w:t>流动</w:t>
      </w:r>
      <w:bookmarkEnd w:id="444"/>
    </w:p>
    <w:bookmarkEnd w:id="416"/>
    <w:bookmarkEnd w:id="417"/>
    <w:bookmarkEnd w:id="445"/>
    <w:bookmarkEnd w:id="446"/>
    <w:bookmarkEnd w:id="447"/>
    <w:bookmarkEnd w:id="448"/>
    <w:bookmarkEnd w:id="449"/>
    <w:bookmarkEnd w:id="450"/>
    <w:bookmarkEnd w:id="451"/>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建立健全以工促农机制，深化农村土地制度改革，</w:t>
      </w:r>
      <w:r>
        <w:rPr>
          <w:rFonts w:hint="eastAsia" w:ascii="仿宋_GB2312" w:eastAsia="仿宋_GB2312"/>
          <w:sz w:val="32"/>
          <w:szCs w:val="32"/>
        </w:rPr>
        <w:t>坚决破除妨碍城乡要素自由流动和平等交换的体制机制壁垒，鼓励要素入乡回流，促进人才、土地、资金、产业、信息在乡村汇聚</w:t>
      </w:r>
      <w:r>
        <w:rPr>
          <w:rFonts w:hint="eastAsia" w:ascii="仿宋_GB2312" w:hAnsi="宋体" w:eastAsia="仿宋_GB2312" w:cs="仿宋_GB2312"/>
          <w:kern w:val="0"/>
          <w:sz w:val="32"/>
          <w:szCs w:val="32"/>
        </w:rPr>
        <w:t>。</w:t>
      </w:r>
    </w:p>
    <w:p>
      <w:pPr>
        <w:pageBreakBefore w:val="0"/>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（一）实施开展乡村人才振兴计划。</w:t>
      </w:r>
      <w:r>
        <w:rPr>
          <w:rFonts w:hint="eastAsia" w:ascii="仿宋_GB2312" w:hAnsi="宋体" w:eastAsia="仿宋_GB2312" w:cs="仿宋_GB2312"/>
          <w:kern w:val="0"/>
          <w:sz w:val="32"/>
          <w:szCs w:val="32"/>
        </w:rPr>
        <w:t>打造创业人才队伍，培育优质产业项目，支持青年人才返乡创业，以产业振兴拉动农业经济发展、促进就业。开展乡村青年人才“强雁工程”，分类施策进行培育；制定人才培训成长计划，搭建人才发展平台；发挥“历城乡村好青年联盟”作用，开展好青年遍访活动、互学互研互访交流活动，促进好青年协同合作，逐步构建好青年内部完整的产业链条；开展返乡人才参与乡村振兴产业“带头人”培育计划、普惠金融乡村行活动、青年银企对接会等活动，积极宣传人才创业奋斗故事，充分发挥乡村人才的示范带动作用。</w:t>
      </w:r>
    </w:p>
    <w:p>
      <w:pPr>
        <w:pStyle w:val="23"/>
        <w:pageBreakBefore w:val="0"/>
        <w:kinsoku/>
        <w:wordWrap/>
        <w:topLinePunct w:val="0"/>
        <w:bidi w:val="0"/>
        <w:spacing w:line="580" w:lineRule="exact"/>
        <w:ind w:firstLine="64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（二）深化农业农村产权制度改革。</w:t>
      </w:r>
      <w:r>
        <w:rPr>
          <w:rFonts w:hint="eastAsia" w:ascii="仿宋_GB2312" w:hAnsi="仿宋_GB2312" w:eastAsia="仿宋_GB2312" w:cs="仿宋_GB2312"/>
          <w:sz w:val="32"/>
          <w:szCs w:val="32"/>
        </w:rPr>
        <w:t>开展农村承包地规模化流转试点工作</w:t>
      </w:r>
      <w:r>
        <w:rPr>
          <w:rFonts w:hint="eastAsia" w:ascii="仿宋_GB2312" w:hAnsi="仿宋" w:eastAsia="仿宋_GB2312" w:cs="仿宋_GB2312"/>
          <w:sz w:val="32"/>
          <w:szCs w:val="32"/>
        </w:rPr>
        <w:t>，</w:t>
      </w:r>
      <w:r>
        <w:rPr>
          <w:rFonts w:hint="eastAsia" w:ascii="仿宋_GB2312" w:hAnsi="仿宋" w:eastAsia="仿宋_GB2312" w:cs="Helvetica"/>
          <w:sz w:val="32"/>
          <w:szCs w:val="32"/>
        </w:rPr>
        <w:t>推行“土地流转+全程托管”规模化经营模式</w:t>
      </w:r>
      <w:r>
        <w:rPr>
          <w:rFonts w:hint="eastAsia" w:ascii="仿宋_GB2312" w:hAnsi="仿宋_GB2312" w:eastAsia="仿宋_GB2312" w:cs="仿宋_GB2312"/>
          <w:sz w:val="32"/>
          <w:szCs w:val="32"/>
        </w:rPr>
        <w:t>；</w:t>
      </w:r>
      <w:r>
        <w:rPr>
          <w:rFonts w:hint="eastAsia" w:ascii="仿宋_GB2312" w:hAnsi="仿宋" w:eastAsia="仿宋_GB2312" w:cs="Helvetica"/>
          <w:sz w:val="32"/>
          <w:szCs w:val="32"/>
        </w:rPr>
        <w:t>落实农村土地集体所有权，稳定农户承包权，放活土地经营权，推进家庭经营、集体经营、合作经营、企业经营等多种经营方式共同发展，探索形成农村承包地“三权分置”有效形式、经营方式和发展路径；充分发挥农民首创精神，探索适合不同区域土地经营权流转模式和农业适度规模经营路径，依靠改革破解发展难题，力争打造一批可复制、可推广的示范典型。积极推进农村闲置宅基地盘活利用工作，</w:t>
      </w:r>
      <w:r>
        <w:rPr>
          <w:rFonts w:hint="eastAsia" w:ascii="仿宋_GB2312" w:hAnsi="仿宋" w:eastAsia="仿宋_GB2312" w:cs="仿宋"/>
          <w:sz w:val="32"/>
          <w:szCs w:val="32"/>
        </w:rPr>
        <w:t>利用农村闲置宅基地（农房）发展符合乡村特点的新产业新业态；依法依规利用城乡建设用地增减挂钩、集体经营性建设用地入市等政策，保障农民建房、乡村建设和产业发展等土地要素。</w:t>
      </w:r>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（三）引导科技成果入乡转化。</w:t>
      </w:r>
      <w:r>
        <w:rPr>
          <w:rFonts w:hint="eastAsia" w:ascii="仿宋_GB2312" w:hAnsi="宋体" w:eastAsia="仿宋_GB2312" w:cs="仿宋_GB2312"/>
          <w:kern w:val="0"/>
          <w:sz w:val="32"/>
          <w:szCs w:val="32"/>
        </w:rPr>
        <w:t>完善科技成果引入转化机制和融资、用地、建设等方面的帮扶激励机制，创建一批校地合作、院地合作示范基地，争做科技成果入乡转化的“试验田”。充分发挥</w:t>
      </w:r>
      <w:r>
        <w:rPr>
          <w:rFonts w:hint="eastAsia" w:ascii="仿宋_GB2312" w:eastAsia="仿宋_GB2312"/>
          <w:sz w:val="32"/>
          <w:szCs w:val="32"/>
        </w:rPr>
        <w:t>省农业科技成果转化中心平台作用，</w:t>
      </w:r>
      <w:r>
        <w:rPr>
          <w:rFonts w:ascii="仿宋_GB2312" w:eastAsia="仿宋_GB2312"/>
          <w:sz w:val="32"/>
          <w:szCs w:val="32"/>
        </w:rPr>
        <w:t>做大做强农作物、蔬菜种苗、畜禽良种三大种业集群，</w:t>
      </w:r>
      <w:r>
        <w:rPr>
          <w:rFonts w:hint="eastAsia" w:ascii="仿宋_GB2312" w:eastAsia="仿宋_GB2312"/>
          <w:sz w:val="32"/>
          <w:szCs w:val="32"/>
        </w:rPr>
        <w:t>促进农业科技成果转化和种业物流、科研、加工交易，打造省内领先、全国一流的农业科技成果转化平台。</w:t>
      </w:r>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w:t>
      </w:r>
      <w:r>
        <w:rPr>
          <w:rFonts w:ascii="楷体_GB2312" w:hAnsi="Times New Roman" w:eastAsia="楷体_GB2312" w:cs="Times New Roman"/>
          <w:sz w:val="32"/>
          <w:szCs w:val="32"/>
        </w:rPr>
        <w:t>加大财政金融支农力度。</w:t>
      </w:r>
      <w:r>
        <w:rPr>
          <w:rFonts w:ascii="仿宋_GB2312" w:hAnsi="宋体" w:eastAsia="仿宋_GB2312" w:cs="仿宋_GB2312"/>
          <w:kern w:val="0"/>
          <w:sz w:val="32"/>
          <w:szCs w:val="32"/>
        </w:rPr>
        <w:t>建立健全“三农”财政投入稳定增长机制，健全完善涉农资金统筹整合长效机制。</w:t>
      </w:r>
      <w:r>
        <w:rPr>
          <w:rFonts w:hint="eastAsia" w:eastAsia="仿宋_GB2312"/>
          <w:spacing w:val="-4"/>
          <w:sz w:val="32"/>
          <w:szCs w:val="32"/>
        </w:rPr>
        <w:t>集中财力保障乡村建设行动重点任务落实。</w:t>
      </w:r>
      <w:r>
        <w:rPr>
          <w:rFonts w:hint="eastAsia" w:ascii="仿宋_GB2312" w:hAnsi="仿宋_GB2312" w:eastAsia="仿宋_GB2312" w:cs="仿宋_GB2312"/>
          <w:sz w:val="32"/>
          <w:szCs w:val="32"/>
        </w:rPr>
        <w:t>加强金融服务，围绕农业农村基础设施建设、人居环境改造等重点领域，开发合适的金融产品和融资模式，加大对乡村道路建设、供水工程改造等项目的信贷支持力度，积极投放中长期贷款。强化农政银担合作，推动扩大农业信贷担保业务规模。创新政府和社会资本合作模式，探索运用EOD</w:t>
      </w:r>
      <w:r>
        <w:rPr>
          <w:rFonts w:ascii="仿宋_GB2312" w:hAnsi="仿宋_GB2312" w:eastAsia="仿宋_GB2312" w:cs="仿宋_GB2312"/>
          <w:sz w:val="32"/>
          <w:szCs w:val="32"/>
        </w:rPr>
        <w:t>、BOT等模式，引导社会资本投向乡村建设领域。对公益性项目，鼓励按照市场化运作理念，推进政府购买服务，创新农村基础设施建设和运营模式；对经营性建设项目，规范有序推广政府和社会资本合作模式，切实发挥运营企业作用。</w:t>
      </w:r>
      <w:r>
        <w:rPr>
          <w:rFonts w:hint="eastAsia" w:ascii="仿宋_GB2312" w:hAnsi="宋体" w:eastAsia="仿宋_GB2312" w:cs="仿宋_GB2312"/>
          <w:kern w:val="0"/>
          <w:sz w:val="32"/>
          <w:szCs w:val="32"/>
        </w:rPr>
        <w:t>探索多元融资渠道，让有技术、懂运营的社会资本参与项目投资、建设运营等多阶段管理，提高财政资金效率，分解财政风险，助力乡村振兴。</w:t>
      </w:r>
    </w:p>
    <w:bookmarkEnd w:id="418"/>
    <w:bookmarkEnd w:id="419"/>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Times New Roman"/>
          <w:bCs/>
          <w:sz w:val="32"/>
          <w:szCs w:val="32"/>
        </w:rPr>
      </w:pPr>
      <w:bookmarkStart w:id="455" w:name="_Toc123911416"/>
      <w:r>
        <w:rPr>
          <w:rFonts w:hint="eastAsia" w:ascii="黑体" w:hAnsi="黑体" w:eastAsia="黑体" w:cs="Times New Roman"/>
          <w:bCs/>
          <w:sz w:val="32"/>
          <w:szCs w:val="32"/>
        </w:rPr>
        <w:t>三、推动城乡产业协同发展</w:t>
      </w:r>
      <w:bookmarkEnd w:id="455"/>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立足城乡资源禀赋特点和三次产业形态差异，优化城乡产业协同发展布局，提升城乡产业协同发展水平，推动乡村特色产业和农业全产业链发展，实现城乡三次产业融合发展。</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（一）畅通城乡产业协同发展渠道。</w:t>
      </w:r>
      <w:r>
        <w:rPr>
          <w:rFonts w:hint="eastAsia" w:ascii="仿宋_GB2312" w:hAnsi="Times New Roman" w:eastAsia="仿宋_GB2312" w:cs="Times New Roman"/>
          <w:sz w:val="32"/>
          <w:szCs w:val="32"/>
        </w:rPr>
        <w:t>加快推进农业农村现代化，培育壮大新型经营主体，丰富乡村经济业态，提升农业农村数字化水平，全力拓展农民增收空间。实施农产品加工升级行动，延长农产品产业链条，推行绿色有机标准化生产和全程质量控制模式，建成农业新兴产业集群。实施乡村休闲旅游业提质行动，打造乡村旅游精品线路，创建一批乡村休闲旅游示范区、美丽休闲乡村、乡村旅游重点村。</w:t>
      </w:r>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（二）搭建城乡产业协同发展平台。</w:t>
      </w:r>
      <w:r>
        <w:rPr>
          <w:rFonts w:hint="eastAsia" w:ascii="仿宋_GB2312" w:hAnsi="Times New Roman" w:eastAsia="仿宋_GB2312" w:cs="仿宋_GB2312"/>
          <w:kern w:val="0"/>
          <w:sz w:val="32"/>
          <w:szCs w:val="32"/>
        </w:rPr>
        <w:t>充分发挥区位优势，对接高校科研资源和大型农业龙头企业，集聚农业科技资源和农企总部，</w:t>
      </w:r>
      <w:r>
        <w:rPr>
          <w:rFonts w:hint="eastAsia" w:ascii="仿宋_GB2312" w:hAnsi="Times New Roman" w:eastAsia="仿宋_GB2312" w:cs="Times New Roman"/>
          <w:sz w:val="32"/>
          <w:szCs w:val="32"/>
        </w:rPr>
        <w:t>探索实施“园区+平台公司”“党支部+合作社+企业”模式，推进城乡产业协同发展，推动城乡要素跨界配置和产业有机融合；积极构建以荷花路“水美乡村”、唐王“种业基地”、港九美丽乡村先行区、彩石“五朵金花”四大片区为引领的城乡融合发展格局，推动资本、科技、人才加速向乡村集聚，创新特色化差异化发展模式，充分盘活用好乡村资源资产，持续推进特色农业、现代种业、休闲农旅、康养文旅等一二三产</w:t>
      </w:r>
      <w:r>
        <w:rPr>
          <w:rFonts w:hint="eastAsia" w:ascii="仿宋_GB2312" w:hAnsi="Times New Roman" w:eastAsia="仿宋_GB2312" w:cs="Times New Roman"/>
          <w:sz w:val="32"/>
          <w:szCs w:val="32"/>
          <w:lang w:val="en-US" w:eastAsia="zh-CN"/>
        </w:rPr>
        <w:t>业</w:t>
      </w:r>
      <w:r>
        <w:rPr>
          <w:rFonts w:hint="eastAsia" w:ascii="仿宋_GB2312" w:hAnsi="Times New Roman" w:eastAsia="仿宋_GB2312" w:cs="Times New Roman"/>
          <w:sz w:val="32"/>
          <w:szCs w:val="32"/>
        </w:rPr>
        <w:t>的融合发展。</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（三）提高粮食和重要农产品供给保障能力。制</w:t>
      </w:r>
      <w:r>
        <w:rPr>
          <w:rFonts w:hint="eastAsia" w:ascii="仿宋_GB2312" w:hAnsi="Times New Roman" w:eastAsia="仿宋_GB2312" w:cs="Times New Roman"/>
          <w:sz w:val="32"/>
          <w:szCs w:val="32"/>
        </w:rPr>
        <w:t>定有序的粮食安全和农产品保供体系，深入落实“藏粮于地、藏粮于技”战略，实施高标准农田改造提升工程。推进优质草莓、特色林果、观赏渔业、中医药材、高科种业和民宿康养等产业，培育农业特色品牌，扩大品牌影响力。优化种植业结构，巩固蔬菜产业优势。重点推进种业发展，发挥省农科院、省种业集团、省科技成果转移转化中心优势，结合省级现代农业产业园等项目建设，搭建作物良种科技研发、交易流通、中试基地建设平台，</w:t>
      </w:r>
      <w:r>
        <w:rPr>
          <w:rFonts w:ascii="仿宋_GB2312" w:hAnsi="Times New Roman" w:eastAsia="仿宋_GB2312" w:cs="Times New Roman"/>
          <w:sz w:val="32"/>
          <w:szCs w:val="32"/>
        </w:rPr>
        <w:t>大力实施种业振兴行动</w:t>
      </w:r>
      <w:r>
        <w:rPr>
          <w:rFonts w:hint="eastAsia" w:ascii="仿宋_GB2312" w:hAnsi="Times New Roman" w:eastAsia="仿宋_GB2312" w:cs="Times New Roman"/>
          <w:sz w:val="32"/>
          <w:szCs w:val="32"/>
        </w:rPr>
        <w:t>。</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（四）创新发展现代农业。</w:t>
      </w:r>
      <w:r>
        <w:rPr>
          <w:rFonts w:hint="eastAsia" w:ascii="仿宋_GB2312" w:hAnsi="Times New Roman" w:eastAsia="仿宋_GB2312" w:cs="Times New Roman"/>
          <w:sz w:val="32"/>
          <w:szCs w:val="32"/>
        </w:rPr>
        <w:t>推动5G应用、人工智能、区块链、大数据、物联网等新一代创新技术给农村产业赋能，通过配置环境感控、过程监控、应用自控、数据分析等智能化设备及信息化管理系统，采集作物生长影响因子数据，推动大田种植、设施园艺、畜牧养殖、水产养殖、制种育种等领域与其深度融合应用。以科技引领现代农业产业体系，加强科技在农业产业横向拓展和纵向一体化发展中的引领作用，强化科技在先进生产手段和先进设施装备有机结合中的支撑作用。壮大农村新型经营主体，发展多种形式的适度规模经营，培育家庭农场，支持家庭农场通过联合与合作成立农民合作社。实施农业全产业链培育计划，推进原产地初加工、精深加工及综合利用加工协调发展，培育一批国家级优势特色产业集群，推进省级现代化产业园和唐王现代农业示范园区项目建设。加强绿色食品、有机农产品和地理标志农产品认证管理，做大做强“历城草莓”等农业特色品牌。</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456" w:name="_Toc13888"/>
      <w:bookmarkStart w:id="457" w:name="_Toc2128006830"/>
      <w:bookmarkStart w:id="458" w:name="_Toc90328760"/>
      <w:bookmarkStart w:id="459" w:name="_Toc90813755"/>
      <w:bookmarkStart w:id="460" w:name="_Toc14797"/>
      <w:bookmarkStart w:id="461" w:name="_Toc24999"/>
      <w:bookmarkStart w:id="462" w:name="_Toc90649763"/>
      <w:bookmarkStart w:id="463" w:name="_Toc93651862"/>
      <w:bookmarkStart w:id="464" w:name="_Toc24418"/>
      <w:bookmarkStart w:id="465" w:name="_Toc15775"/>
      <w:bookmarkStart w:id="466" w:name="_Toc15455"/>
      <w:bookmarkStart w:id="467" w:name="_Toc22955"/>
      <w:bookmarkStart w:id="468" w:name="_Toc30982"/>
      <w:bookmarkStart w:id="469" w:name="_Toc885930339"/>
      <w:bookmarkStart w:id="470" w:name="_Toc123911417"/>
      <w:bookmarkStart w:id="471" w:name="_Toc67304286"/>
      <w:bookmarkStart w:id="472" w:name="_Toc84951517"/>
      <w:r>
        <w:rPr>
          <w:rFonts w:hint="eastAsia" w:ascii="方正小标宋简体" w:eastAsia="方正小标宋简体"/>
          <w:b w:val="0"/>
          <w:sz w:val="36"/>
          <w:szCs w:val="36"/>
        </w:rPr>
        <w:t>第七章 完善规划实施保障</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hint="eastAsia" w:ascii="方正小标宋简体" w:eastAsia="方正小标宋简体"/>
          <w:b w:val="0"/>
          <w:sz w:val="36"/>
          <w:szCs w:val="36"/>
        </w:rPr>
        <w:t>机制</w:t>
      </w:r>
      <w:bookmarkEnd w:id="470"/>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坚持党对城镇化工作的全面领导，健全规划实施的组织和制度保障体系，激发各类主体的活力和创造力，形成全面推进新型城镇化建设的强大合力。</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73" w:name="_Toc8780"/>
      <w:bookmarkStart w:id="474" w:name="_Toc20597"/>
      <w:bookmarkStart w:id="475" w:name="_Toc27009"/>
      <w:bookmarkStart w:id="476" w:name="_Toc123911418"/>
      <w:bookmarkStart w:id="477" w:name="_Hlk77269822"/>
      <w:bookmarkStart w:id="478" w:name="_Toc84951518"/>
      <w:bookmarkStart w:id="479" w:name="_Toc28096"/>
      <w:bookmarkStart w:id="480" w:name="_Toc90813756"/>
      <w:bookmarkStart w:id="481" w:name="_Toc3884"/>
      <w:bookmarkStart w:id="482" w:name="_Toc30697"/>
      <w:bookmarkStart w:id="483" w:name="_Toc122206193"/>
      <w:bookmarkStart w:id="484" w:name="_Toc1256964815"/>
      <w:bookmarkStart w:id="485" w:name="_Toc1415"/>
      <w:bookmarkStart w:id="486" w:name="_Toc16502"/>
      <w:bookmarkStart w:id="487" w:name="_Toc93651863"/>
      <w:r>
        <w:rPr>
          <w:rFonts w:hint="eastAsia" w:ascii="黑体" w:hAnsi="黑体" w:eastAsia="黑体" w:cs="Times New Roman"/>
          <w:bCs/>
          <w:sz w:val="32"/>
          <w:szCs w:val="32"/>
        </w:rPr>
        <w:t>一、</w:t>
      </w:r>
      <w:r>
        <w:rPr>
          <w:rFonts w:hint="eastAsia" w:ascii="黑体" w:hAnsi="黑体" w:eastAsia="黑体" w:cs="黑体"/>
          <w:sz w:val="32"/>
          <w:szCs w:val="32"/>
        </w:rPr>
        <w:t>坚持党的全面领导</w:t>
      </w:r>
      <w:bookmarkEnd w:id="473"/>
      <w:bookmarkEnd w:id="474"/>
      <w:bookmarkEnd w:id="475"/>
      <w:bookmarkEnd w:id="476"/>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ascii="仿宋_GB2312" w:hAnsi="Times New Roman" w:eastAsia="仿宋_GB2312" w:cs="Times New Roman"/>
          <w:sz w:val="32"/>
          <w:szCs w:val="32"/>
        </w:rPr>
        <w:t>深入学习贯彻习近平新时代中国特色社会主义思想,深刻领会“两个确立”的决定性意义,增强“四个意识”、坚定“四个自信”、做到“两个维护”,不断提高政治判断力、政治领悟力、政治执行力,增强把握新发展阶段、完整准确全面贯彻新发展理念、服务和融入新发展格局的政治能力、战略眼光、专业水平</w:t>
      </w:r>
      <w:r>
        <w:rPr>
          <w:rFonts w:hint="eastAsia" w:ascii="仿宋_GB2312" w:hAnsi="Times New Roman" w:eastAsia="仿宋_GB2312" w:cs="Times New Roman"/>
          <w:sz w:val="32"/>
          <w:szCs w:val="32"/>
        </w:rPr>
        <w:t>。坚持把党的全面领导落实到新型城镇化各环节、全过程，充分发挥基层党组织的战斗堡垒作用和各级干部的积极性、主动性、创造性，提高党领导新型城镇化建设的能力，努力破解城镇化建设难题、推进城镇化战略转型、实现城镇化提质增效，促进经济社会持续健康发展。</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88" w:name="_Toc490119256"/>
      <w:bookmarkStart w:id="489" w:name="_Toc1864657197"/>
      <w:bookmarkStart w:id="490" w:name="_Toc2123307663"/>
      <w:bookmarkStart w:id="491" w:name="_Toc19678"/>
      <w:bookmarkStart w:id="492" w:name="_Toc1875205604"/>
      <w:bookmarkStart w:id="493" w:name="_Toc123911419"/>
      <w:bookmarkStart w:id="494" w:name="_Toc18166"/>
      <w:bookmarkStart w:id="495" w:name="_Toc14046"/>
      <w:r>
        <w:rPr>
          <w:rFonts w:hint="eastAsia" w:ascii="黑体" w:hAnsi="黑体" w:eastAsia="黑体" w:cs="黑体"/>
          <w:sz w:val="32"/>
          <w:szCs w:val="32"/>
        </w:rPr>
        <w:t>二、</w:t>
      </w:r>
      <w:bookmarkEnd w:id="488"/>
      <w:bookmarkEnd w:id="489"/>
      <w:bookmarkEnd w:id="490"/>
      <w:r>
        <w:rPr>
          <w:rFonts w:hint="eastAsia" w:ascii="黑体" w:hAnsi="黑体" w:eastAsia="黑体" w:cs="黑体"/>
          <w:sz w:val="32"/>
          <w:szCs w:val="32"/>
        </w:rPr>
        <w:t>健全推进协调机制</w:t>
      </w:r>
      <w:bookmarkEnd w:id="491"/>
      <w:bookmarkEnd w:id="492"/>
      <w:bookmarkEnd w:id="493"/>
      <w:bookmarkEnd w:id="494"/>
      <w:bookmarkEnd w:id="495"/>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善区新型城镇化暨城乡融合发展工作推进协调机制，统筹重大政策研究制定，协调解决重大问题，督导重点工作推进。围绕本规划确定的主要目标和重点任务，分阶段制定试点示范方案和具体推进计划。坚持“项目跟着规划走、要素跟着项目走”，建立完善新型城镇化重点项目清单。根据规划确定的目标任务和政策措施，制定具体落实方案。</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96" w:name="_Toc743852219"/>
      <w:bookmarkStart w:id="497" w:name="_Toc1177093714"/>
      <w:bookmarkStart w:id="498" w:name="_Toc21576"/>
      <w:bookmarkStart w:id="499" w:name="_Toc27543"/>
      <w:bookmarkStart w:id="500" w:name="_Toc1529087669"/>
      <w:bookmarkStart w:id="501" w:name="_Toc1400480876"/>
      <w:bookmarkStart w:id="502" w:name="_Toc23477"/>
      <w:bookmarkStart w:id="503" w:name="_Toc123911420"/>
      <w:r>
        <w:rPr>
          <w:rFonts w:hint="eastAsia" w:ascii="黑体" w:hAnsi="黑体" w:eastAsia="黑体" w:cs="黑体"/>
          <w:sz w:val="32"/>
          <w:szCs w:val="32"/>
        </w:rPr>
        <w:t>三、强化动态监测评估</w:t>
      </w:r>
      <w:bookmarkEnd w:id="496"/>
      <w:bookmarkEnd w:id="497"/>
      <w:bookmarkEnd w:id="498"/>
      <w:bookmarkEnd w:id="499"/>
      <w:bookmarkEnd w:id="500"/>
      <w:bookmarkEnd w:id="501"/>
      <w:bookmarkEnd w:id="502"/>
      <w:bookmarkEnd w:id="503"/>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强化规划实施全过程管理，定期对本规划实施进度及实施效果开展阶段评估，按要求开展年度评估、中期评估和终期评估。加强城镇化统计，运用大数据、遥感等辅助手段，开展年度动态监测与跟踪分析，及时发现和解决规划实施中的问题，必要时对本规划进行修订。</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504" w:name="_Toc585945334"/>
      <w:bookmarkStart w:id="505" w:name="_Toc234532150"/>
      <w:bookmarkStart w:id="506" w:name="_Toc123911421"/>
      <w:bookmarkStart w:id="507" w:name="_Toc13181"/>
      <w:bookmarkStart w:id="508" w:name="_Toc26038"/>
      <w:bookmarkStart w:id="509" w:name="_Toc1976679487"/>
      <w:bookmarkStart w:id="510" w:name="_Toc1464"/>
      <w:bookmarkStart w:id="511" w:name="_Toc1586021395"/>
      <w:r>
        <w:rPr>
          <w:rFonts w:hint="eastAsia" w:ascii="黑体" w:hAnsi="黑体" w:eastAsia="黑体" w:cs="黑体"/>
          <w:sz w:val="32"/>
          <w:szCs w:val="32"/>
        </w:rPr>
        <w:t>四、凝聚规划实施合力</w:t>
      </w:r>
      <w:bookmarkEnd w:id="504"/>
      <w:bookmarkEnd w:id="505"/>
      <w:bookmarkEnd w:id="506"/>
      <w:bookmarkEnd w:id="507"/>
      <w:bookmarkEnd w:id="508"/>
      <w:bookmarkEnd w:id="509"/>
      <w:bookmarkEnd w:id="510"/>
      <w:bookmarkEnd w:id="511"/>
    </w:p>
    <w:p>
      <w:pPr>
        <w:pageBreakBefore w:val="0"/>
        <w:kinsoku/>
        <w:wordWrap/>
        <w:overflowPunct w:val="0"/>
        <w:topLinePunct w:val="0"/>
        <w:bidi w:val="0"/>
        <w:spacing w:line="580" w:lineRule="exact"/>
        <w:ind w:firstLine="640" w:firstLineChars="200"/>
        <w:jc w:val="left"/>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发挥本规划宏观引导和统筹协调功能，推动完善财政、金融、土地等配套政策，在人口、产业、基础设施、公共服务等规划政策制定中落实本规划要求，强化政策协同保障。激发全社会参与规划实施的积极性，支持社会各界建言献策，汇集共识，凝聚力量，营造全社会共同推动新型城镇化的良好氛围。加强工作联动，优化资源整合，增进社会认同，强化民意支撑，保障新型城镇化工作顺利推进。</w:t>
      </w:r>
      <w:bookmarkEnd w:id="471"/>
      <w:bookmarkEnd w:id="472"/>
      <w:bookmarkEnd w:id="477"/>
      <w:bookmarkEnd w:id="478"/>
      <w:bookmarkEnd w:id="479"/>
      <w:bookmarkEnd w:id="480"/>
      <w:bookmarkEnd w:id="481"/>
      <w:bookmarkEnd w:id="482"/>
      <w:bookmarkEnd w:id="483"/>
      <w:bookmarkEnd w:id="484"/>
      <w:bookmarkEnd w:id="485"/>
      <w:bookmarkEnd w:id="486"/>
      <w:bookmarkEnd w:id="487"/>
    </w:p>
    <w:p>
      <w:pPr>
        <w:keepNext w:val="0"/>
        <w:keepLines w:val="0"/>
        <w:pageBreakBefore w:val="0"/>
        <w:tabs>
          <w:tab w:val="left" w:pos="8647"/>
        </w:tabs>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pStyle w:val="4"/>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pStyle w:val="4"/>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pStyle w:val="4"/>
        <w:rPr>
          <w:rFonts w:hint="eastAsia"/>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pStyle w:val="4"/>
        <w:rPr>
          <w:rFonts w:hint="eastAsia" w:ascii="仿宋_GB2312" w:hAnsi="仿宋_GB2312" w:eastAsia="仿宋_GB2312" w:cs="仿宋_GB2312"/>
          <w:color w:val="auto"/>
          <w:sz w:val="28"/>
          <w:szCs w:val="28"/>
        </w:rPr>
      </w:pPr>
    </w:p>
    <w:p>
      <w:pPr>
        <w:rPr>
          <w:rFonts w:hint="eastAsia"/>
        </w:rPr>
      </w:pPr>
    </w:p>
    <w:p>
      <w:pPr>
        <w:keepNext w:val="0"/>
        <w:keepLines w:val="0"/>
        <w:pageBreakBefore w:val="0"/>
        <w:kinsoku/>
        <w:wordWrap/>
        <w:overflowPunct/>
        <w:topLinePunct w:val="0"/>
        <w:autoSpaceDE/>
        <w:autoSpaceDN/>
        <w:bidi w:val="0"/>
        <w:adjustRightInd/>
        <w:snapToGrid/>
        <w:spacing w:line="600" w:lineRule="exact"/>
        <w:ind w:firstLine="280" w:firstLineChars="100"/>
        <w:textAlignment w:val="auto"/>
        <w:rPr>
          <w:rFonts w:hint="eastAsia" w:ascii="仿宋_GB2312" w:hAnsi="仿宋_GB2312" w:eastAsia="仿宋_GB2312" w:cs="仿宋_GB2312"/>
          <w:snapToGrid w:val="0"/>
          <w:color w:val="auto"/>
          <w:sz w:val="28"/>
          <w:szCs w:val="28"/>
          <w:lang w:val="en-US" w:eastAsia="zh-CN"/>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CB0461-2BD0-4258-B43C-222C5F149DBF}"/>
  </w:font>
  <w:font w:name="黑体">
    <w:panose1 w:val="02010609060101010101"/>
    <w:charset w:val="86"/>
    <w:family w:val="auto"/>
    <w:pitch w:val="default"/>
    <w:sig w:usb0="800002BF" w:usb1="38CF7CFA" w:usb2="00000016" w:usb3="00000000" w:csb0="00040001" w:csb1="00000000"/>
    <w:embedRegular r:id="rId2" w:fontKey="{1294E49D-BEB9-455E-A37D-81056C31AD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04EF8E9-17CF-4138-86D8-12312E95243B}"/>
  </w:font>
  <w:font w:name="等线">
    <w:panose1 w:val="02010600030101010101"/>
    <w:charset w:val="86"/>
    <w:family w:val="auto"/>
    <w:pitch w:val="default"/>
    <w:sig w:usb0="A00002BF" w:usb1="38CF7CFA" w:usb2="00000016" w:usb3="00000000" w:csb0="0004000F" w:csb1="00000000"/>
    <w:embedRegular r:id="rId4" w:fontKey="{FD638E43-A0A7-4F25-85FC-0F015D3FF770}"/>
  </w:font>
  <w:font w:name="等线 Light">
    <w:panose1 w:val="02010600030101010101"/>
    <w:charset w:val="86"/>
    <w:family w:val="roman"/>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5" w:fontKey="{770D59AA-B45C-4C55-87FD-B8575E25E9EB}"/>
  </w:font>
  <w:font w:name="方正小标宋_GBK">
    <w:panose1 w:val="02000000000000000000"/>
    <w:charset w:val="86"/>
    <w:family w:val="script"/>
    <w:pitch w:val="default"/>
    <w:sig w:usb0="A00002BF" w:usb1="38CF7CFA" w:usb2="00082016" w:usb3="00000000" w:csb0="00040001" w:csb1="00000000"/>
    <w:embedRegular r:id="rId6" w:fontKey="{2DEFDF5C-00AC-4577-BD3A-2DA51A71772D}"/>
  </w:font>
  <w:font w:name="楷体_GB2312">
    <w:panose1 w:val="02010609030101010101"/>
    <w:charset w:val="86"/>
    <w:family w:val="modern"/>
    <w:pitch w:val="default"/>
    <w:sig w:usb0="00000001" w:usb1="080E0000" w:usb2="00000000" w:usb3="00000000" w:csb0="00040000" w:csb1="00000000"/>
    <w:embedRegular r:id="rId7" w:fontKey="{FE1DA0C8-B447-4796-A9BD-74C81452F93D}"/>
  </w:font>
  <w:font w:name="仿宋_GB2312">
    <w:panose1 w:val="02010609030101010101"/>
    <w:charset w:val="86"/>
    <w:family w:val="modern"/>
    <w:pitch w:val="default"/>
    <w:sig w:usb0="00000001" w:usb1="080E0000" w:usb2="00000000" w:usb3="00000000" w:csb0="00040000" w:csb1="00000000"/>
    <w:embedRegular r:id="rId8" w:fontKey="{2F816047-A0EE-4AB3-93DE-9A946A469402}"/>
  </w:font>
  <w:font w:name="微软雅黑">
    <w:panose1 w:val="020B0503020204020204"/>
    <w:charset w:val="86"/>
    <w:family w:val="auto"/>
    <w:pitch w:val="default"/>
    <w:sig w:usb0="80000287" w:usb1="2ACF3C50" w:usb2="00000016" w:usb3="00000000" w:csb0="0004001F" w:csb1="00000000"/>
    <w:embedRegular r:id="rId9" w:fontKey="{52D6A6B2-8EEE-499E-9C6C-AA893F02817D}"/>
  </w:font>
  <w:font w:name="仿宋">
    <w:panose1 w:val="02010609060101010101"/>
    <w:charset w:val="86"/>
    <w:family w:val="modern"/>
    <w:pitch w:val="default"/>
    <w:sig w:usb0="800002BF" w:usb1="38CF7CFA" w:usb2="00000016" w:usb3="00000000" w:csb0="00040001" w:csb1="00000000"/>
    <w:embedRegular r:id="rId10" w:fontKey="{C7E0EBC4-9069-452A-A873-E2E08D84BAD2}"/>
  </w:font>
  <w:font w:name="Helvetica">
    <w:altName w:val="Arial"/>
    <w:panose1 w:val="020B0604020202020204"/>
    <w:charset w:val="00"/>
    <w:family w:val="swiss"/>
    <w:pitch w:val="default"/>
    <w:sig w:usb0="00000000" w:usb1="00000000" w:usb2="00000000" w:usb3="00000000" w:csb0="00000001" w:csb1="00000000"/>
    <w:embedRegular r:id="rId11" w:fontKey="{C909C95A-AE1A-400C-A385-99C27B6166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仿宋_GB2312"/>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7"/>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仿宋_GB2312"/>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B1q+sgBAACZ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UtKHLc48PPPH+dff86/v5Pr&#10;LE8foMash4B5afjgB1ya2Q/ozKwHFW3+Ih+CcRT3dBFXDomI/Gi1XK0qDAmMzRfEZ4/PQ4T0UXpL&#10;stHQiNMrovLjHaQxdU7J1Zy/1caUCRr3nwMxs4fl3sces5WG3TAR2vn2hHx6HHxDHe45JeaTQ13z&#10;jsxGnI3dbBxC1PuuLFGuB+H9IWETpbdcYYSdCuPECrtpu/JK/HsvWY9/1O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AdavrIAQAAmQMAAA4AAAAAAAAAAQAgAAAAHgEAAGRycy9lMm9Eb2Mu&#10;eG1sUEsFBgAAAAAGAAYAWQEAAFgFAAAAAA==&#10;">
              <v:fill on="f" focussize="0,0"/>
              <v:stroke on="f"/>
              <v:imagedata o:title=""/>
              <o:lock v:ext="edit" aspectratio="f"/>
              <v:textbox inset="0mm,0mm,0mm,0mm" style="mso-fit-shape-to-text:t;">
                <w:txbxContent>
                  <w:p>
                    <w:pPr>
                      <w:pStyle w:val="7"/>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8DC483"/>
    <w:multiLevelType w:val="singleLevel"/>
    <w:tmpl w:val="5E8DC48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zM2FhOTE3Y2I0MDQxZjljZTU2MjdkNzYwMDhiNjYifQ=="/>
  </w:docVars>
  <w:rsids>
    <w:rsidRoot w:val="00DB63C9"/>
    <w:rsid w:val="00846130"/>
    <w:rsid w:val="00946DF2"/>
    <w:rsid w:val="00A91D8A"/>
    <w:rsid w:val="00B82D1B"/>
    <w:rsid w:val="00BE10DC"/>
    <w:rsid w:val="00DB63C9"/>
    <w:rsid w:val="0101387D"/>
    <w:rsid w:val="010E6561"/>
    <w:rsid w:val="014A1105"/>
    <w:rsid w:val="01AB3F80"/>
    <w:rsid w:val="02BB3CE5"/>
    <w:rsid w:val="0397607D"/>
    <w:rsid w:val="041046D2"/>
    <w:rsid w:val="06B25BE4"/>
    <w:rsid w:val="077C75DD"/>
    <w:rsid w:val="08072B51"/>
    <w:rsid w:val="0AB67405"/>
    <w:rsid w:val="0B27644D"/>
    <w:rsid w:val="0B535840"/>
    <w:rsid w:val="0C083FBC"/>
    <w:rsid w:val="0DC8627F"/>
    <w:rsid w:val="0DCE4AD5"/>
    <w:rsid w:val="0E0F2B76"/>
    <w:rsid w:val="0E2227A5"/>
    <w:rsid w:val="0FBB0798"/>
    <w:rsid w:val="0FEC2F45"/>
    <w:rsid w:val="128817DD"/>
    <w:rsid w:val="13AC17B9"/>
    <w:rsid w:val="17A36017"/>
    <w:rsid w:val="17BD668B"/>
    <w:rsid w:val="18B3289B"/>
    <w:rsid w:val="19DB4ABE"/>
    <w:rsid w:val="1AC71030"/>
    <w:rsid w:val="1AF43AE8"/>
    <w:rsid w:val="1CC9449E"/>
    <w:rsid w:val="1F7D0221"/>
    <w:rsid w:val="21197BCA"/>
    <w:rsid w:val="21B44B18"/>
    <w:rsid w:val="227635D6"/>
    <w:rsid w:val="22B80019"/>
    <w:rsid w:val="24A50CC2"/>
    <w:rsid w:val="251E1D03"/>
    <w:rsid w:val="25785D87"/>
    <w:rsid w:val="268B386A"/>
    <w:rsid w:val="26F64521"/>
    <w:rsid w:val="275F63F1"/>
    <w:rsid w:val="278E67E6"/>
    <w:rsid w:val="27A04BA3"/>
    <w:rsid w:val="27AD1D51"/>
    <w:rsid w:val="28940C5A"/>
    <w:rsid w:val="2B0D6AA1"/>
    <w:rsid w:val="2C150D2C"/>
    <w:rsid w:val="2C5446E4"/>
    <w:rsid w:val="2CAA7B49"/>
    <w:rsid w:val="2DDE7388"/>
    <w:rsid w:val="2DE6727C"/>
    <w:rsid w:val="2E6115DE"/>
    <w:rsid w:val="301774D1"/>
    <w:rsid w:val="31951F4D"/>
    <w:rsid w:val="321508E5"/>
    <w:rsid w:val="3389050E"/>
    <w:rsid w:val="36267A76"/>
    <w:rsid w:val="37E757AF"/>
    <w:rsid w:val="386B58D4"/>
    <w:rsid w:val="39D966E3"/>
    <w:rsid w:val="39E141D3"/>
    <w:rsid w:val="39F01F03"/>
    <w:rsid w:val="3A712BA9"/>
    <w:rsid w:val="3B5A779E"/>
    <w:rsid w:val="3CB368D5"/>
    <w:rsid w:val="3CE40076"/>
    <w:rsid w:val="3D641F1A"/>
    <w:rsid w:val="3D7A252A"/>
    <w:rsid w:val="3E4A61B7"/>
    <w:rsid w:val="3FB8A56C"/>
    <w:rsid w:val="40210BCD"/>
    <w:rsid w:val="424E0F69"/>
    <w:rsid w:val="43BD6A09"/>
    <w:rsid w:val="46E06C18"/>
    <w:rsid w:val="4A3D0946"/>
    <w:rsid w:val="4C325F59"/>
    <w:rsid w:val="4C6522FD"/>
    <w:rsid w:val="4D64659D"/>
    <w:rsid w:val="4ECC7C39"/>
    <w:rsid w:val="4FC716B1"/>
    <w:rsid w:val="4FD077BE"/>
    <w:rsid w:val="50E27171"/>
    <w:rsid w:val="526B7F41"/>
    <w:rsid w:val="53733C5B"/>
    <w:rsid w:val="540A0F01"/>
    <w:rsid w:val="552900AC"/>
    <w:rsid w:val="55D8098E"/>
    <w:rsid w:val="57F55EB3"/>
    <w:rsid w:val="583D5B73"/>
    <w:rsid w:val="59DA40AC"/>
    <w:rsid w:val="5B2E06B9"/>
    <w:rsid w:val="5E1944C5"/>
    <w:rsid w:val="5EE236EC"/>
    <w:rsid w:val="5F0B4ACB"/>
    <w:rsid w:val="5F0E45BB"/>
    <w:rsid w:val="5F7D328E"/>
    <w:rsid w:val="5F9134E7"/>
    <w:rsid w:val="5FFB8428"/>
    <w:rsid w:val="61371F4B"/>
    <w:rsid w:val="61FA691C"/>
    <w:rsid w:val="66F97132"/>
    <w:rsid w:val="679F4623"/>
    <w:rsid w:val="67A80E5E"/>
    <w:rsid w:val="67DF0849"/>
    <w:rsid w:val="69A03A02"/>
    <w:rsid w:val="6A5A4B58"/>
    <w:rsid w:val="6C2D57A5"/>
    <w:rsid w:val="6E0658FB"/>
    <w:rsid w:val="6FCF744E"/>
    <w:rsid w:val="70981767"/>
    <w:rsid w:val="72FF3590"/>
    <w:rsid w:val="73F61AA0"/>
    <w:rsid w:val="747839C1"/>
    <w:rsid w:val="75D752AF"/>
    <w:rsid w:val="76BF4BF6"/>
    <w:rsid w:val="76F70643"/>
    <w:rsid w:val="77CB2D5A"/>
    <w:rsid w:val="788B38EF"/>
    <w:rsid w:val="7A9C026A"/>
    <w:rsid w:val="7A9F5AA7"/>
    <w:rsid w:val="7C115E23"/>
    <w:rsid w:val="7C2E0065"/>
    <w:rsid w:val="7CC978F2"/>
    <w:rsid w:val="7DDBB21B"/>
    <w:rsid w:val="7F37219A"/>
    <w:rsid w:val="7FFE3438"/>
    <w:rsid w:val="7FFFE18C"/>
    <w:rsid w:val="9FCCA2A8"/>
    <w:rsid w:val="AFF74702"/>
    <w:rsid w:val="DAFED963"/>
    <w:rsid w:val="DBCF7EFD"/>
    <w:rsid w:val="DCFF3B0C"/>
    <w:rsid w:val="EBDA89E0"/>
    <w:rsid w:val="F3FFC773"/>
    <w:rsid w:val="F5BF16CC"/>
    <w:rsid w:val="F641DB48"/>
    <w:rsid w:val="F7FB4ED2"/>
    <w:rsid w:val="FCD75DFC"/>
    <w:rsid w:val="FEFE8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rFonts w:ascii="等线" w:hAnsi="等线" w:eastAsia="等线" w:cs="Times New Roman"/>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autoRedefine/>
    <w:qFormat/>
    <w:uiPriority w:val="0"/>
    <w:pPr>
      <w:adjustRightInd w:val="0"/>
      <w:snapToGrid w:val="0"/>
      <w:spacing w:line="580" w:lineRule="exact"/>
      <w:ind w:firstLine="200" w:firstLineChars="200"/>
      <w:outlineLvl w:val="2"/>
    </w:pPr>
    <w:rPr>
      <w:bCs/>
    </w:rPr>
  </w:style>
  <w:style w:type="character" w:default="1" w:styleId="14">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unhideWhenUsed/>
    <w:qFormat/>
    <w:uiPriority w:val="99"/>
    <w:pPr>
      <w:ind w:firstLine="420" w:firstLineChars="200"/>
    </w:pPr>
  </w:style>
  <w:style w:type="paragraph" w:styleId="6">
    <w:name w:val="Body Text Indent"/>
    <w:basedOn w:val="1"/>
    <w:next w:val="5"/>
    <w:autoRedefine/>
    <w:unhideWhenUsed/>
    <w:qFormat/>
    <w:uiPriority w:val="99"/>
    <w:pPr>
      <w:spacing w:after="120"/>
      <w:ind w:left="420" w:leftChars="200"/>
    </w:pPr>
  </w:style>
  <w:style w:type="paragraph" w:styleId="7">
    <w:name w:val="footer"/>
    <w:basedOn w:val="1"/>
    <w:link w:val="19"/>
    <w:autoRedefine/>
    <w:semiHidden/>
    <w:unhideWhenUsed/>
    <w:qFormat/>
    <w:uiPriority w:val="99"/>
    <w:pPr>
      <w:tabs>
        <w:tab w:val="center" w:pos="4153"/>
        <w:tab w:val="right" w:pos="8306"/>
      </w:tabs>
      <w:snapToGrid w:val="0"/>
      <w:jc w:val="left"/>
    </w:pPr>
    <w:rPr>
      <w:sz w:val="18"/>
      <w:szCs w:val="18"/>
    </w:rPr>
  </w:style>
  <w:style w:type="paragraph" w:styleId="8">
    <w:name w:val="header"/>
    <w:basedOn w:val="1"/>
    <w:link w:val="18"/>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tabs>
        <w:tab w:val="right" w:leader="dot" w:pos="8834"/>
      </w:tabs>
      <w:spacing w:before="120" w:after="120"/>
      <w:jc w:val="left"/>
    </w:pPr>
    <w:rPr>
      <w:rFonts w:ascii="方正小标宋简体" w:hAnsi="方正小标宋简体" w:eastAsia="黑体" w:cstheme="minorHAnsi"/>
      <w:b/>
      <w:bCs/>
      <w:caps/>
      <w:sz w:val="32"/>
      <w:szCs w:val="32"/>
    </w:rPr>
  </w:style>
  <w:style w:type="paragraph" w:styleId="10">
    <w:name w:val="toc 2"/>
    <w:basedOn w:val="1"/>
    <w:next w:val="1"/>
    <w:autoRedefine/>
    <w:unhideWhenUsed/>
    <w:qFormat/>
    <w:uiPriority w:val="39"/>
    <w:pPr>
      <w:ind w:left="210"/>
      <w:jc w:val="left"/>
    </w:pPr>
    <w:rPr>
      <w:rFonts w:cstheme="minorHAnsi"/>
      <w:smallCaps/>
      <w:sz w:val="20"/>
      <w:szCs w:val="20"/>
    </w:rPr>
  </w:style>
  <w:style w:type="paragraph" w:styleId="11">
    <w:name w:val="Normal (Web)"/>
    <w:basedOn w:val="1"/>
    <w:autoRedefine/>
    <w:qFormat/>
    <w:uiPriority w:val="0"/>
    <w:pPr>
      <w:spacing w:beforeAutospacing="1" w:afterAutospacing="1"/>
      <w:jc w:val="left"/>
    </w:pPr>
    <w:rPr>
      <w:rFonts w:cs="Times New Roman"/>
      <w:kern w:val="0"/>
      <w:sz w:val="24"/>
    </w:rPr>
  </w:style>
  <w:style w:type="paragraph" w:styleId="12">
    <w:name w:val="Body Text First Indent 2"/>
    <w:basedOn w:val="6"/>
    <w:autoRedefine/>
    <w:unhideWhenUsed/>
    <w:qFormat/>
    <w:uiPriority w:val="99"/>
    <w:pPr>
      <w:ind w:firstLine="420" w:firstLineChars="200"/>
    </w:pPr>
  </w:style>
  <w:style w:type="character" w:styleId="15">
    <w:name w:val="Strong"/>
    <w:basedOn w:val="14"/>
    <w:autoRedefine/>
    <w:qFormat/>
    <w:uiPriority w:val="0"/>
    <w:rPr>
      <w:b/>
    </w:rPr>
  </w:style>
  <w:style w:type="character" w:styleId="16">
    <w:name w:val="page number"/>
    <w:basedOn w:val="14"/>
    <w:autoRedefine/>
    <w:qFormat/>
    <w:uiPriority w:val="0"/>
  </w:style>
  <w:style w:type="character" w:styleId="17">
    <w:name w:val="Hyperlink"/>
    <w:basedOn w:val="14"/>
    <w:autoRedefine/>
    <w:unhideWhenUsed/>
    <w:qFormat/>
    <w:uiPriority w:val="99"/>
    <w:rPr>
      <w:color w:val="0000FF" w:themeColor="hyperlink"/>
      <w:u w:val="single"/>
      <w14:textFill>
        <w14:solidFill>
          <w14:schemeClr w14:val="hlink"/>
        </w14:solidFill>
      </w14:textFill>
    </w:rPr>
  </w:style>
  <w:style w:type="character" w:customStyle="1" w:styleId="18">
    <w:name w:val="页眉 Char"/>
    <w:basedOn w:val="14"/>
    <w:link w:val="8"/>
    <w:autoRedefine/>
    <w:semiHidden/>
    <w:qFormat/>
    <w:uiPriority w:val="99"/>
    <w:rPr>
      <w:sz w:val="18"/>
      <w:szCs w:val="18"/>
    </w:rPr>
  </w:style>
  <w:style w:type="character" w:customStyle="1" w:styleId="19">
    <w:name w:val="页脚 Char"/>
    <w:basedOn w:val="14"/>
    <w:link w:val="7"/>
    <w:autoRedefine/>
    <w:semiHidden/>
    <w:qFormat/>
    <w:uiPriority w:val="99"/>
    <w:rPr>
      <w:sz w:val="18"/>
      <w:szCs w:val="18"/>
    </w:rPr>
  </w:style>
  <w:style w:type="paragraph" w:customStyle="1" w:styleId="20">
    <w:name w:val="Table Paragraph"/>
    <w:basedOn w:val="1"/>
    <w:autoRedefine/>
    <w:qFormat/>
    <w:uiPriority w:val="1"/>
    <w:pPr>
      <w:autoSpaceDE w:val="0"/>
      <w:autoSpaceDN w:val="0"/>
      <w:spacing w:before="121"/>
      <w:ind w:left="114" w:right="70"/>
      <w:jc w:val="center"/>
    </w:pPr>
    <w:rPr>
      <w:rFonts w:ascii="宋体" w:hAnsi="宋体" w:cs="宋体"/>
      <w:kern w:val="0"/>
      <w:sz w:val="22"/>
      <w:szCs w:val="22"/>
    </w:rPr>
  </w:style>
  <w:style w:type="paragraph" w:customStyle="1" w:styleId="21">
    <w:name w:val="BodyText1I2"/>
    <w:basedOn w:val="22"/>
    <w:autoRedefine/>
    <w:qFormat/>
    <w:uiPriority w:val="0"/>
    <w:pPr>
      <w:snapToGrid w:val="0"/>
      <w:spacing w:line="360" w:lineRule="auto"/>
      <w:ind w:firstLine="420" w:firstLineChars="200"/>
    </w:pPr>
    <w:rPr>
      <w:rFonts w:ascii="宋体" w:hAnsi="宋体"/>
      <w:kern w:val="0"/>
      <w:sz w:val="28"/>
      <w:szCs w:val="28"/>
      <w:lang w:val="zh-CN"/>
    </w:rPr>
  </w:style>
  <w:style w:type="paragraph" w:customStyle="1" w:styleId="22">
    <w:name w:val="BodyTextIndent"/>
    <w:basedOn w:val="1"/>
    <w:autoRedefine/>
    <w:qFormat/>
    <w:uiPriority w:val="0"/>
    <w:pPr>
      <w:spacing w:after="120"/>
      <w:ind w:left="420" w:leftChars="200"/>
      <w:textAlignment w:val="baseline"/>
    </w:pPr>
  </w:style>
  <w:style w:type="paragraph" w:styleId="23">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SLDN</Company>
  <Pages>54</Pages>
  <Words>28379</Words>
  <Characters>28804</Characters>
  <Lines>2</Lines>
  <Paragraphs>1</Paragraphs>
  <TotalTime>38</TotalTime>
  <ScaleCrop>false</ScaleCrop>
  <LinksUpToDate>false</LinksUpToDate>
  <CharactersWithSpaces>28885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2020-05-01T10:48:00Z</dcterms:created>
  <dc:creator>USER-</dc:creator>
  <cp:lastModifiedBy>立</cp:lastModifiedBy>
  <cp:lastPrinted>2023-09-21T02:55:00Z</cp:lastPrinted>
  <dcterms:modified xsi:type="dcterms:W3CDTF">2024-04-11T08:10:21Z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4CE607029E714D4E971C887D2BFB3E0B_13</vt:lpwstr>
  </property>
</Properties>
</file>