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B3" w:rsidRDefault="00CC64B3">
      <w:pPr>
        <w:jc w:val="center"/>
        <w:rPr>
          <w:sz w:val="36"/>
          <w:szCs w:val="36"/>
        </w:rPr>
      </w:pPr>
    </w:p>
    <w:p w:rsidR="00CC64B3" w:rsidRDefault="003631BD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关于历城区2019年财政决算草案</w:t>
      </w:r>
      <w:proofErr w:type="gramStart"/>
      <w:r>
        <w:rPr>
          <w:rFonts w:ascii="方正小标宋简体" w:eastAsia="方正小标宋简体" w:hAnsi="华文中宋" w:hint="eastAsia"/>
          <w:sz w:val="44"/>
          <w:szCs w:val="44"/>
        </w:rPr>
        <w:t>和</w:t>
      </w:r>
      <w:proofErr w:type="gramEnd"/>
    </w:p>
    <w:p w:rsidR="00CC64B3" w:rsidRDefault="003631BD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2020年上半年财政预算执行情况的报告</w:t>
      </w:r>
    </w:p>
    <w:p w:rsidR="00CC64B3" w:rsidRDefault="003631BD">
      <w:pPr>
        <w:jc w:val="center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hint="eastAsia"/>
          <w:sz w:val="32"/>
          <w:szCs w:val="32"/>
        </w:rPr>
        <w:t>——2020年8月28日在区十八届人大常委会第三十一次会议上</w:t>
      </w:r>
    </w:p>
    <w:p w:rsidR="00CC64B3" w:rsidRDefault="003631BD">
      <w:pPr>
        <w:jc w:val="center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hint="eastAsia"/>
          <w:sz w:val="32"/>
          <w:szCs w:val="32"/>
        </w:rPr>
        <w:t>历城区财政局局长  刘建华</w:t>
      </w:r>
    </w:p>
    <w:p w:rsidR="00CC64B3" w:rsidRDefault="003631BD">
      <w:pPr>
        <w:spacing w:line="600" w:lineRule="exac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bookmarkStart w:id="0" w:name="_GoBack"/>
      <w:bookmarkEnd w:id="0"/>
    </w:p>
    <w:p w:rsidR="00CC64B3" w:rsidRDefault="003631BD">
      <w:pPr>
        <w:spacing w:line="600" w:lineRule="exac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区人大常委会：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我受区政府委托，结合区人大常委会专题调研中提出的整改意见，报告我区2019年财政决算草案和2020年上半年财政预算执行情况，请审议。</w:t>
      </w:r>
    </w:p>
    <w:p w:rsidR="00CC64B3" w:rsidRDefault="003631BD">
      <w:pPr>
        <w:spacing w:line="60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一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、2019年全区收支决算情况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，在区委坚强领导下，在区人大监督支持下，全区财税部门面对错综复杂的外部环境和艰巨繁重的改革发展任务，坚决贯彻各级决策部署，迎难而上、开拓进取、勇于担当、狠抓落实，各项工作取得新成效，财税收支目标实现新突破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（一）全区一般公共预算收支情况</w:t>
      </w:r>
    </w:p>
    <w:p w:rsidR="00CC64B3" w:rsidRDefault="003631BD">
      <w:pPr>
        <w:snapToGrid w:val="0"/>
        <w:spacing w:line="600" w:lineRule="exact"/>
        <w:ind w:firstLine="66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2019年全区实现一般公共预算收入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1082844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万元，完成预算的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95.79%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，同比增长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5.37%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，实现可用财力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769446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万元，其中：税收收入财力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481967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万元，非税收入财力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96003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万元，上级专款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70191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万元，体制结算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8313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万元，动用预算稳定调节基金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53000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元，调入资金59972万元。实现一般公共预算支出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726266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万元，债券还本支出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2000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万元，补充预算稳定调节基金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41180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万元。当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年实现收支平衡。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（二）全区政府性基金收支决算情况</w:t>
      </w:r>
    </w:p>
    <w:p w:rsidR="00CC64B3" w:rsidRDefault="003631BD">
      <w:pPr>
        <w:snapToGrid w:val="0"/>
        <w:spacing w:line="600" w:lineRule="exact"/>
        <w:ind w:firstLine="658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2019年全区实现政府性基金预算收入1480818万元，其中：上级补助收入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1350426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万元，地方政府专项债券收入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130000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万元，上年结转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392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万元。实现政府性基金预算支出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1422395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万元，上解专项债券发行登记费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85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万元，调入一般公共预算58285万元，结转下年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53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万元。当年实现收支平衡。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（三）全区国有资本经营收支决算情况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2019年全区实现国有资本经营预算收入2399万元，主要是东港印</w:t>
      </w:r>
      <w:proofErr w:type="gramStart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务</w:t>
      </w:r>
      <w:proofErr w:type="gramEnd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和齐鲁银行股权分红。实现国有资本经营预算支出712万元，调入一般公共预算1687万元。当年实现收支平衡。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（四）全区社会保险基金收支决算情况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全区实现社会保险基金收入102982万元，其中：机关事业单位基本养老保险基金收入40182万元，城乡居民养老保险基金收入62800万元。实现社会保险基金支出61979万元，其中：机关事业单位基本养老保险基金支出39508万元，城乡居民养老保险基金支出22471万元。收支相抵，当年结余41003万元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（五）全区“三公”经费支出情况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全区实现“三公”经费支出1169万元，同比减少53万元，降低4.53%。其中：因公出国（境）费用23万元，同比减少40万元，降低173.91%；公务用车购置及运行维护费1031万元，同比减少1万元，降低0.10%；公务接待费115万元，同比减少12万元，降低10.43%。“三公”经费总体减少的主要原因是各预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算单位严格落实</w:t>
      </w:r>
      <w:r w:rsidR="008D21DD">
        <w:rPr>
          <w:rFonts w:ascii="仿宋_GB2312" w:eastAsia="仿宋_GB2312" w:hAnsi="仿宋" w:hint="eastAsia"/>
          <w:color w:val="000000" w:themeColor="text1"/>
          <w:sz w:val="32"/>
          <w:szCs w:val="32"/>
        </w:rPr>
        <w:t>中央八项规定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精神，厉行节约，对“三公”经费等一般性支出进行了大力压减。</w:t>
      </w:r>
    </w:p>
    <w:p w:rsidR="00CC64B3" w:rsidRDefault="003631BD">
      <w:pPr>
        <w:spacing w:line="600" w:lineRule="exact"/>
        <w:ind w:firstLineChars="200" w:firstLine="640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（六）政府性债务收支情况</w:t>
      </w:r>
    </w:p>
    <w:p w:rsidR="00CC64B3" w:rsidRDefault="003631BD">
      <w:pPr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2019年市财政局下达我区地方政府专项债券130000万元，全部为棚户区改造专项债券，已按规定用于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郭董十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村和赵家庄等城中村改造安置房建设项目。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共计偿还各项债务本息13581万元，其中：地方政府债券还本付息13549万元，国债转贷还本付息32万元。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截至2019年底，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我区政府性债务限额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545515万元，其中：一般债务限额70895万元，专项债务限额474620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万元。政府性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债务余额436943万元，其中一般政府债券18000万元，专项政府债券418913万元，国债转贷30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万元，实现政府债务率19.93%，综合债务率45.51%，均不超债务限额和100%警戒线，风险可控。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仿宋"/>
          <w:color w:val="000000" w:themeColor="text1"/>
          <w:sz w:val="32"/>
          <w:szCs w:val="32"/>
        </w:rPr>
      </w:pPr>
      <w:r>
        <w:rPr>
          <w:rFonts w:ascii="楷体_GB2312" w:eastAsia="楷体_GB2312" w:hAnsi="仿宋" w:hint="eastAsia"/>
          <w:color w:val="000000" w:themeColor="text1"/>
          <w:sz w:val="32"/>
          <w:szCs w:val="32"/>
        </w:rPr>
        <w:t>（七）“三保”支出决算情况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2019年全区实现“三保”支出395434万元，占一般公共预算支出的54.45%，其中：保工资支出289446万元，保运转支出15358万元，保基本民生支出90630万元。</w:t>
      </w:r>
    </w:p>
    <w:p w:rsidR="00CC64B3" w:rsidRDefault="003631BD">
      <w:pPr>
        <w:spacing w:line="60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二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、2019年财政主要工作开展情况</w:t>
      </w:r>
    </w:p>
    <w:p w:rsidR="00CC64B3" w:rsidRDefault="003631BD">
      <w:pPr>
        <w:spacing w:line="600" w:lineRule="exact"/>
        <w:ind w:firstLineChars="200" w:firstLine="640"/>
        <w:jc w:val="left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（一）</w:t>
      </w:r>
      <w:r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多</w:t>
      </w:r>
      <w:proofErr w:type="gramStart"/>
      <w:r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措</w:t>
      </w:r>
      <w:proofErr w:type="gramEnd"/>
      <w:r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  <w:t>并举，实现</w:t>
      </w:r>
      <w:r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财政收入</w:t>
      </w:r>
      <w:r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  <w:t>稳定增长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面对宏观经济下行、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政策性减收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等多重压力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，区财税部门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主动加强工作协调和服务协作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及时跟进重点税源调研和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分析形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势，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在积极落实减税降</w:t>
      </w:r>
      <w:proofErr w:type="gramStart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费政策</w:t>
      </w:r>
      <w:proofErr w:type="gramEnd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的基础上，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努力组织收入、深入挖掘潜力，不断加大对房地产、金融、物流等重点行业和重点企业的跟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lastRenderedPageBreak/>
        <w:t>踪监控力度，确保了全年财税收入平稳增长。</w:t>
      </w:r>
    </w:p>
    <w:p w:rsidR="00CC64B3" w:rsidRDefault="003631BD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楷体_GB2312" w:eastAsia="楷体_GB2312" w:hAnsi="楷体" w:cs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" w:cs="宋体" w:hint="eastAsia"/>
          <w:color w:val="000000" w:themeColor="text1"/>
          <w:kern w:val="0"/>
          <w:sz w:val="32"/>
          <w:szCs w:val="32"/>
        </w:rPr>
        <w:t>（二）预算管理持续发力，财政保障能力不断强化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仿宋" w:cs="楷体_GB2312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为确保年度预算收支平衡，财政部门充分发挥预算管理导向作用，先后印发了从严控制一般性支出、全面推进预算绩效管理、强化政府采购追加管理、深入推进预决算公开、强化债务管理严禁新增债务和清理盘活结转结余1年以上存量资金等十余项指导性意见，确保了整个预算执行在既定管理范围中规范运行，保障了人员工资、基本运转和基本民生等“三保”支出的足额落实。</w:t>
      </w:r>
    </w:p>
    <w:p w:rsidR="00CC64B3" w:rsidRDefault="003631BD">
      <w:pPr>
        <w:spacing w:line="600" w:lineRule="exact"/>
        <w:ind w:firstLineChars="200" w:firstLine="640"/>
        <w:jc w:val="left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 xml:space="preserve">（三）持续推动创新，提升财政管理服务水平 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按照“加快构建全方位、全过程、全覆盖的预算绩效管理体系”的要求，全面完成了孙唐路大中修、农村街巷硬化等12个重点项目评价工作，项目实施质量、评价工作质量、整改落实质量比往年都有了大幅度的提升。在此基础上，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全面启动绩效跟踪监控评价工作，我区事前、事中、事后全过程绩效管理体系构建完毕，绩效管理已融入预算编制、执行、监督全过程。按照“</w:t>
      </w:r>
      <w:proofErr w:type="gramStart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企</w:t>
      </w:r>
      <w:proofErr w:type="gramStart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策”精神，组建</w:t>
      </w:r>
      <w:proofErr w:type="gramStart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了历城建设集团</w:t>
      </w:r>
      <w:proofErr w:type="gramEnd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和历城金融控股有限公司，使我区国有企业管理工作迈出了标志性的坚实一步。促进政府与社会资本合作，完成</w:t>
      </w:r>
      <w:proofErr w:type="gramStart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了唐冶污水处理</w:t>
      </w:r>
      <w:proofErr w:type="gramEnd"/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厂PPP项目的入库、招标和实施，实现了我区PPP项目零的突破。</w:t>
      </w:r>
    </w:p>
    <w:p w:rsidR="00CC64B3" w:rsidRDefault="003631BD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楷体_GB2312" w:eastAsia="楷体_GB2312" w:hAnsi="楷体" w:cs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" w:cs="宋体" w:hint="eastAsia"/>
          <w:color w:val="000000" w:themeColor="text1"/>
          <w:kern w:val="0"/>
          <w:sz w:val="32"/>
          <w:szCs w:val="32"/>
        </w:rPr>
        <w:t>（四）扎实推进债务管理，增强财政抵御风险能力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“开前门、堵后门”，防范化解政府债务风险。积极争取棚户区改造专项债券，</w:t>
      </w:r>
      <w:r>
        <w:rPr>
          <w:rFonts w:ascii="仿宋_GB2312" w:eastAsia="仿宋_GB2312" w:hint="eastAsia"/>
          <w:bCs/>
          <w:color w:val="000000" w:themeColor="text1"/>
          <w:kern w:val="0"/>
          <w:sz w:val="32"/>
          <w:szCs w:val="32"/>
        </w:rPr>
        <w:t>极大的缓解了我区潘田、</w:t>
      </w:r>
      <w:proofErr w:type="gramStart"/>
      <w:r>
        <w:rPr>
          <w:rFonts w:ascii="仿宋_GB2312" w:eastAsia="仿宋_GB2312" w:hint="eastAsia"/>
          <w:bCs/>
          <w:color w:val="000000" w:themeColor="text1"/>
          <w:kern w:val="0"/>
          <w:sz w:val="32"/>
          <w:szCs w:val="32"/>
        </w:rPr>
        <w:t>郭董十</w:t>
      </w:r>
      <w:proofErr w:type="gramEnd"/>
      <w:r>
        <w:rPr>
          <w:rFonts w:ascii="仿宋_GB2312" w:eastAsia="仿宋_GB2312" w:hint="eastAsia"/>
          <w:bCs/>
          <w:color w:val="000000" w:themeColor="text1"/>
          <w:kern w:val="0"/>
          <w:sz w:val="32"/>
          <w:szCs w:val="32"/>
        </w:rPr>
        <w:t>村等棚户区改造资金需求。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规范地方政府债券申报程序，全面落实项目收益与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融资自求平衡和财政承受能力报告制度，提高了债券资金使用效率。</w:t>
      </w:r>
    </w:p>
    <w:p w:rsidR="00CC64B3" w:rsidRDefault="003631BD">
      <w:pPr>
        <w:spacing w:line="600" w:lineRule="exact"/>
        <w:ind w:firstLine="645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三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、2020年上半年财政预算执行情况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（一）一般公共预算收支完成情况</w:t>
      </w:r>
    </w:p>
    <w:p w:rsidR="00CC64B3" w:rsidRDefault="003631BD">
      <w:pPr>
        <w:ind w:firstLine="630"/>
        <w:jc w:val="lef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2020年上半年，全区实现一般公共预算收入692937万元，完成预算的58.71％，同比增长4.27％。其中：税收收入完成607860万元，完成预算的57.27％，同比增长1.51％；非税收入完成85077万元，完成预算的71.58％，同比增长29.40％。</w:t>
      </w:r>
    </w:p>
    <w:p w:rsidR="00CC64B3" w:rsidRDefault="003631BD">
      <w:pPr>
        <w:ind w:firstLine="63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实现一般公共预算支出419128万元，增长48%，其中：财政八项支出完成279696万元，增长10.61%；民生及社会重点事业支出完成255562万元，</w:t>
      </w:r>
      <w:r>
        <w:rPr>
          <w:rFonts w:ascii="仿宋_GB2312" w:eastAsia="仿宋_GB2312" w:hAnsiTheme="minorEastAsia" w:hint="eastAsia"/>
          <w:sz w:val="32"/>
          <w:szCs w:val="32"/>
        </w:rPr>
        <w:t>增长20.31%，占一般公共预算收入的76.49%，同比提高1.49个百分点。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（二）政府性基金预算收支完成情况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上半年，全区实现政府性基金预算收入359952万元，占预算的30%，其中：上级补助收入233437万元，地方政府专项债券收入126462万元，上年结转53万元。实现政府性基金预算支出223733万元，占预算的21.17%，其中：文化旅游体育与传媒支出69万元，社会保障和就业支出241万元，城乡社区支出223419万元，其他支出4万元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（三）国有资本经营预算收支完成情况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2020年上半年，全区实现国有资本经营预算收入2080万元，占预算的104%，其中：东港印</w:t>
      </w:r>
      <w:proofErr w:type="gramStart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务</w:t>
      </w:r>
      <w:proofErr w:type="gramEnd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分红1984万元，区属企业上缴国有资本收益96万元。安排国有资本经营预算支出208万元，占预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lastRenderedPageBreak/>
        <w:t>算的26%，其中：原国有企业遗留问题处置经费200万元，区属企业职教幼教退休教师补助8万元。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（四）社保基金预算收支完成情况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2020年上半年，全区实现社会保险基金预算收入36998万元，占预算的60.85%，其中：机关事业单位基本养老保险基金预算收入19204万元，居民基本养老保险基金预算收入17794万元。实现社保基金预算支出 31418万元，占预算的 47.48%，其中：机关事业单位基本养老保险基金支出20250万元，居民基本养老保险基金支出11168万元。</w:t>
      </w:r>
    </w:p>
    <w:p w:rsidR="00CC64B3" w:rsidRDefault="003631BD">
      <w:pPr>
        <w:spacing w:line="600" w:lineRule="exact"/>
        <w:ind w:firstLine="645"/>
        <w:rPr>
          <w:rFonts w:ascii="楷体" w:eastAsia="楷体" w:hAnsi="楷体"/>
          <w:color w:val="000000" w:themeColor="text1"/>
          <w:sz w:val="32"/>
          <w:szCs w:val="32"/>
        </w:rPr>
      </w:pPr>
      <w:r>
        <w:rPr>
          <w:rFonts w:ascii="楷体" w:eastAsia="楷体" w:hAnsi="楷体" w:hint="eastAsia"/>
          <w:color w:val="000000" w:themeColor="text1"/>
          <w:sz w:val="32"/>
          <w:szCs w:val="32"/>
        </w:rPr>
        <w:t>（五）政府性债务收支情况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2020年上半年，市财政局下达我区地方政府专项债券126462万元，其中：三河综合治理项目60000万元，</w:t>
      </w:r>
      <w:proofErr w:type="gramStart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济南超算</w:t>
      </w:r>
      <w:proofErr w:type="gramEnd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中心建设项目65000万元，城乡供水一体化项目212万元，专项置换债券1250万元，债券资金已全部拨付到项目主管部门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共计偿还各项债务本息24593万元，其中：地方政府债券还本付息24561万元，国债转贷还本付息32万元。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截至2020年6月底，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我区政府性</w:t>
      </w:r>
      <w:r>
        <w:rPr>
          <w:rFonts w:ascii="仿宋_GB2312" w:eastAsia="仿宋_GB2312" w:hAnsi="仿宋" w:cs="Times New Roman" w:hint="eastAsia"/>
          <w:color w:val="000000" w:themeColor="text1"/>
          <w:sz w:val="32"/>
          <w:szCs w:val="32"/>
        </w:rPr>
        <w:t>债务余额556145万元，其中一般债券12020万元，专项债券544125万元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，政府债务率25.37%，综合债务率47.98%，均不超100%预警线，风险可控。</w:t>
      </w:r>
    </w:p>
    <w:p w:rsidR="00CC64B3" w:rsidRDefault="003631BD">
      <w:pPr>
        <w:spacing w:line="600" w:lineRule="exact"/>
        <w:ind w:firstLine="645"/>
        <w:rPr>
          <w:rFonts w:ascii="楷体_GB2312" w:eastAsia="楷体_GB2312" w:hAnsi="仿宋"/>
          <w:color w:val="000000" w:themeColor="text1"/>
          <w:sz w:val="32"/>
          <w:szCs w:val="32"/>
        </w:rPr>
      </w:pPr>
      <w:r>
        <w:rPr>
          <w:rFonts w:ascii="楷体_GB2312" w:eastAsia="楷体_GB2312" w:hAnsi="仿宋" w:hint="eastAsia"/>
          <w:color w:val="000000" w:themeColor="text1"/>
          <w:sz w:val="32"/>
          <w:szCs w:val="32"/>
        </w:rPr>
        <w:t>（六）“三保”支出预算执行情况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2020年上半年，全区实现“三保”支出289419万元，占一般公共预算支出的69.05%，其中：保工资支出230223万元，保运转支出8079万元，保基本民生支出51117万元。</w:t>
      </w:r>
    </w:p>
    <w:p w:rsidR="00CC64B3" w:rsidRDefault="003631BD">
      <w:pPr>
        <w:spacing w:line="600" w:lineRule="exact"/>
        <w:ind w:firstLine="630"/>
        <w:rPr>
          <w:rFonts w:ascii="楷体_GB2312" w:eastAsia="楷体_GB2312" w:hAnsi="仿宋"/>
          <w:color w:val="000000" w:themeColor="text1"/>
          <w:sz w:val="32"/>
          <w:szCs w:val="32"/>
        </w:rPr>
      </w:pPr>
      <w:r>
        <w:rPr>
          <w:rFonts w:ascii="楷体_GB2312" w:eastAsia="楷体_GB2312" w:hAnsi="仿宋" w:hint="eastAsia"/>
          <w:color w:val="000000" w:themeColor="text1"/>
          <w:sz w:val="32"/>
          <w:szCs w:val="32"/>
        </w:rPr>
        <w:lastRenderedPageBreak/>
        <w:t>（七）政府与社会资本合作（PPP）项目实施情况</w:t>
      </w:r>
    </w:p>
    <w:p w:rsidR="00CC64B3" w:rsidRDefault="003631BD">
      <w:pPr>
        <w:pStyle w:val="Bodytext10"/>
        <w:spacing w:line="60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lang w:eastAsia="zh-CN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截至2020年上半年，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我区共计</w:t>
      </w:r>
      <w:proofErr w:type="gramStart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新建唐冶新区</w:t>
      </w:r>
      <w:proofErr w:type="gramEnd"/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、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董家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、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唐王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、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彩石污水处理厂等政府与社会资本合作（PPP）项目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4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个，项目总投资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89590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特许经营期限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分别为26年和30年，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项目运营</w:t>
      </w:r>
      <w:proofErr w:type="gramStart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期政府</w:t>
      </w:r>
      <w:proofErr w:type="gramEnd"/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中长期支出责任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397179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万元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lang w:eastAsia="zh-CN"/>
        </w:rPr>
        <w:t>。</w:t>
      </w:r>
    </w:p>
    <w:p w:rsidR="00CC64B3" w:rsidRDefault="003631BD">
      <w:pPr>
        <w:pStyle w:val="Bodytext10"/>
        <w:spacing w:line="600" w:lineRule="exact"/>
        <w:ind w:firstLineChars="200" w:firstLine="640"/>
        <w:rPr>
          <w:rFonts w:ascii="楷体_GB2312" w:eastAsia="楷体_GB2312"/>
          <w:color w:val="000000" w:themeColor="text1"/>
          <w:sz w:val="32"/>
          <w:szCs w:val="32"/>
          <w:lang w:eastAsia="zh-CN"/>
        </w:rPr>
      </w:pPr>
      <w:r>
        <w:rPr>
          <w:rFonts w:ascii="楷体_GB2312" w:eastAsia="楷体_GB2312" w:hint="eastAsia"/>
          <w:color w:val="000000" w:themeColor="text1"/>
          <w:sz w:val="32"/>
          <w:szCs w:val="32"/>
          <w:lang w:eastAsia="zh-CN"/>
        </w:rPr>
        <w:t>（八）抗</w:t>
      </w:r>
      <w:proofErr w:type="gramStart"/>
      <w:r>
        <w:rPr>
          <w:rFonts w:ascii="楷体_GB2312" w:eastAsia="楷体_GB2312" w:hint="eastAsia"/>
          <w:color w:val="000000" w:themeColor="text1"/>
          <w:sz w:val="32"/>
          <w:szCs w:val="32"/>
          <w:lang w:eastAsia="zh-CN"/>
        </w:rPr>
        <w:t>疫</w:t>
      </w:r>
      <w:proofErr w:type="gramEnd"/>
      <w:r>
        <w:rPr>
          <w:rFonts w:ascii="楷体_GB2312" w:eastAsia="楷体_GB2312" w:hint="eastAsia"/>
          <w:color w:val="000000" w:themeColor="text1"/>
          <w:sz w:val="32"/>
          <w:szCs w:val="32"/>
          <w:lang w:eastAsia="zh-CN"/>
        </w:rPr>
        <w:t>特别国债和特殊转移支付资金安排情况</w:t>
      </w:r>
    </w:p>
    <w:p w:rsidR="00CC64B3" w:rsidRDefault="003631BD">
      <w:pPr>
        <w:ind w:firstLine="63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积极争取抗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疫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特别国债和特殊转移支付资金30543万元，全部安排用于我区巨野河防洪治理和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郭董十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村幼儿园及配建小学建设项目，以上资金已按财政部有关直达资金规定进行管理，预计11月底前实现支出。</w:t>
      </w:r>
    </w:p>
    <w:p w:rsidR="00CC64B3" w:rsidRDefault="003631BD">
      <w:pPr>
        <w:spacing w:line="600" w:lineRule="exact"/>
        <w:ind w:firstLine="63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四、上半年财政收支运行主要特点</w:t>
      </w:r>
    </w:p>
    <w:p w:rsidR="00CC64B3" w:rsidRDefault="003631BD">
      <w:pPr>
        <w:spacing w:line="600" w:lineRule="exact"/>
        <w:ind w:firstLine="645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ascii="楷体_GB2312" w:eastAsia="楷体_GB2312" w:hint="eastAsia"/>
          <w:color w:val="000000" w:themeColor="text1"/>
          <w:sz w:val="32"/>
          <w:szCs w:val="32"/>
        </w:rPr>
        <w:t>（一）积极应对新冠肺炎疫情影响，落实各项减免政策</w:t>
      </w:r>
    </w:p>
    <w:p w:rsidR="00CC64B3" w:rsidRDefault="003631BD">
      <w:pPr>
        <w:widowControl/>
        <w:shd w:val="clear" w:color="auto" w:fill="FFFFFF"/>
        <w:ind w:firstLineChars="200" w:firstLine="64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上半年，在收入形势异常严峻的背景下，区财税部门始终把减税降费工作放在突出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位置抓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实抓好，共落实各项税费减免政策37项，其中：税收政策减免20.8亿元，增值税留抵退税9.4亿元，税款缓缴9.5亿元。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减免中小企业及个体工商户国有房产租金1000.82万元。积极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筹措并及时拨付疫情防控资金3094万元，为我区新冠疫情防控工作提供了坚实保障，同时制定《新冠疫情防控资金管理办法》，确保专项资金规范使用发挥效益。</w:t>
      </w:r>
    </w:p>
    <w:p w:rsidR="00CC64B3" w:rsidRDefault="003631BD">
      <w:pPr>
        <w:spacing w:line="600" w:lineRule="exact"/>
        <w:ind w:firstLine="645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ascii="楷体_GB2312" w:eastAsia="楷体_GB2312" w:hint="eastAsia"/>
          <w:color w:val="000000" w:themeColor="text1"/>
          <w:sz w:val="32"/>
          <w:szCs w:val="32"/>
        </w:rPr>
        <w:t>（二）全力组织财政收入，集中推进税源管理工作</w:t>
      </w:r>
      <w:r>
        <w:rPr>
          <w:rFonts w:ascii="楷体_GB2312" w:eastAsia="楷体_GB2312"/>
          <w:color w:val="000000" w:themeColor="text1"/>
          <w:sz w:val="32"/>
          <w:szCs w:val="32"/>
        </w:rPr>
        <w:t xml:space="preserve"> </w:t>
      </w:r>
    </w:p>
    <w:p w:rsidR="00CC64B3" w:rsidRDefault="003631BD">
      <w:pPr>
        <w:snapToGrid w:val="0"/>
        <w:spacing w:line="600" w:lineRule="exact"/>
        <w:ind w:firstLine="658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全面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构建建筑施工企业税源管理新机制，</w:t>
      </w:r>
      <w:r>
        <w:rPr>
          <w:rFonts w:ascii="仿宋_GB2312" w:eastAsia="仿宋_GB2312" w:hint="eastAsia"/>
          <w:sz w:val="32"/>
          <w:szCs w:val="32"/>
        </w:rPr>
        <w:t>要求各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项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目主管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单位在项目洽谈、工程发包和签订有关协议时，一定要把在历城纳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税作为主要条件，最大限度防止辖区税源跑冒滴漏。进一步强化财税工作统筹力度，成立财税管理工作专班，形成了对税源企业注册、服务、迁出和变更的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实时管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控。</w:t>
      </w:r>
      <w:r>
        <w:rPr>
          <w:rFonts w:ascii="仿宋_GB2312" w:eastAsia="仿宋_GB2312" w:hint="eastAsia"/>
          <w:sz w:val="32"/>
          <w:szCs w:val="32"/>
        </w:rPr>
        <w:t>牵头设立区政府投资项目评审办公室，对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所有政府投资100万元以上建设项目实行先评审后招标，积极引导本区建筑施工企业参与投标</w:t>
      </w:r>
      <w:r>
        <w:rPr>
          <w:rFonts w:ascii="仿宋_GB2312" w:eastAsia="仿宋_GB2312" w:hint="eastAsia"/>
          <w:sz w:val="32"/>
          <w:szCs w:val="32"/>
        </w:rPr>
        <w:t>。1-6月份</w:t>
      </w:r>
      <w:r>
        <w:rPr>
          <w:rFonts w:ascii="仿宋_GB2312" w:eastAsia="仿宋_GB2312" w:hAnsi="仿宋" w:hint="eastAsia"/>
          <w:sz w:val="32"/>
          <w:szCs w:val="32"/>
        </w:rPr>
        <w:t>新增建筑施工企业分支机构52家，建筑业税收5059万元；成功挽留万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科众享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置业等拟迁出企业29家，避免税款转移3200余万元；完成政府投资项目评审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190余个，项目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报审值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23.76亿元，审减值1.61亿元，审减率6.78%，</w:t>
      </w:r>
      <w:r>
        <w:rPr>
          <w:rFonts w:ascii="仿宋_GB2312" w:eastAsia="仿宋_GB2312" w:hAnsi="仿宋" w:hint="eastAsia"/>
          <w:sz w:val="32"/>
          <w:szCs w:val="32"/>
        </w:rPr>
        <w:t>备案完成招投标建设施工企业30余家，其中济南一建、</w:t>
      </w:r>
      <w:r>
        <w:rPr>
          <w:rFonts w:ascii="仿宋_GB2312" w:eastAsia="仿宋_GB2312" w:hAnsi="仿宋" w:cs="Arial"/>
          <w:sz w:val="32"/>
          <w:szCs w:val="32"/>
        </w:rPr>
        <w:t>山东中恒</w:t>
      </w:r>
      <w:r>
        <w:rPr>
          <w:rFonts w:ascii="仿宋_GB2312" w:eastAsia="仿宋_GB2312" w:hAnsi="仿宋" w:cs="Arial" w:hint="eastAsia"/>
          <w:sz w:val="32"/>
          <w:szCs w:val="32"/>
        </w:rPr>
        <w:t>等本区企业中标率大幅增加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CC64B3" w:rsidRDefault="003631BD">
      <w:pPr>
        <w:ind w:firstLineChars="200" w:firstLine="64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仿宋" w:hint="eastAsia"/>
          <w:color w:val="000000" w:themeColor="text1"/>
          <w:sz w:val="32"/>
          <w:szCs w:val="32"/>
        </w:rPr>
        <w:t>（三）实施</w:t>
      </w:r>
      <w:r>
        <w:rPr>
          <w:rFonts w:ascii="楷体_GB2312" w:eastAsia="楷体_GB2312" w:hAnsi="黑体" w:hint="eastAsia"/>
          <w:sz w:val="32"/>
          <w:szCs w:val="32"/>
        </w:rPr>
        <w:t>积极财政政策，保障措施更加有力</w:t>
      </w:r>
    </w:p>
    <w:p w:rsidR="00CC64B3" w:rsidRDefault="003631BD">
      <w:pPr>
        <w:spacing w:line="560" w:lineRule="exact"/>
        <w:ind w:firstLine="645"/>
        <w:rPr>
          <w:rFonts w:ascii="仿宋_GB2312" w:eastAsia="仿宋_GB2312" w:hAnsi="仿宋" w:cs="宋体-方正超大字符集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1.全面贯彻落实财政部关于“保工资、保运转、保民生”决策部署，切实兜牢“三保”底线，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2020年上半年，全区实现“三保”支出289419万元，占一般公共预算支出的69.05%，其中</w:t>
      </w:r>
      <w:r>
        <w:rPr>
          <w:rFonts w:ascii="仿宋_GB2312" w:eastAsia="仿宋_GB2312" w:hAnsi="仿宋" w:hint="eastAsia"/>
          <w:sz w:val="32"/>
          <w:szCs w:val="32"/>
        </w:rPr>
        <w:t>保基本民生同比增长12.80%，实现了“只增不减”目标。</w:t>
      </w:r>
    </w:p>
    <w:p w:rsidR="00CC64B3" w:rsidRDefault="003631B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2.在省市政府债券资金发行框架内，积极包装上报债券申请项目17个，拟申请额度50余亿元，目前实际到位12.65亿元（三河6亿元，</w:t>
      </w:r>
      <w:proofErr w:type="gramStart"/>
      <w:r>
        <w:rPr>
          <w:rFonts w:ascii="仿宋_GB2312" w:eastAsia="仿宋_GB2312" w:hint="eastAsia"/>
          <w:sz w:val="32"/>
          <w:szCs w:val="32"/>
        </w:rPr>
        <w:t>超算</w:t>
      </w:r>
      <w:proofErr w:type="gramEnd"/>
      <w:r>
        <w:rPr>
          <w:rFonts w:ascii="仿宋_GB2312" w:eastAsia="仿宋_GB2312" w:hint="eastAsia"/>
          <w:sz w:val="32"/>
          <w:szCs w:val="32"/>
        </w:rPr>
        <w:t>6.5亿元），债券上报数量、资金到位规模均超历年同期数据，为我区重点项目开工建设提供了有力支持。</w:t>
      </w:r>
    </w:p>
    <w:p w:rsidR="00CC64B3" w:rsidRDefault="003631BD">
      <w:pPr>
        <w:ind w:firstLine="63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3.继续加大财政资金盘活力度，上半年共计收回各预算单位财政存量资金 3.15亿元，收回的存量资金已按照区政府统一安排，陆续投入到全区重点项目支出中。</w:t>
      </w:r>
    </w:p>
    <w:p w:rsidR="00CC64B3" w:rsidRDefault="003631B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4.保市场主体，促经济复苏，共计支付195家中小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财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政贴息2372.91万元，平均受益12.17万元，极大的缓解了中小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融资压力。</w:t>
      </w:r>
    </w:p>
    <w:p w:rsidR="00CC64B3" w:rsidRDefault="003631BD">
      <w:pPr>
        <w:adjustRightInd w:val="0"/>
        <w:snapToGrid w:val="0"/>
        <w:spacing w:line="600" w:lineRule="exact"/>
        <w:ind w:firstLine="630"/>
        <w:jc w:val="left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（四）严格落实攻坚目标，全面深化财政体制改革</w:t>
      </w:r>
    </w:p>
    <w:p w:rsidR="00CC64B3" w:rsidRDefault="003631BD">
      <w:pPr>
        <w:spacing w:line="600" w:lineRule="exact"/>
        <w:ind w:firstLine="645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Calibri" w:cs="Times New Roman" w:hint="eastAsia"/>
          <w:color w:val="000000" w:themeColor="text1"/>
          <w:sz w:val="32"/>
          <w:szCs w:val="32"/>
        </w:rPr>
        <w:t>1.按照省市绩效管理改革攻坚年工作目标，逐步扩大绩效管理范围，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从一般公共预算向政府性基金预算、国有资本经营预算和社会保险基金预算延伸，基本形成了覆盖所有财政资金的预算绩效管理体系。</w:t>
      </w:r>
    </w:p>
    <w:p w:rsidR="00CC64B3" w:rsidRDefault="003631BD">
      <w:pPr>
        <w:adjustRightInd w:val="0"/>
        <w:snapToGrid w:val="0"/>
        <w:spacing w:line="600" w:lineRule="exact"/>
        <w:ind w:firstLine="629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2.充分发挥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国企专班自身优势，不断加大招商引资力度，中铁加仑液化气项目已签署战略合作协议，省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企生活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配套优惠政策草拟完毕，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泰豪汉唐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新兴产业母基金、省农业担保公司、济宁银行等项目正在做进一步对接。</w:t>
      </w:r>
    </w:p>
    <w:p w:rsidR="00CC64B3" w:rsidRDefault="003631BD"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根据区委、区政府关于设立政府引导基金工作安排，区财政部门积极对接先进地区基金公司，与青岛蓝海中心共同拟定了关于协助设立政府引导基金等事项的《战略合作协议》等意向方案，下一步将全面启动“中小微企业创新创业扶持计划”及项目储备库和产业引导基金设立等相关事项。</w:t>
      </w:r>
    </w:p>
    <w:p w:rsidR="00CC64B3" w:rsidRDefault="003631BD">
      <w:pPr>
        <w:spacing w:line="600" w:lineRule="exact"/>
        <w:ind w:firstLine="63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总体来看，我区2020年上半年预算执行情况较好，财政改革发展工作不断取得新进展。同时我们也清醒的认识到，财税工作还面临着许多问题和挑战：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一是2020年我区受新冠肺炎疫情、减税降费和经济下行压力等因素叠加影响，收入缺口持续加大，完成区人代会预期目标极为困难。二是我区经济增长和财政收入对土地和房地产依赖过大，生产制造业等实体经济贡献相对不足。三是刚性支出攀升，收支矛盾更加尖锐，2020年 “三保”支出预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算超出税收财力59390万元。四是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土地供应缓慢，直接影响我区土地收益规模和财政收支平衡。</w:t>
      </w:r>
    </w:p>
    <w:p w:rsidR="00CC64B3" w:rsidRDefault="003631BD">
      <w:pPr>
        <w:spacing w:line="600" w:lineRule="exact"/>
        <w:ind w:firstLine="630"/>
        <w:rPr>
          <w:rFonts w:ascii="黑体" w:eastAsia="黑体" w:hAnsi="黑体"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Cs/>
          <w:color w:val="000000" w:themeColor="text1"/>
          <w:sz w:val="32"/>
          <w:szCs w:val="32"/>
        </w:rPr>
        <w:t>五、下一步工作计划</w:t>
      </w:r>
    </w:p>
    <w:p w:rsidR="00CC64B3" w:rsidRDefault="003631BD">
      <w:pPr>
        <w:spacing w:line="600" w:lineRule="exact"/>
        <w:ind w:firstLineChars="200" w:firstLine="640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（一）</w:t>
      </w:r>
      <w:r>
        <w:rPr>
          <w:rFonts w:ascii="楷体_GB2312" w:eastAsia="楷体_GB2312" w:hAnsi="仿宋_GB2312" w:cs="仿宋_GB2312" w:hint="eastAsia"/>
          <w:bCs/>
          <w:color w:val="000000" w:themeColor="text1"/>
          <w:sz w:val="32"/>
          <w:szCs w:val="32"/>
        </w:rPr>
        <w:t>全力抓好收入组织工作。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通过推进土地出让进程、强化综合治税、严格落实收入考核等措施，确保完成今年收入预期目标，确保财政可持续和收支平衡。</w:t>
      </w:r>
    </w:p>
    <w:p w:rsidR="00CC64B3" w:rsidRDefault="003631BD">
      <w:pPr>
        <w:spacing w:line="600" w:lineRule="exact"/>
        <w:ind w:firstLineChars="200" w:firstLine="640"/>
        <w:rPr>
          <w:rFonts w:ascii="楷体_GB2312" w:eastAsia="楷体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（二）全力支持新旧动能转换和经济转型发展。</w:t>
      </w:r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综合运用</w:t>
      </w:r>
      <w:proofErr w:type="gramStart"/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研发奖补</w:t>
      </w:r>
      <w:proofErr w:type="gramEnd"/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、增量奖励多种手段，全力支持</w:t>
      </w:r>
      <w:r>
        <w:rPr>
          <w:rFonts w:ascii="仿宋_GB2312" w:eastAsia="仿宋_GB2312" w:hint="eastAsia"/>
          <w:sz w:val="32"/>
          <w:szCs w:val="32"/>
        </w:rPr>
        <w:t>金融、物流和实体经济发展</w:t>
      </w:r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，推进经济业态多元化，进一步强化我区收入增长后劲。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（三）加强预算约束，提升财政保障能力。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扎实做好“六稳”工作，全面落实“六保”任务，</w:t>
      </w:r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通过严控预算追加、努力压减预算支出等手段，提高财政资金配置效率，确保区委、区政府确定的重点项目顺利实施，确保经济社会各项事业健康发展。</w:t>
      </w:r>
    </w:p>
    <w:p w:rsidR="00CC64B3" w:rsidRDefault="003631BD">
      <w:pPr>
        <w:spacing w:line="600" w:lineRule="exact"/>
        <w:ind w:firstLineChars="200" w:firstLine="640"/>
        <w:rPr>
          <w:rFonts w:ascii="仿宋_GB2312" w:eastAsia="仿宋_GB2312" w:hAnsi="楷体"/>
          <w:color w:val="000000" w:themeColor="text1"/>
          <w:sz w:val="32"/>
          <w:szCs w:val="32"/>
        </w:rPr>
      </w:pPr>
      <w:r>
        <w:rPr>
          <w:rFonts w:ascii="楷体_GB2312" w:eastAsia="楷体_GB2312" w:hAnsi="楷体" w:hint="eastAsia"/>
          <w:color w:val="000000" w:themeColor="text1"/>
          <w:sz w:val="32"/>
          <w:szCs w:val="32"/>
        </w:rPr>
        <w:t>（四）防范财政运行风险。</w:t>
      </w:r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全力加大土地出让力度，通过增加土地出让金收入，来有效化解各类预期风险。同时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继续</w:t>
      </w:r>
      <w:r>
        <w:rPr>
          <w:rFonts w:ascii="仿宋_GB2312" w:eastAsia="仿宋_GB2312" w:hAnsi="楷体" w:hint="eastAsia"/>
          <w:color w:val="000000" w:themeColor="text1"/>
          <w:sz w:val="32"/>
          <w:szCs w:val="32"/>
        </w:rPr>
        <w:t>将防范化解政府债务风险作为一项重要工作来抓，保持政策传导和动态监控高压态势，坚决杜绝新增债务，确保不发生系统性债务风险，确保财政收支平稳运行。</w:t>
      </w:r>
    </w:p>
    <w:p w:rsidR="00CC64B3" w:rsidRDefault="003631BD">
      <w:pPr>
        <w:adjustRightInd w:val="0"/>
        <w:snapToGrid w:val="0"/>
        <w:spacing w:line="600" w:lineRule="exact"/>
        <w:ind w:firstLine="69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下半年，全区财税工作将紧紧围绕区委“1+357”工作思路，在区</w:t>
      </w:r>
      <w:r w:rsidR="00C60584" w:rsidRPr="00C60584">
        <w:rPr>
          <w:rFonts w:ascii="仿宋_GB2312" w:eastAsia="仿宋_GB2312" w:hAnsi="黑体" w:hint="eastAsia"/>
          <w:color w:val="000000" w:themeColor="text1"/>
          <w:sz w:val="32"/>
          <w:szCs w:val="32"/>
        </w:rPr>
        <w:t>人大常委会/人大常委会委员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的监督支持下，</w:t>
      </w:r>
      <w:r>
        <w:rPr>
          <w:rFonts w:ascii="仿宋_GB2312" w:eastAsia="仿宋_GB2312" w:hAnsi="微软雅黑" w:hint="eastAsia"/>
          <w:sz w:val="32"/>
          <w:szCs w:val="32"/>
        </w:rPr>
        <w:t>聚焦聚力</w:t>
      </w:r>
      <w:r>
        <w:rPr>
          <w:rFonts w:ascii="仿宋_GB2312" w:eastAsia="仿宋_GB2312" w:hint="eastAsia"/>
          <w:sz w:val="32"/>
          <w:szCs w:val="32"/>
        </w:rPr>
        <w:t>“四个历城”建设</w:t>
      </w:r>
      <w:r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主动适应经济工作新常态和改革发展新挑战，努力开创财税工作新局面，继续为全区经济社会发展做出积极贡献！</w:t>
      </w:r>
    </w:p>
    <w:p w:rsidR="00CC64B3" w:rsidRDefault="003631BD">
      <w:pPr>
        <w:spacing w:line="600" w:lineRule="exact"/>
        <w:ind w:right="1280"/>
        <w:jc w:val="righ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2020年8月28日</w:t>
      </w:r>
    </w:p>
    <w:p w:rsidR="00CC64B3" w:rsidRDefault="003631BD">
      <w:pPr>
        <w:spacing w:line="600" w:lineRule="exact"/>
        <w:ind w:right="1280"/>
        <w:jc w:val="center"/>
        <w:rPr>
          <w:rFonts w:ascii="方正小标宋简体" w:eastAsia="方正小标宋简体" w:hAnsi="仿宋"/>
          <w:color w:val="000000" w:themeColor="text1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 w:themeColor="text1"/>
          <w:sz w:val="44"/>
          <w:szCs w:val="44"/>
        </w:rPr>
        <w:lastRenderedPageBreak/>
        <w:t>主要名词解释</w:t>
      </w:r>
    </w:p>
    <w:p w:rsidR="00CC64B3" w:rsidRDefault="00CC64B3">
      <w:pPr>
        <w:spacing w:line="600" w:lineRule="exact"/>
        <w:ind w:right="1280"/>
        <w:rPr>
          <w:rFonts w:ascii="仿宋_GB2312" w:eastAsia="仿宋_GB2312" w:hAnsi="仿宋"/>
          <w:color w:val="000000" w:themeColor="text1"/>
          <w:sz w:val="32"/>
          <w:szCs w:val="32"/>
        </w:rPr>
      </w:pP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一）一般公共预算收入：即以往所指的“地方财政收入”、“公共财政收入”或“一般预算收入”，按照2015年1月1日起实施的新预算法，统一改称为“一般公共预算收入”，主要包括税收收入和非税收入两部分。</w:t>
      </w: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（二）预算稳定调节基金：是指各级利用预算超收收入等建立的具有储备性质的资金，用于弥补短收年份预算执行的收支缺口，以及根据年初预算安排和平衡情况调入预算安排使用。</w:t>
      </w: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（三）政府性基金收入：是指经国务院或财政部批准，各级政府及其所属部门根据法律、行政法规规定，向公民、法人和其他组织征收的政府性基金，以及参照政府性基金管理、具有特定用途的财政资金。</w:t>
      </w: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（四）国有资本经营预算：是指国家以所有者身份依法取得国有资本收益，并对所得收益进行分配而形成的收支预算。</w:t>
      </w: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五）社会保险基金预算：是指根据国家社会保险和预算管理法律法规建立、反映各项基金收支的年度计划，包括企业职工基本养老保险、机关事业单位基本养老保险、居民基本养老保险、职工基本医疗保险、居民基本医疗保险、工伤保险、失业保险、生育保险等八个险种。</w:t>
      </w: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（六）政府债务率：是年末政府债务余额占政府综合财力的比率。其中政府综合财力为一般公共预算收入、政府性基金预算收入与上级补助收入之和，减去上解上级支出后的数额。</w:t>
      </w:r>
    </w:p>
    <w:p w:rsidR="00CC64B3" w:rsidRDefault="003631BD">
      <w:pPr>
        <w:spacing w:line="58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（七）预算绩效管理：预算绩效管理是以支出结果为导向的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预算管理模式，是政府绩效管理的重要组成部分，有助于提高政府管理效能和建设高效、责任、透明政府。预算绩效是指预算资金所达到的产出和结果，即利用绩效管理理念、方法等现有预算管理模式的改革和完善。</w:t>
      </w:r>
    </w:p>
    <w:p w:rsidR="00CC64B3" w:rsidRDefault="003631BD">
      <w:pPr>
        <w:spacing w:line="580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（八）“三公”支出：指各预算单位用财政性资金安排的因公出国（境）费、公务用车购置及运行费和公务接待费。</w:t>
      </w:r>
    </w:p>
    <w:p w:rsidR="00CC64B3" w:rsidRDefault="00CC64B3">
      <w:pPr>
        <w:spacing w:line="600" w:lineRule="exact"/>
        <w:ind w:right="1280"/>
        <w:rPr>
          <w:rFonts w:ascii="仿宋_GB2312" w:eastAsia="仿宋_GB2312" w:hAnsi="仿宋"/>
          <w:color w:val="000000" w:themeColor="text1"/>
          <w:sz w:val="32"/>
          <w:szCs w:val="32"/>
        </w:rPr>
      </w:pPr>
    </w:p>
    <w:sectPr w:rsidR="00CC64B3" w:rsidSect="00CC64B3">
      <w:footerReference w:type="default" r:id="rId8"/>
      <w:pgSz w:w="11906" w:h="16838"/>
      <w:pgMar w:top="1418" w:right="1418" w:bottom="1418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62" w:rsidRDefault="00051462" w:rsidP="00CC64B3">
      <w:r>
        <w:separator/>
      </w:r>
    </w:p>
  </w:endnote>
  <w:endnote w:type="continuationSeparator" w:id="0">
    <w:p w:rsidR="00051462" w:rsidRDefault="00051462" w:rsidP="00CC6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-方正超大字符集">
    <w:altName w:val="宋体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7188"/>
    </w:sdtPr>
    <w:sdtContent>
      <w:p w:rsidR="00CC64B3" w:rsidRDefault="003631BD">
        <w:pPr>
          <w:pStyle w:val="a5"/>
        </w:pPr>
        <w:r>
          <w:ptab w:relativeTo="margin" w:alignment="center" w:leader="none"/>
        </w:r>
        <w:r w:rsidR="008E0B86" w:rsidRPr="008E0B86">
          <w:fldChar w:fldCharType="begin"/>
        </w:r>
        <w:r>
          <w:instrText xml:space="preserve"> PAGE   \* MERGEFORMAT </w:instrText>
        </w:r>
        <w:r w:rsidR="008E0B86" w:rsidRPr="008E0B86">
          <w:fldChar w:fldCharType="separate"/>
        </w:r>
        <w:r w:rsidR="008D21DD" w:rsidRPr="008D21DD">
          <w:rPr>
            <w:noProof/>
            <w:lang w:val="zh-CN"/>
          </w:rPr>
          <w:t>3</w:t>
        </w:r>
        <w:r w:rsidR="008E0B86">
          <w:rPr>
            <w:lang w:val="zh-CN"/>
          </w:rPr>
          <w:fldChar w:fldCharType="end"/>
        </w:r>
      </w:p>
    </w:sdtContent>
  </w:sdt>
  <w:p w:rsidR="00CC64B3" w:rsidRDefault="00CC64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62" w:rsidRDefault="00051462" w:rsidP="00CC64B3">
      <w:r>
        <w:separator/>
      </w:r>
    </w:p>
  </w:footnote>
  <w:footnote w:type="continuationSeparator" w:id="0">
    <w:p w:rsidR="00051462" w:rsidRDefault="00051462" w:rsidP="00CC6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1534"/>
    <w:rsid w:val="00003130"/>
    <w:rsid w:val="00004ACF"/>
    <w:rsid w:val="000067F1"/>
    <w:rsid w:val="0001093E"/>
    <w:rsid w:val="00010E90"/>
    <w:rsid w:val="00010F7B"/>
    <w:rsid w:val="00011C6D"/>
    <w:rsid w:val="0001308F"/>
    <w:rsid w:val="00014BA4"/>
    <w:rsid w:val="000164AD"/>
    <w:rsid w:val="0001663B"/>
    <w:rsid w:val="00016D33"/>
    <w:rsid w:val="00021BD3"/>
    <w:rsid w:val="00023179"/>
    <w:rsid w:val="00023624"/>
    <w:rsid w:val="000257A4"/>
    <w:rsid w:val="000277B2"/>
    <w:rsid w:val="00030BF3"/>
    <w:rsid w:val="000310DB"/>
    <w:rsid w:val="00032968"/>
    <w:rsid w:val="000343BD"/>
    <w:rsid w:val="0003557E"/>
    <w:rsid w:val="0003648E"/>
    <w:rsid w:val="000365CE"/>
    <w:rsid w:val="00037821"/>
    <w:rsid w:val="00042F64"/>
    <w:rsid w:val="00046067"/>
    <w:rsid w:val="0004655F"/>
    <w:rsid w:val="000502B5"/>
    <w:rsid w:val="00051462"/>
    <w:rsid w:val="0005211C"/>
    <w:rsid w:val="00053E26"/>
    <w:rsid w:val="000569D0"/>
    <w:rsid w:val="000573B5"/>
    <w:rsid w:val="0006094C"/>
    <w:rsid w:val="00060F4C"/>
    <w:rsid w:val="00063BE3"/>
    <w:rsid w:val="00063DF9"/>
    <w:rsid w:val="00064218"/>
    <w:rsid w:val="00064E44"/>
    <w:rsid w:val="00065FCA"/>
    <w:rsid w:val="00066295"/>
    <w:rsid w:val="00067FBC"/>
    <w:rsid w:val="000733CD"/>
    <w:rsid w:val="0007504F"/>
    <w:rsid w:val="00076531"/>
    <w:rsid w:val="000811F6"/>
    <w:rsid w:val="000820A9"/>
    <w:rsid w:val="00082A5A"/>
    <w:rsid w:val="0008590E"/>
    <w:rsid w:val="00085931"/>
    <w:rsid w:val="00085ED9"/>
    <w:rsid w:val="00086073"/>
    <w:rsid w:val="00087010"/>
    <w:rsid w:val="000917F6"/>
    <w:rsid w:val="00092779"/>
    <w:rsid w:val="000934B1"/>
    <w:rsid w:val="000943DD"/>
    <w:rsid w:val="00094655"/>
    <w:rsid w:val="00095057"/>
    <w:rsid w:val="0009583C"/>
    <w:rsid w:val="000969E3"/>
    <w:rsid w:val="00097958"/>
    <w:rsid w:val="000A0278"/>
    <w:rsid w:val="000A0FAD"/>
    <w:rsid w:val="000A2456"/>
    <w:rsid w:val="000A24A5"/>
    <w:rsid w:val="000A255A"/>
    <w:rsid w:val="000A2E90"/>
    <w:rsid w:val="000A4125"/>
    <w:rsid w:val="000B076F"/>
    <w:rsid w:val="000B339A"/>
    <w:rsid w:val="000B3E20"/>
    <w:rsid w:val="000B4944"/>
    <w:rsid w:val="000B6D2A"/>
    <w:rsid w:val="000B70D3"/>
    <w:rsid w:val="000C113B"/>
    <w:rsid w:val="000C1CBA"/>
    <w:rsid w:val="000C2619"/>
    <w:rsid w:val="000C3174"/>
    <w:rsid w:val="000C4BE1"/>
    <w:rsid w:val="000C5E20"/>
    <w:rsid w:val="000C695B"/>
    <w:rsid w:val="000D0061"/>
    <w:rsid w:val="000D2253"/>
    <w:rsid w:val="000D2971"/>
    <w:rsid w:val="000D388F"/>
    <w:rsid w:val="000D455E"/>
    <w:rsid w:val="000D4626"/>
    <w:rsid w:val="000D5C97"/>
    <w:rsid w:val="000D627F"/>
    <w:rsid w:val="000D66CC"/>
    <w:rsid w:val="000E01B8"/>
    <w:rsid w:val="000E048D"/>
    <w:rsid w:val="000E077D"/>
    <w:rsid w:val="000E11A3"/>
    <w:rsid w:val="000E1C59"/>
    <w:rsid w:val="000E1E70"/>
    <w:rsid w:val="000E2D6E"/>
    <w:rsid w:val="000E4BB9"/>
    <w:rsid w:val="000E5802"/>
    <w:rsid w:val="000E6B99"/>
    <w:rsid w:val="000E73A8"/>
    <w:rsid w:val="000F0A43"/>
    <w:rsid w:val="000F0C32"/>
    <w:rsid w:val="000F13E9"/>
    <w:rsid w:val="000F1679"/>
    <w:rsid w:val="000F403A"/>
    <w:rsid w:val="000F609B"/>
    <w:rsid w:val="000F63D5"/>
    <w:rsid w:val="001004D9"/>
    <w:rsid w:val="001018A2"/>
    <w:rsid w:val="0010239C"/>
    <w:rsid w:val="0010306B"/>
    <w:rsid w:val="00103BD9"/>
    <w:rsid w:val="00103D5B"/>
    <w:rsid w:val="00105646"/>
    <w:rsid w:val="001057C5"/>
    <w:rsid w:val="00107216"/>
    <w:rsid w:val="00107558"/>
    <w:rsid w:val="00107639"/>
    <w:rsid w:val="00107F04"/>
    <w:rsid w:val="00110528"/>
    <w:rsid w:val="00111AE3"/>
    <w:rsid w:val="00111BC5"/>
    <w:rsid w:val="00113583"/>
    <w:rsid w:val="001138B5"/>
    <w:rsid w:val="0011440C"/>
    <w:rsid w:val="00114E33"/>
    <w:rsid w:val="0011507A"/>
    <w:rsid w:val="0011527A"/>
    <w:rsid w:val="0011545D"/>
    <w:rsid w:val="00117B85"/>
    <w:rsid w:val="00121824"/>
    <w:rsid w:val="00122042"/>
    <w:rsid w:val="0012204B"/>
    <w:rsid w:val="001229D7"/>
    <w:rsid w:val="001237E4"/>
    <w:rsid w:val="001240B9"/>
    <w:rsid w:val="0012465D"/>
    <w:rsid w:val="00125E5C"/>
    <w:rsid w:val="00126A8E"/>
    <w:rsid w:val="00130136"/>
    <w:rsid w:val="00133CA7"/>
    <w:rsid w:val="00134601"/>
    <w:rsid w:val="00135678"/>
    <w:rsid w:val="00135906"/>
    <w:rsid w:val="00135ED2"/>
    <w:rsid w:val="001362C1"/>
    <w:rsid w:val="00136D1A"/>
    <w:rsid w:val="00136DB1"/>
    <w:rsid w:val="001370C2"/>
    <w:rsid w:val="0013734A"/>
    <w:rsid w:val="00137670"/>
    <w:rsid w:val="001404D5"/>
    <w:rsid w:val="00142863"/>
    <w:rsid w:val="00143410"/>
    <w:rsid w:val="00144F13"/>
    <w:rsid w:val="00145373"/>
    <w:rsid w:val="0014545E"/>
    <w:rsid w:val="001463E7"/>
    <w:rsid w:val="001473EA"/>
    <w:rsid w:val="00147AE9"/>
    <w:rsid w:val="00147FCE"/>
    <w:rsid w:val="00150A05"/>
    <w:rsid w:val="00150E53"/>
    <w:rsid w:val="00152005"/>
    <w:rsid w:val="00152CE6"/>
    <w:rsid w:val="001602F6"/>
    <w:rsid w:val="00161A10"/>
    <w:rsid w:val="00162F60"/>
    <w:rsid w:val="001639AC"/>
    <w:rsid w:val="001643C4"/>
    <w:rsid w:val="0016517B"/>
    <w:rsid w:val="00165FE3"/>
    <w:rsid w:val="001660F9"/>
    <w:rsid w:val="00166560"/>
    <w:rsid w:val="00166869"/>
    <w:rsid w:val="001668D1"/>
    <w:rsid w:val="00166D7C"/>
    <w:rsid w:val="001673CF"/>
    <w:rsid w:val="001679F0"/>
    <w:rsid w:val="0017202F"/>
    <w:rsid w:val="001733B9"/>
    <w:rsid w:val="001737D9"/>
    <w:rsid w:val="00173C1E"/>
    <w:rsid w:val="00173C80"/>
    <w:rsid w:val="001773A7"/>
    <w:rsid w:val="001778A7"/>
    <w:rsid w:val="001800A7"/>
    <w:rsid w:val="00181028"/>
    <w:rsid w:val="001838F2"/>
    <w:rsid w:val="0018461F"/>
    <w:rsid w:val="00185462"/>
    <w:rsid w:val="00185F3F"/>
    <w:rsid w:val="0018672F"/>
    <w:rsid w:val="00187DA8"/>
    <w:rsid w:val="00187E45"/>
    <w:rsid w:val="00193C8C"/>
    <w:rsid w:val="00194E56"/>
    <w:rsid w:val="00195258"/>
    <w:rsid w:val="001969E2"/>
    <w:rsid w:val="0019792C"/>
    <w:rsid w:val="00197F27"/>
    <w:rsid w:val="001A0440"/>
    <w:rsid w:val="001A103E"/>
    <w:rsid w:val="001A1D8D"/>
    <w:rsid w:val="001A1D92"/>
    <w:rsid w:val="001A4215"/>
    <w:rsid w:val="001A49FF"/>
    <w:rsid w:val="001A6787"/>
    <w:rsid w:val="001B03A6"/>
    <w:rsid w:val="001B1261"/>
    <w:rsid w:val="001B18DF"/>
    <w:rsid w:val="001B38B5"/>
    <w:rsid w:val="001B6E14"/>
    <w:rsid w:val="001B7D1C"/>
    <w:rsid w:val="001C0870"/>
    <w:rsid w:val="001C1570"/>
    <w:rsid w:val="001C2064"/>
    <w:rsid w:val="001C305A"/>
    <w:rsid w:val="001C344B"/>
    <w:rsid w:val="001C6A11"/>
    <w:rsid w:val="001C785C"/>
    <w:rsid w:val="001C7E51"/>
    <w:rsid w:val="001D1352"/>
    <w:rsid w:val="001D175B"/>
    <w:rsid w:val="001D1AC8"/>
    <w:rsid w:val="001D2F1F"/>
    <w:rsid w:val="001D4426"/>
    <w:rsid w:val="001D4DE6"/>
    <w:rsid w:val="001E0246"/>
    <w:rsid w:val="001E26B9"/>
    <w:rsid w:val="001E332B"/>
    <w:rsid w:val="001E38CD"/>
    <w:rsid w:val="001E3CD4"/>
    <w:rsid w:val="001E4054"/>
    <w:rsid w:val="001F0243"/>
    <w:rsid w:val="001F1B36"/>
    <w:rsid w:val="001F1F38"/>
    <w:rsid w:val="001F2411"/>
    <w:rsid w:val="001F45E2"/>
    <w:rsid w:val="001F6E6E"/>
    <w:rsid w:val="001F7C6B"/>
    <w:rsid w:val="00200E60"/>
    <w:rsid w:val="0020288B"/>
    <w:rsid w:val="00205628"/>
    <w:rsid w:val="00205D1C"/>
    <w:rsid w:val="00205E08"/>
    <w:rsid w:val="00205FF3"/>
    <w:rsid w:val="00206345"/>
    <w:rsid w:val="00207A9B"/>
    <w:rsid w:val="00207B18"/>
    <w:rsid w:val="002102AD"/>
    <w:rsid w:val="0021081C"/>
    <w:rsid w:val="00210898"/>
    <w:rsid w:val="00210D7F"/>
    <w:rsid w:val="002111FC"/>
    <w:rsid w:val="00211DCE"/>
    <w:rsid w:val="00211EAF"/>
    <w:rsid w:val="0021592D"/>
    <w:rsid w:val="00215CD3"/>
    <w:rsid w:val="00215F4D"/>
    <w:rsid w:val="0021604D"/>
    <w:rsid w:val="0022037C"/>
    <w:rsid w:val="00221902"/>
    <w:rsid w:val="002221F0"/>
    <w:rsid w:val="00223416"/>
    <w:rsid w:val="00223621"/>
    <w:rsid w:val="002251A3"/>
    <w:rsid w:val="00230E46"/>
    <w:rsid w:val="0023178A"/>
    <w:rsid w:val="00233803"/>
    <w:rsid w:val="00234299"/>
    <w:rsid w:val="00234C88"/>
    <w:rsid w:val="00235112"/>
    <w:rsid w:val="00237279"/>
    <w:rsid w:val="00237EBF"/>
    <w:rsid w:val="00237FFA"/>
    <w:rsid w:val="00240A39"/>
    <w:rsid w:val="00241404"/>
    <w:rsid w:val="00243F04"/>
    <w:rsid w:val="00244038"/>
    <w:rsid w:val="0024454A"/>
    <w:rsid w:val="0024501B"/>
    <w:rsid w:val="00247587"/>
    <w:rsid w:val="0025005B"/>
    <w:rsid w:val="002518CF"/>
    <w:rsid w:val="00252803"/>
    <w:rsid w:val="0025289D"/>
    <w:rsid w:val="0025364A"/>
    <w:rsid w:val="00253CF6"/>
    <w:rsid w:val="00254D03"/>
    <w:rsid w:val="0025668E"/>
    <w:rsid w:val="00257EAE"/>
    <w:rsid w:val="002605F9"/>
    <w:rsid w:val="00261B1D"/>
    <w:rsid w:val="002629C8"/>
    <w:rsid w:val="00264CB9"/>
    <w:rsid w:val="002660D1"/>
    <w:rsid w:val="00267D9E"/>
    <w:rsid w:val="00270A26"/>
    <w:rsid w:val="0027398F"/>
    <w:rsid w:val="00273BA4"/>
    <w:rsid w:val="00274208"/>
    <w:rsid w:val="0027692B"/>
    <w:rsid w:val="00276BFB"/>
    <w:rsid w:val="00277527"/>
    <w:rsid w:val="002850FA"/>
    <w:rsid w:val="0028533D"/>
    <w:rsid w:val="00286DA8"/>
    <w:rsid w:val="00287EAC"/>
    <w:rsid w:val="00290A66"/>
    <w:rsid w:val="00290F99"/>
    <w:rsid w:val="00291F7B"/>
    <w:rsid w:val="002923E9"/>
    <w:rsid w:val="00293FDA"/>
    <w:rsid w:val="00294BB9"/>
    <w:rsid w:val="002951F9"/>
    <w:rsid w:val="0029659D"/>
    <w:rsid w:val="00296845"/>
    <w:rsid w:val="002A0604"/>
    <w:rsid w:val="002A0C39"/>
    <w:rsid w:val="002A0CF0"/>
    <w:rsid w:val="002A1BA9"/>
    <w:rsid w:val="002A1C99"/>
    <w:rsid w:val="002A1F18"/>
    <w:rsid w:val="002A2286"/>
    <w:rsid w:val="002A2E6C"/>
    <w:rsid w:val="002A3767"/>
    <w:rsid w:val="002A3A6B"/>
    <w:rsid w:val="002A4368"/>
    <w:rsid w:val="002A441C"/>
    <w:rsid w:val="002A5407"/>
    <w:rsid w:val="002A5721"/>
    <w:rsid w:val="002A7392"/>
    <w:rsid w:val="002A7CA2"/>
    <w:rsid w:val="002B201D"/>
    <w:rsid w:val="002B2824"/>
    <w:rsid w:val="002B2E41"/>
    <w:rsid w:val="002B3E1F"/>
    <w:rsid w:val="002B40D8"/>
    <w:rsid w:val="002B4201"/>
    <w:rsid w:val="002B5F0E"/>
    <w:rsid w:val="002B684C"/>
    <w:rsid w:val="002B6D4A"/>
    <w:rsid w:val="002B77AE"/>
    <w:rsid w:val="002C0ED8"/>
    <w:rsid w:val="002C1E19"/>
    <w:rsid w:val="002C242C"/>
    <w:rsid w:val="002C2613"/>
    <w:rsid w:val="002C36A3"/>
    <w:rsid w:val="002C3EB6"/>
    <w:rsid w:val="002C41C9"/>
    <w:rsid w:val="002C5F21"/>
    <w:rsid w:val="002C6574"/>
    <w:rsid w:val="002C6D28"/>
    <w:rsid w:val="002C6FE5"/>
    <w:rsid w:val="002C709F"/>
    <w:rsid w:val="002C7634"/>
    <w:rsid w:val="002C7814"/>
    <w:rsid w:val="002D0325"/>
    <w:rsid w:val="002D0A73"/>
    <w:rsid w:val="002D0F2F"/>
    <w:rsid w:val="002D10CB"/>
    <w:rsid w:val="002D1700"/>
    <w:rsid w:val="002D2C33"/>
    <w:rsid w:val="002D3123"/>
    <w:rsid w:val="002D5123"/>
    <w:rsid w:val="002D6322"/>
    <w:rsid w:val="002D7241"/>
    <w:rsid w:val="002D76F6"/>
    <w:rsid w:val="002D7817"/>
    <w:rsid w:val="002E0E02"/>
    <w:rsid w:val="002E1252"/>
    <w:rsid w:val="002E1D83"/>
    <w:rsid w:val="002E2A6B"/>
    <w:rsid w:val="002E37AD"/>
    <w:rsid w:val="002E509C"/>
    <w:rsid w:val="002E58B6"/>
    <w:rsid w:val="002E5DAB"/>
    <w:rsid w:val="002E7EB1"/>
    <w:rsid w:val="002F1B42"/>
    <w:rsid w:val="002F2638"/>
    <w:rsid w:val="002F2F89"/>
    <w:rsid w:val="002F3825"/>
    <w:rsid w:val="002F5E15"/>
    <w:rsid w:val="002F5FEE"/>
    <w:rsid w:val="003007A5"/>
    <w:rsid w:val="003019A2"/>
    <w:rsid w:val="00301AB3"/>
    <w:rsid w:val="003023D7"/>
    <w:rsid w:val="00302C3E"/>
    <w:rsid w:val="00303D85"/>
    <w:rsid w:val="00303DA0"/>
    <w:rsid w:val="00303E6F"/>
    <w:rsid w:val="003046CD"/>
    <w:rsid w:val="003056B9"/>
    <w:rsid w:val="003056DD"/>
    <w:rsid w:val="0030748E"/>
    <w:rsid w:val="00307A2D"/>
    <w:rsid w:val="00311869"/>
    <w:rsid w:val="00312051"/>
    <w:rsid w:val="003120DE"/>
    <w:rsid w:val="0031280B"/>
    <w:rsid w:val="00316310"/>
    <w:rsid w:val="003171A2"/>
    <w:rsid w:val="00317566"/>
    <w:rsid w:val="003177C2"/>
    <w:rsid w:val="00317F62"/>
    <w:rsid w:val="00320295"/>
    <w:rsid w:val="00320702"/>
    <w:rsid w:val="00320820"/>
    <w:rsid w:val="00320881"/>
    <w:rsid w:val="0032263B"/>
    <w:rsid w:val="00323992"/>
    <w:rsid w:val="00324069"/>
    <w:rsid w:val="0032457A"/>
    <w:rsid w:val="00325EC8"/>
    <w:rsid w:val="00326B56"/>
    <w:rsid w:val="003279D3"/>
    <w:rsid w:val="00330FBE"/>
    <w:rsid w:val="003320E0"/>
    <w:rsid w:val="00332A8E"/>
    <w:rsid w:val="00333998"/>
    <w:rsid w:val="00334A29"/>
    <w:rsid w:val="00334B94"/>
    <w:rsid w:val="003352BE"/>
    <w:rsid w:val="00336CC4"/>
    <w:rsid w:val="00337239"/>
    <w:rsid w:val="00340AC7"/>
    <w:rsid w:val="00341360"/>
    <w:rsid w:val="00342295"/>
    <w:rsid w:val="00342612"/>
    <w:rsid w:val="0034271C"/>
    <w:rsid w:val="00344687"/>
    <w:rsid w:val="00344BA8"/>
    <w:rsid w:val="0034659E"/>
    <w:rsid w:val="00347437"/>
    <w:rsid w:val="003511F0"/>
    <w:rsid w:val="00351B1E"/>
    <w:rsid w:val="003539C9"/>
    <w:rsid w:val="00353FC6"/>
    <w:rsid w:val="00354494"/>
    <w:rsid w:val="00354ADE"/>
    <w:rsid w:val="003569BD"/>
    <w:rsid w:val="00356FD5"/>
    <w:rsid w:val="00357A32"/>
    <w:rsid w:val="00357A95"/>
    <w:rsid w:val="00360E49"/>
    <w:rsid w:val="00361A32"/>
    <w:rsid w:val="003631BD"/>
    <w:rsid w:val="00363AF6"/>
    <w:rsid w:val="00366854"/>
    <w:rsid w:val="0036712D"/>
    <w:rsid w:val="0036788F"/>
    <w:rsid w:val="0037001E"/>
    <w:rsid w:val="00370E51"/>
    <w:rsid w:val="003731E3"/>
    <w:rsid w:val="003744CC"/>
    <w:rsid w:val="00374E1A"/>
    <w:rsid w:val="0037761C"/>
    <w:rsid w:val="003805D7"/>
    <w:rsid w:val="00381CDE"/>
    <w:rsid w:val="00382122"/>
    <w:rsid w:val="00382498"/>
    <w:rsid w:val="00382F51"/>
    <w:rsid w:val="00384B34"/>
    <w:rsid w:val="00385184"/>
    <w:rsid w:val="00385990"/>
    <w:rsid w:val="0038684E"/>
    <w:rsid w:val="00387060"/>
    <w:rsid w:val="0039309F"/>
    <w:rsid w:val="00394DEC"/>
    <w:rsid w:val="00395069"/>
    <w:rsid w:val="003953E7"/>
    <w:rsid w:val="00395592"/>
    <w:rsid w:val="003964C9"/>
    <w:rsid w:val="0039775A"/>
    <w:rsid w:val="003A27E1"/>
    <w:rsid w:val="003A6370"/>
    <w:rsid w:val="003A6A90"/>
    <w:rsid w:val="003A713B"/>
    <w:rsid w:val="003A7FF3"/>
    <w:rsid w:val="003B0286"/>
    <w:rsid w:val="003B02FA"/>
    <w:rsid w:val="003B2462"/>
    <w:rsid w:val="003B2EFE"/>
    <w:rsid w:val="003B41C6"/>
    <w:rsid w:val="003B4CDD"/>
    <w:rsid w:val="003B4FAA"/>
    <w:rsid w:val="003B608D"/>
    <w:rsid w:val="003B61CB"/>
    <w:rsid w:val="003B732B"/>
    <w:rsid w:val="003C119C"/>
    <w:rsid w:val="003C284F"/>
    <w:rsid w:val="003C4C12"/>
    <w:rsid w:val="003C4E3A"/>
    <w:rsid w:val="003C52C7"/>
    <w:rsid w:val="003C669D"/>
    <w:rsid w:val="003C6A12"/>
    <w:rsid w:val="003D05CD"/>
    <w:rsid w:val="003D0AAF"/>
    <w:rsid w:val="003D0CF9"/>
    <w:rsid w:val="003D1B79"/>
    <w:rsid w:val="003D4D38"/>
    <w:rsid w:val="003D4F0E"/>
    <w:rsid w:val="003D56AD"/>
    <w:rsid w:val="003D5A6E"/>
    <w:rsid w:val="003D6005"/>
    <w:rsid w:val="003D69AB"/>
    <w:rsid w:val="003D730F"/>
    <w:rsid w:val="003E08D4"/>
    <w:rsid w:val="003E35B0"/>
    <w:rsid w:val="003F0A44"/>
    <w:rsid w:val="003F1069"/>
    <w:rsid w:val="003F1574"/>
    <w:rsid w:val="003F241D"/>
    <w:rsid w:val="003F3A1C"/>
    <w:rsid w:val="003F3FDB"/>
    <w:rsid w:val="003F493A"/>
    <w:rsid w:val="003F5335"/>
    <w:rsid w:val="003F5862"/>
    <w:rsid w:val="003F5F21"/>
    <w:rsid w:val="003F74F1"/>
    <w:rsid w:val="003F7CBC"/>
    <w:rsid w:val="00400967"/>
    <w:rsid w:val="00402B01"/>
    <w:rsid w:val="004031CB"/>
    <w:rsid w:val="00403563"/>
    <w:rsid w:val="0040382D"/>
    <w:rsid w:val="0040429C"/>
    <w:rsid w:val="00404E66"/>
    <w:rsid w:val="00405AB1"/>
    <w:rsid w:val="00410610"/>
    <w:rsid w:val="0041085D"/>
    <w:rsid w:val="00411400"/>
    <w:rsid w:val="00411C6B"/>
    <w:rsid w:val="00411E72"/>
    <w:rsid w:val="00411F88"/>
    <w:rsid w:val="004126DF"/>
    <w:rsid w:val="0041279B"/>
    <w:rsid w:val="00413358"/>
    <w:rsid w:val="004148D3"/>
    <w:rsid w:val="00414C1F"/>
    <w:rsid w:val="00414EDE"/>
    <w:rsid w:val="004154DB"/>
    <w:rsid w:val="00416717"/>
    <w:rsid w:val="00420285"/>
    <w:rsid w:val="0042056D"/>
    <w:rsid w:val="004207EC"/>
    <w:rsid w:val="0042268D"/>
    <w:rsid w:val="004244D8"/>
    <w:rsid w:val="0042506F"/>
    <w:rsid w:val="0042566E"/>
    <w:rsid w:val="00426D93"/>
    <w:rsid w:val="00427B50"/>
    <w:rsid w:val="00430632"/>
    <w:rsid w:val="0043163C"/>
    <w:rsid w:val="00431BFF"/>
    <w:rsid w:val="00431F63"/>
    <w:rsid w:val="004333BA"/>
    <w:rsid w:val="00435167"/>
    <w:rsid w:val="0043569E"/>
    <w:rsid w:val="00436C5E"/>
    <w:rsid w:val="0043736E"/>
    <w:rsid w:val="00440458"/>
    <w:rsid w:val="00441D65"/>
    <w:rsid w:val="0044551E"/>
    <w:rsid w:val="00447A1E"/>
    <w:rsid w:val="00447BF1"/>
    <w:rsid w:val="0045044D"/>
    <w:rsid w:val="00451F96"/>
    <w:rsid w:val="004527B3"/>
    <w:rsid w:val="00454231"/>
    <w:rsid w:val="00454407"/>
    <w:rsid w:val="00454427"/>
    <w:rsid w:val="00460406"/>
    <w:rsid w:val="00460F7E"/>
    <w:rsid w:val="004614EB"/>
    <w:rsid w:val="00463496"/>
    <w:rsid w:val="00463615"/>
    <w:rsid w:val="0046399B"/>
    <w:rsid w:val="00465819"/>
    <w:rsid w:val="00466A60"/>
    <w:rsid w:val="00466CA7"/>
    <w:rsid w:val="00467104"/>
    <w:rsid w:val="00467887"/>
    <w:rsid w:val="004701E1"/>
    <w:rsid w:val="004710B9"/>
    <w:rsid w:val="004737A2"/>
    <w:rsid w:val="00473CEE"/>
    <w:rsid w:val="00476C15"/>
    <w:rsid w:val="00480CCF"/>
    <w:rsid w:val="00482789"/>
    <w:rsid w:val="00482FB3"/>
    <w:rsid w:val="00483928"/>
    <w:rsid w:val="00484BBD"/>
    <w:rsid w:val="00484E4E"/>
    <w:rsid w:val="004850F6"/>
    <w:rsid w:val="004858D0"/>
    <w:rsid w:val="00485A8D"/>
    <w:rsid w:val="00485C36"/>
    <w:rsid w:val="00486A68"/>
    <w:rsid w:val="00486D93"/>
    <w:rsid w:val="00487DAD"/>
    <w:rsid w:val="004900ED"/>
    <w:rsid w:val="004913BD"/>
    <w:rsid w:val="0049194D"/>
    <w:rsid w:val="0049266A"/>
    <w:rsid w:val="00492678"/>
    <w:rsid w:val="00492945"/>
    <w:rsid w:val="0049476B"/>
    <w:rsid w:val="00495180"/>
    <w:rsid w:val="0049557C"/>
    <w:rsid w:val="0049722A"/>
    <w:rsid w:val="004A1732"/>
    <w:rsid w:val="004A2EAE"/>
    <w:rsid w:val="004A46B5"/>
    <w:rsid w:val="004A4AAA"/>
    <w:rsid w:val="004A4D61"/>
    <w:rsid w:val="004A4F35"/>
    <w:rsid w:val="004A5190"/>
    <w:rsid w:val="004A72BE"/>
    <w:rsid w:val="004A73F7"/>
    <w:rsid w:val="004A7B6C"/>
    <w:rsid w:val="004B3719"/>
    <w:rsid w:val="004B3E73"/>
    <w:rsid w:val="004B4CB8"/>
    <w:rsid w:val="004B4FCA"/>
    <w:rsid w:val="004B550A"/>
    <w:rsid w:val="004C0262"/>
    <w:rsid w:val="004C0651"/>
    <w:rsid w:val="004C3CE2"/>
    <w:rsid w:val="004C4D72"/>
    <w:rsid w:val="004C4F8D"/>
    <w:rsid w:val="004C5A42"/>
    <w:rsid w:val="004C5CE3"/>
    <w:rsid w:val="004C7164"/>
    <w:rsid w:val="004C736E"/>
    <w:rsid w:val="004D0102"/>
    <w:rsid w:val="004D1B62"/>
    <w:rsid w:val="004D3C8C"/>
    <w:rsid w:val="004D45EB"/>
    <w:rsid w:val="004D6132"/>
    <w:rsid w:val="004D7D96"/>
    <w:rsid w:val="004E5129"/>
    <w:rsid w:val="004E5413"/>
    <w:rsid w:val="004E7407"/>
    <w:rsid w:val="004F1019"/>
    <w:rsid w:val="004F2881"/>
    <w:rsid w:val="004F310F"/>
    <w:rsid w:val="004F4189"/>
    <w:rsid w:val="004F5690"/>
    <w:rsid w:val="004F73AB"/>
    <w:rsid w:val="004F7A6F"/>
    <w:rsid w:val="004F7AEC"/>
    <w:rsid w:val="00501246"/>
    <w:rsid w:val="00502057"/>
    <w:rsid w:val="00502799"/>
    <w:rsid w:val="00503C77"/>
    <w:rsid w:val="005065E6"/>
    <w:rsid w:val="0050677E"/>
    <w:rsid w:val="00506CB8"/>
    <w:rsid w:val="0050788B"/>
    <w:rsid w:val="005107A3"/>
    <w:rsid w:val="005109C8"/>
    <w:rsid w:val="00510D81"/>
    <w:rsid w:val="00511AAC"/>
    <w:rsid w:val="0051254E"/>
    <w:rsid w:val="00513B8D"/>
    <w:rsid w:val="00513E89"/>
    <w:rsid w:val="00515B2F"/>
    <w:rsid w:val="005173FC"/>
    <w:rsid w:val="00517D15"/>
    <w:rsid w:val="00517E82"/>
    <w:rsid w:val="00520898"/>
    <w:rsid w:val="00520934"/>
    <w:rsid w:val="00520AF9"/>
    <w:rsid w:val="00520E83"/>
    <w:rsid w:val="00521055"/>
    <w:rsid w:val="00521B1E"/>
    <w:rsid w:val="00523095"/>
    <w:rsid w:val="005249B6"/>
    <w:rsid w:val="0052541D"/>
    <w:rsid w:val="00525A5D"/>
    <w:rsid w:val="00525E9B"/>
    <w:rsid w:val="0052658C"/>
    <w:rsid w:val="00530A41"/>
    <w:rsid w:val="00530F78"/>
    <w:rsid w:val="005323DE"/>
    <w:rsid w:val="00533204"/>
    <w:rsid w:val="00533A2A"/>
    <w:rsid w:val="005373C8"/>
    <w:rsid w:val="00537705"/>
    <w:rsid w:val="00537BBF"/>
    <w:rsid w:val="00540258"/>
    <w:rsid w:val="00540716"/>
    <w:rsid w:val="00541EE5"/>
    <w:rsid w:val="00542ADC"/>
    <w:rsid w:val="00542C11"/>
    <w:rsid w:val="00543223"/>
    <w:rsid w:val="005437FC"/>
    <w:rsid w:val="00543F1E"/>
    <w:rsid w:val="005444D7"/>
    <w:rsid w:val="00544B82"/>
    <w:rsid w:val="005453D0"/>
    <w:rsid w:val="00545784"/>
    <w:rsid w:val="00545AF1"/>
    <w:rsid w:val="00545D7E"/>
    <w:rsid w:val="00546986"/>
    <w:rsid w:val="00546D00"/>
    <w:rsid w:val="00550A57"/>
    <w:rsid w:val="00550E0F"/>
    <w:rsid w:val="0055136A"/>
    <w:rsid w:val="005531A4"/>
    <w:rsid w:val="00554222"/>
    <w:rsid w:val="0055485B"/>
    <w:rsid w:val="0055492A"/>
    <w:rsid w:val="00555198"/>
    <w:rsid w:val="005551C0"/>
    <w:rsid w:val="005563C6"/>
    <w:rsid w:val="00560034"/>
    <w:rsid w:val="00560763"/>
    <w:rsid w:val="00562C24"/>
    <w:rsid w:val="005642EF"/>
    <w:rsid w:val="0056503D"/>
    <w:rsid w:val="005653E9"/>
    <w:rsid w:val="0056705A"/>
    <w:rsid w:val="00567813"/>
    <w:rsid w:val="00570FF8"/>
    <w:rsid w:val="00571849"/>
    <w:rsid w:val="00573FFA"/>
    <w:rsid w:val="005744B6"/>
    <w:rsid w:val="0057469B"/>
    <w:rsid w:val="00574C85"/>
    <w:rsid w:val="00577274"/>
    <w:rsid w:val="00577E29"/>
    <w:rsid w:val="00577FA1"/>
    <w:rsid w:val="005822CB"/>
    <w:rsid w:val="0058375E"/>
    <w:rsid w:val="00583B6B"/>
    <w:rsid w:val="00585589"/>
    <w:rsid w:val="005879B8"/>
    <w:rsid w:val="00587CCE"/>
    <w:rsid w:val="00587CDF"/>
    <w:rsid w:val="00587D24"/>
    <w:rsid w:val="0059169C"/>
    <w:rsid w:val="00592FA0"/>
    <w:rsid w:val="00593865"/>
    <w:rsid w:val="00593ABE"/>
    <w:rsid w:val="00593F9B"/>
    <w:rsid w:val="0059443E"/>
    <w:rsid w:val="00594B8E"/>
    <w:rsid w:val="00594C40"/>
    <w:rsid w:val="00595A01"/>
    <w:rsid w:val="00595D9C"/>
    <w:rsid w:val="005A1AA5"/>
    <w:rsid w:val="005A22C3"/>
    <w:rsid w:val="005A2595"/>
    <w:rsid w:val="005A3022"/>
    <w:rsid w:val="005A3917"/>
    <w:rsid w:val="005A412F"/>
    <w:rsid w:val="005A42F0"/>
    <w:rsid w:val="005A48F1"/>
    <w:rsid w:val="005A49E6"/>
    <w:rsid w:val="005A523C"/>
    <w:rsid w:val="005A5F95"/>
    <w:rsid w:val="005B1A3E"/>
    <w:rsid w:val="005B272D"/>
    <w:rsid w:val="005B30F0"/>
    <w:rsid w:val="005B3442"/>
    <w:rsid w:val="005B3DEE"/>
    <w:rsid w:val="005B4975"/>
    <w:rsid w:val="005B67CE"/>
    <w:rsid w:val="005B6D6E"/>
    <w:rsid w:val="005B7729"/>
    <w:rsid w:val="005B7DD6"/>
    <w:rsid w:val="005C0823"/>
    <w:rsid w:val="005C11B5"/>
    <w:rsid w:val="005C2573"/>
    <w:rsid w:val="005C2867"/>
    <w:rsid w:val="005C4B89"/>
    <w:rsid w:val="005D058C"/>
    <w:rsid w:val="005D06CB"/>
    <w:rsid w:val="005D0BFF"/>
    <w:rsid w:val="005D252C"/>
    <w:rsid w:val="005D4782"/>
    <w:rsid w:val="005D6365"/>
    <w:rsid w:val="005D64FB"/>
    <w:rsid w:val="005D65D4"/>
    <w:rsid w:val="005D6B53"/>
    <w:rsid w:val="005D708D"/>
    <w:rsid w:val="005E0E2F"/>
    <w:rsid w:val="005E2395"/>
    <w:rsid w:val="005E2646"/>
    <w:rsid w:val="005E3449"/>
    <w:rsid w:val="005E4AFA"/>
    <w:rsid w:val="005E5131"/>
    <w:rsid w:val="005E517E"/>
    <w:rsid w:val="005E5CFE"/>
    <w:rsid w:val="005E7361"/>
    <w:rsid w:val="005F0587"/>
    <w:rsid w:val="005F0957"/>
    <w:rsid w:val="005F1D4C"/>
    <w:rsid w:val="005F2462"/>
    <w:rsid w:val="005F35B6"/>
    <w:rsid w:val="005F3DC7"/>
    <w:rsid w:val="005F6638"/>
    <w:rsid w:val="005F6690"/>
    <w:rsid w:val="0060132D"/>
    <w:rsid w:val="0060156D"/>
    <w:rsid w:val="0060167C"/>
    <w:rsid w:val="00601B67"/>
    <w:rsid w:val="006022EE"/>
    <w:rsid w:val="00604550"/>
    <w:rsid w:val="006054B3"/>
    <w:rsid w:val="00605BD1"/>
    <w:rsid w:val="00606824"/>
    <w:rsid w:val="00610098"/>
    <w:rsid w:val="006102CE"/>
    <w:rsid w:val="0061057C"/>
    <w:rsid w:val="00611D28"/>
    <w:rsid w:val="00612E4D"/>
    <w:rsid w:val="006137F6"/>
    <w:rsid w:val="006174A8"/>
    <w:rsid w:val="00620E5C"/>
    <w:rsid w:val="006267BC"/>
    <w:rsid w:val="006269A2"/>
    <w:rsid w:val="00627C38"/>
    <w:rsid w:val="00630023"/>
    <w:rsid w:val="00631534"/>
    <w:rsid w:val="0063261D"/>
    <w:rsid w:val="00633BB3"/>
    <w:rsid w:val="0063466A"/>
    <w:rsid w:val="00635DDB"/>
    <w:rsid w:val="00637DA3"/>
    <w:rsid w:val="00637E50"/>
    <w:rsid w:val="0064074B"/>
    <w:rsid w:val="006428E0"/>
    <w:rsid w:val="00642AFC"/>
    <w:rsid w:val="00642D47"/>
    <w:rsid w:val="00643905"/>
    <w:rsid w:val="0064605D"/>
    <w:rsid w:val="00646599"/>
    <w:rsid w:val="00653F65"/>
    <w:rsid w:val="00653F68"/>
    <w:rsid w:val="00654053"/>
    <w:rsid w:val="00654395"/>
    <w:rsid w:val="00654467"/>
    <w:rsid w:val="00656CF7"/>
    <w:rsid w:val="006601E7"/>
    <w:rsid w:val="00661E92"/>
    <w:rsid w:val="00662579"/>
    <w:rsid w:val="00662DA2"/>
    <w:rsid w:val="00664500"/>
    <w:rsid w:val="00664A0D"/>
    <w:rsid w:val="00666B50"/>
    <w:rsid w:val="0067056B"/>
    <w:rsid w:val="00670D8D"/>
    <w:rsid w:val="00670E94"/>
    <w:rsid w:val="00671350"/>
    <w:rsid w:val="0067145E"/>
    <w:rsid w:val="006715F7"/>
    <w:rsid w:val="0067250A"/>
    <w:rsid w:val="0067373B"/>
    <w:rsid w:val="006757BC"/>
    <w:rsid w:val="0067625D"/>
    <w:rsid w:val="00676571"/>
    <w:rsid w:val="00676801"/>
    <w:rsid w:val="006771E2"/>
    <w:rsid w:val="00677CC8"/>
    <w:rsid w:val="00683520"/>
    <w:rsid w:val="00684C4E"/>
    <w:rsid w:val="006868DD"/>
    <w:rsid w:val="00686E4B"/>
    <w:rsid w:val="006875BF"/>
    <w:rsid w:val="0069164B"/>
    <w:rsid w:val="00691EF3"/>
    <w:rsid w:val="006923F3"/>
    <w:rsid w:val="006929B1"/>
    <w:rsid w:val="006934B8"/>
    <w:rsid w:val="006943AD"/>
    <w:rsid w:val="00695078"/>
    <w:rsid w:val="0069680F"/>
    <w:rsid w:val="00696AD0"/>
    <w:rsid w:val="00696D86"/>
    <w:rsid w:val="00696E63"/>
    <w:rsid w:val="006A03B9"/>
    <w:rsid w:val="006A0BC6"/>
    <w:rsid w:val="006A1746"/>
    <w:rsid w:val="006A3E4C"/>
    <w:rsid w:val="006A52EF"/>
    <w:rsid w:val="006A5427"/>
    <w:rsid w:val="006A5591"/>
    <w:rsid w:val="006A57B9"/>
    <w:rsid w:val="006A5F27"/>
    <w:rsid w:val="006A640A"/>
    <w:rsid w:val="006A6EC5"/>
    <w:rsid w:val="006A6ECA"/>
    <w:rsid w:val="006B042D"/>
    <w:rsid w:val="006B4460"/>
    <w:rsid w:val="006B6AB9"/>
    <w:rsid w:val="006B743B"/>
    <w:rsid w:val="006B794E"/>
    <w:rsid w:val="006C26D0"/>
    <w:rsid w:val="006C274D"/>
    <w:rsid w:val="006C3276"/>
    <w:rsid w:val="006C394C"/>
    <w:rsid w:val="006C3FF7"/>
    <w:rsid w:val="006D0838"/>
    <w:rsid w:val="006D0848"/>
    <w:rsid w:val="006D0BE1"/>
    <w:rsid w:val="006D160F"/>
    <w:rsid w:val="006D359D"/>
    <w:rsid w:val="006D3F74"/>
    <w:rsid w:val="006D423A"/>
    <w:rsid w:val="006D4DB5"/>
    <w:rsid w:val="006D6E06"/>
    <w:rsid w:val="006D75C2"/>
    <w:rsid w:val="006D7BC4"/>
    <w:rsid w:val="006E0844"/>
    <w:rsid w:val="006E13E7"/>
    <w:rsid w:val="006E192A"/>
    <w:rsid w:val="006E29EB"/>
    <w:rsid w:val="006E3D84"/>
    <w:rsid w:val="006E67A3"/>
    <w:rsid w:val="006E7869"/>
    <w:rsid w:val="006E7AB0"/>
    <w:rsid w:val="006F089A"/>
    <w:rsid w:val="006F0B8E"/>
    <w:rsid w:val="006F0D61"/>
    <w:rsid w:val="006F1ED7"/>
    <w:rsid w:val="006F1FA4"/>
    <w:rsid w:val="006F2401"/>
    <w:rsid w:val="006F3B97"/>
    <w:rsid w:val="006F6D4B"/>
    <w:rsid w:val="006F6DF1"/>
    <w:rsid w:val="006F6F9A"/>
    <w:rsid w:val="006F79C3"/>
    <w:rsid w:val="006F7FE1"/>
    <w:rsid w:val="00700B1E"/>
    <w:rsid w:val="00701F7C"/>
    <w:rsid w:val="00702DC8"/>
    <w:rsid w:val="007040BC"/>
    <w:rsid w:val="00704289"/>
    <w:rsid w:val="00705719"/>
    <w:rsid w:val="00706C50"/>
    <w:rsid w:val="00707BA3"/>
    <w:rsid w:val="00710CE5"/>
    <w:rsid w:val="007124C2"/>
    <w:rsid w:val="00712924"/>
    <w:rsid w:val="00713423"/>
    <w:rsid w:val="007143DD"/>
    <w:rsid w:val="00716AF6"/>
    <w:rsid w:val="0072231F"/>
    <w:rsid w:val="00723E49"/>
    <w:rsid w:val="007243DA"/>
    <w:rsid w:val="0072500E"/>
    <w:rsid w:val="00725524"/>
    <w:rsid w:val="00725CFC"/>
    <w:rsid w:val="00725E1A"/>
    <w:rsid w:val="00726292"/>
    <w:rsid w:val="0072739D"/>
    <w:rsid w:val="00727A13"/>
    <w:rsid w:val="007302B0"/>
    <w:rsid w:val="00731510"/>
    <w:rsid w:val="00732B22"/>
    <w:rsid w:val="00736E72"/>
    <w:rsid w:val="007402C8"/>
    <w:rsid w:val="00740D94"/>
    <w:rsid w:val="00741F2E"/>
    <w:rsid w:val="0074246F"/>
    <w:rsid w:val="00743901"/>
    <w:rsid w:val="007455D8"/>
    <w:rsid w:val="00745A86"/>
    <w:rsid w:val="00745E32"/>
    <w:rsid w:val="0074636E"/>
    <w:rsid w:val="00746A2D"/>
    <w:rsid w:val="00746AD0"/>
    <w:rsid w:val="007479AB"/>
    <w:rsid w:val="00747BF7"/>
    <w:rsid w:val="00747C85"/>
    <w:rsid w:val="00750DC9"/>
    <w:rsid w:val="00751940"/>
    <w:rsid w:val="00751E29"/>
    <w:rsid w:val="00752E3D"/>
    <w:rsid w:val="00752E94"/>
    <w:rsid w:val="00754712"/>
    <w:rsid w:val="0075580D"/>
    <w:rsid w:val="00756514"/>
    <w:rsid w:val="00757CB2"/>
    <w:rsid w:val="00762277"/>
    <w:rsid w:val="00762580"/>
    <w:rsid w:val="00762CAD"/>
    <w:rsid w:val="00763E3D"/>
    <w:rsid w:val="007648E3"/>
    <w:rsid w:val="007648F3"/>
    <w:rsid w:val="007653F0"/>
    <w:rsid w:val="00765DC3"/>
    <w:rsid w:val="00766DF6"/>
    <w:rsid w:val="00770D0B"/>
    <w:rsid w:val="00772AE2"/>
    <w:rsid w:val="007737BA"/>
    <w:rsid w:val="0077403C"/>
    <w:rsid w:val="0077494E"/>
    <w:rsid w:val="00775E83"/>
    <w:rsid w:val="007768E9"/>
    <w:rsid w:val="00776F1C"/>
    <w:rsid w:val="0078031F"/>
    <w:rsid w:val="0078178E"/>
    <w:rsid w:val="00781A2F"/>
    <w:rsid w:val="00781A9D"/>
    <w:rsid w:val="00782174"/>
    <w:rsid w:val="0078281A"/>
    <w:rsid w:val="0078303F"/>
    <w:rsid w:val="00783363"/>
    <w:rsid w:val="00784059"/>
    <w:rsid w:val="007851B2"/>
    <w:rsid w:val="00785465"/>
    <w:rsid w:val="00787143"/>
    <w:rsid w:val="007901EB"/>
    <w:rsid w:val="007905CD"/>
    <w:rsid w:val="00791D90"/>
    <w:rsid w:val="00793028"/>
    <w:rsid w:val="007937BD"/>
    <w:rsid w:val="00795DF1"/>
    <w:rsid w:val="007978AB"/>
    <w:rsid w:val="007A06D6"/>
    <w:rsid w:val="007A234C"/>
    <w:rsid w:val="007A2896"/>
    <w:rsid w:val="007A33C5"/>
    <w:rsid w:val="007A3AA5"/>
    <w:rsid w:val="007A4C5B"/>
    <w:rsid w:val="007A50A9"/>
    <w:rsid w:val="007A5605"/>
    <w:rsid w:val="007A5EA4"/>
    <w:rsid w:val="007A6E75"/>
    <w:rsid w:val="007B001F"/>
    <w:rsid w:val="007B20F7"/>
    <w:rsid w:val="007B2AA0"/>
    <w:rsid w:val="007B3154"/>
    <w:rsid w:val="007B3598"/>
    <w:rsid w:val="007B3B2C"/>
    <w:rsid w:val="007B4146"/>
    <w:rsid w:val="007B4E0A"/>
    <w:rsid w:val="007B5D72"/>
    <w:rsid w:val="007B7046"/>
    <w:rsid w:val="007C0B23"/>
    <w:rsid w:val="007C1BAA"/>
    <w:rsid w:val="007C5251"/>
    <w:rsid w:val="007C5279"/>
    <w:rsid w:val="007C53EB"/>
    <w:rsid w:val="007C569C"/>
    <w:rsid w:val="007C608D"/>
    <w:rsid w:val="007D184E"/>
    <w:rsid w:val="007D1E8E"/>
    <w:rsid w:val="007D2C11"/>
    <w:rsid w:val="007D612E"/>
    <w:rsid w:val="007D6CE7"/>
    <w:rsid w:val="007D7C68"/>
    <w:rsid w:val="007D7D84"/>
    <w:rsid w:val="007E0592"/>
    <w:rsid w:val="007E1639"/>
    <w:rsid w:val="007E1AD3"/>
    <w:rsid w:val="007E293A"/>
    <w:rsid w:val="007E2B5B"/>
    <w:rsid w:val="007E370B"/>
    <w:rsid w:val="007E3C95"/>
    <w:rsid w:val="007E569A"/>
    <w:rsid w:val="007E5AE7"/>
    <w:rsid w:val="007E6E08"/>
    <w:rsid w:val="007E7D21"/>
    <w:rsid w:val="007F0A95"/>
    <w:rsid w:val="007F16BF"/>
    <w:rsid w:val="007F21F0"/>
    <w:rsid w:val="007F3BE9"/>
    <w:rsid w:val="007F4C95"/>
    <w:rsid w:val="007F6248"/>
    <w:rsid w:val="007F6A16"/>
    <w:rsid w:val="007F6B8D"/>
    <w:rsid w:val="00800B68"/>
    <w:rsid w:val="00802197"/>
    <w:rsid w:val="00802199"/>
    <w:rsid w:val="00802B6A"/>
    <w:rsid w:val="008042D1"/>
    <w:rsid w:val="00807C7E"/>
    <w:rsid w:val="00810315"/>
    <w:rsid w:val="00810F45"/>
    <w:rsid w:val="00811B8A"/>
    <w:rsid w:val="008123DC"/>
    <w:rsid w:val="00813615"/>
    <w:rsid w:val="0081381D"/>
    <w:rsid w:val="008141FE"/>
    <w:rsid w:val="0082151C"/>
    <w:rsid w:val="008246C0"/>
    <w:rsid w:val="008251E4"/>
    <w:rsid w:val="0082542B"/>
    <w:rsid w:val="00825A27"/>
    <w:rsid w:val="00825EF2"/>
    <w:rsid w:val="00827CFF"/>
    <w:rsid w:val="00830D25"/>
    <w:rsid w:val="00834220"/>
    <w:rsid w:val="00837DE9"/>
    <w:rsid w:val="00841223"/>
    <w:rsid w:val="008418AA"/>
    <w:rsid w:val="008418E9"/>
    <w:rsid w:val="00842236"/>
    <w:rsid w:val="0084342E"/>
    <w:rsid w:val="008469DD"/>
    <w:rsid w:val="00846D53"/>
    <w:rsid w:val="00847F13"/>
    <w:rsid w:val="00850259"/>
    <w:rsid w:val="00853630"/>
    <w:rsid w:val="00854715"/>
    <w:rsid w:val="00854952"/>
    <w:rsid w:val="00854D67"/>
    <w:rsid w:val="008566E1"/>
    <w:rsid w:val="008569D9"/>
    <w:rsid w:val="00856EF9"/>
    <w:rsid w:val="00857DEF"/>
    <w:rsid w:val="00860D2D"/>
    <w:rsid w:val="00860D4F"/>
    <w:rsid w:val="00861826"/>
    <w:rsid w:val="008619EC"/>
    <w:rsid w:val="00861A68"/>
    <w:rsid w:val="008622F1"/>
    <w:rsid w:val="00863369"/>
    <w:rsid w:val="00863E61"/>
    <w:rsid w:val="008641E9"/>
    <w:rsid w:val="008643EC"/>
    <w:rsid w:val="00864462"/>
    <w:rsid w:val="00864F0C"/>
    <w:rsid w:val="008664AE"/>
    <w:rsid w:val="008710F3"/>
    <w:rsid w:val="008711C9"/>
    <w:rsid w:val="0087380A"/>
    <w:rsid w:val="00873B47"/>
    <w:rsid w:val="00875569"/>
    <w:rsid w:val="0087560B"/>
    <w:rsid w:val="00876515"/>
    <w:rsid w:val="0087753D"/>
    <w:rsid w:val="00877672"/>
    <w:rsid w:val="00877C90"/>
    <w:rsid w:val="00880A76"/>
    <w:rsid w:val="00880D3F"/>
    <w:rsid w:val="00881CBB"/>
    <w:rsid w:val="00882433"/>
    <w:rsid w:val="00882926"/>
    <w:rsid w:val="008829C4"/>
    <w:rsid w:val="00882B10"/>
    <w:rsid w:val="0088672D"/>
    <w:rsid w:val="00886D72"/>
    <w:rsid w:val="008872A9"/>
    <w:rsid w:val="008913FB"/>
    <w:rsid w:val="00891480"/>
    <w:rsid w:val="00891F96"/>
    <w:rsid w:val="00891FC2"/>
    <w:rsid w:val="00892A44"/>
    <w:rsid w:val="00892CCE"/>
    <w:rsid w:val="00892E14"/>
    <w:rsid w:val="00893594"/>
    <w:rsid w:val="008936A3"/>
    <w:rsid w:val="00893DE3"/>
    <w:rsid w:val="00894865"/>
    <w:rsid w:val="008949D9"/>
    <w:rsid w:val="00895FF9"/>
    <w:rsid w:val="00896028"/>
    <w:rsid w:val="0089715E"/>
    <w:rsid w:val="008A0BCD"/>
    <w:rsid w:val="008A25DE"/>
    <w:rsid w:val="008A29E4"/>
    <w:rsid w:val="008A40E8"/>
    <w:rsid w:val="008A4ED0"/>
    <w:rsid w:val="008A70DC"/>
    <w:rsid w:val="008B0696"/>
    <w:rsid w:val="008B1CC2"/>
    <w:rsid w:val="008B2A7E"/>
    <w:rsid w:val="008B4FF9"/>
    <w:rsid w:val="008B51CC"/>
    <w:rsid w:val="008B55FC"/>
    <w:rsid w:val="008B5678"/>
    <w:rsid w:val="008B5D4C"/>
    <w:rsid w:val="008B712B"/>
    <w:rsid w:val="008B713F"/>
    <w:rsid w:val="008B7D96"/>
    <w:rsid w:val="008B7E7B"/>
    <w:rsid w:val="008C09E3"/>
    <w:rsid w:val="008C1E86"/>
    <w:rsid w:val="008C202E"/>
    <w:rsid w:val="008C2BD1"/>
    <w:rsid w:val="008C3DA5"/>
    <w:rsid w:val="008C5111"/>
    <w:rsid w:val="008C544F"/>
    <w:rsid w:val="008C5B3E"/>
    <w:rsid w:val="008C669C"/>
    <w:rsid w:val="008C6A04"/>
    <w:rsid w:val="008C6DE3"/>
    <w:rsid w:val="008C7550"/>
    <w:rsid w:val="008C7667"/>
    <w:rsid w:val="008D052D"/>
    <w:rsid w:val="008D21DD"/>
    <w:rsid w:val="008D31ED"/>
    <w:rsid w:val="008D35F3"/>
    <w:rsid w:val="008D4FDF"/>
    <w:rsid w:val="008D6603"/>
    <w:rsid w:val="008E0B86"/>
    <w:rsid w:val="008E195C"/>
    <w:rsid w:val="008E1DA9"/>
    <w:rsid w:val="008E211C"/>
    <w:rsid w:val="008E305B"/>
    <w:rsid w:val="008E400B"/>
    <w:rsid w:val="008E4A37"/>
    <w:rsid w:val="008E5B7D"/>
    <w:rsid w:val="008E7420"/>
    <w:rsid w:val="008F02E1"/>
    <w:rsid w:val="008F2406"/>
    <w:rsid w:val="008F28AD"/>
    <w:rsid w:val="008F3596"/>
    <w:rsid w:val="008F38A8"/>
    <w:rsid w:val="008F532C"/>
    <w:rsid w:val="008F6C50"/>
    <w:rsid w:val="008F741C"/>
    <w:rsid w:val="008F7CCE"/>
    <w:rsid w:val="00900410"/>
    <w:rsid w:val="00900BC6"/>
    <w:rsid w:val="0090339E"/>
    <w:rsid w:val="00903594"/>
    <w:rsid w:val="0090381C"/>
    <w:rsid w:val="00904D3D"/>
    <w:rsid w:val="00904DA8"/>
    <w:rsid w:val="0090562E"/>
    <w:rsid w:val="00905774"/>
    <w:rsid w:val="00905829"/>
    <w:rsid w:val="009058F1"/>
    <w:rsid w:val="00906434"/>
    <w:rsid w:val="00907BB1"/>
    <w:rsid w:val="009109E6"/>
    <w:rsid w:val="0091141A"/>
    <w:rsid w:val="00911602"/>
    <w:rsid w:val="00912C40"/>
    <w:rsid w:val="00913128"/>
    <w:rsid w:val="00913427"/>
    <w:rsid w:val="00913604"/>
    <w:rsid w:val="009139E0"/>
    <w:rsid w:val="0091423F"/>
    <w:rsid w:val="00914373"/>
    <w:rsid w:val="00915163"/>
    <w:rsid w:val="00915B04"/>
    <w:rsid w:val="0091703C"/>
    <w:rsid w:val="009173C9"/>
    <w:rsid w:val="009174C3"/>
    <w:rsid w:val="00920375"/>
    <w:rsid w:val="009207DB"/>
    <w:rsid w:val="00920A73"/>
    <w:rsid w:val="00921A3C"/>
    <w:rsid w:val="00922AC1"/>
    <w:rsid w:val="009241FB"/>
    <w:rsid w:val="00926B6F"/>
    <w:rsid w:val="00926CAE"/>
    <w:rsid w:val="009277F7"/>
    <w:rsid w:val="00931D49"/>
    <w:rsid w:val="0093583E"/>
    <w:rsid w:val="00936A86"/>
    <w:rsid w:val="00936D3D"/>
    <w:rsid w:val="009408F3"/>
    <w:rsid w:val="00940CC3"/>
    <w:rsid w:val="00941313"/>
    <w:rsid w:val="00941EFB"/>
    <w:rsid w:val="00945358"/>
    <w:rsid w:val="00945C2D"/>
    <w:rsid w:val="00950D15"/>
    <w:rsid w:val="009516C3"/>
    <w:rsid w:val="009521C7"/>
    <w:rsid w:val="00954741"/>
    <w:rsid w:val="00954D36"/>
    <w:rsid w:val="009568E5"/>
    <w:rsid w:val="0095696E"/>
    <w:rsid w:val="00963695"/>
    <w:rsid w:val="00966734"/>
    <w:rsid w:val="00966C5F"/>
    <w:rsid w:val="009679FD"/>
    <w:rsid w:val="009708EA"/>
    <w:rsid w:val="009719D4"/>
    <w:rsid w:val="00972560"/>
    <w:rsid w:val="0097321F"/>
    <w:rsid w:val="0097345E"/>
    <w:rsid w:val="0097507D"/>
    <w:rsid w:val="009766E5"/>
    <w:rsid w:val="0097695D"/>
    <w:rsid w:val="00976B56"/>
    <w:rsid w:val="00976D4D"/>
    <w:rsid w:val="0097777D"/>
    <w:rsid w:val="009804B3"/>
    <w:rsid w:val="009807DB"/>
    <w:rsid w:val="0098137B"/>
    <w:rsid w:val="00981D9B"/>
    <w:rsid w:val="009828A5"/>
    <w:rsid w:val="00982D26"/>
    <w:rsid w:val="00983F6F"/>
    <w:rsid w:val="00985D82"/>
    <w:rsid w:val="00986441"/>
    <w:rsid w:val="00987991"/>
    <w:rsid w:val="0099286C"/>
    <w:rsid w:val="00992B1A"/>
    <w:rsid w:val="009932F5"/>
    <w:rsid w:val="009933D7"/>
    <w:rsid w:val="00994B04"/>
    <w:rsid w:val="0099617B"/>
    <w:rsid w:val="00996735"/>
    <w:rsid w:val="00997AA6"/>
    <w:rsid w:val="00997DE8"/>
    <w:rsid w:val="009A05BF"/>
    <w:rsid w:val="009A21D8"/>
    <w:rsid w:val="009A37AE"/>
    <w:rsid w:val="009A3A91"/>
    <w:rsid w:val="009A50AD"/>
    <w:rsid w:val="009A52FF"/>
    <w:rsid w:val="009A621B"/>
    <w:rsid w:val="009B0A3A"/>
    <w:rsid w:val="009B139A"/>
    <w:rsid w:val="009B286F"/>
    <w:rsid w:val="009B3039"/>
    <w:rsid w:val="009B3BAC"/>
    <w:rsid w:val="009B60FB"/>
    <w:rsid w:val="009B6EC0"/>
    <w:rsid w:val="009B72A9"/>
    <w:rsid w:val="009B764F"/>
    <w:rsid w:val="009B7953"/>
    <w:rsid w:val="009C0326"/>
    <w:rsid w:val="009C1789"/>
    <w:rsid w:val="009C1DB8"/>
    <w:rsid w:val="009C2886"/>
    <w:rsid w:val="009C2A9D"/>
    <w:rsid w:val="009C6019"/>
    <w:rsid w:val="009C7CF5"/>
    <w:rsid w:val="009D12D9"/>
    <w:rsid w:val="009D2508"/>
    <w:rsid w:val="009D3132"/>
    <w:rsid w:val="009D4B15"/>
    <w:rsid w:val="009D6296"/>
    <w:rsid w:val="009D635F"/>
    <w:rsid w:val="009D644B"/>
    <w:rsid w:val="009E13EB"/>
    <w:rsid w:val="009E17AF"/>
    <w:rsid w:val="009E1F52"/>
    <w:rsid w:val="009E1FB1"/>
    <w:rsid w:val="009E204F"/>
    <w:rsid w:val="009E32DD"/>
    <w:rsid w:val="009E3B64"/>
    <w:rsid w:val="009E3E27"/>
    <w:rsid w:val="009E6030"/>
    <w:rsid w:val="009E6AF5"/>
    <w:rsid w:val="009E6E42"/>
    <w:rsid w:val="009F0988"/>
    <w:rsid w:val="009F0FAA"/>
    <w:rsid w:val="009F15AF"/>
    <w:rsid w:val="009F2190"/>
    <w:rsid w:val="009F3004"/>
    <w:rsid w:val="009F3F50"/>
    <w:rsid w:val="009F3F81"/>
    <w:rsid w:val="009F5076"/>
    <w:rsid w:val="009F78D8"/>
    <w:rsid w:val="009F7D99"/>
    <w:rsid w:val="00A00A2E"/>
    <w:rsid w:val="00A012DC"/>
    <w:rsid w:val="00A017CF"/>
    <w:rsid w:val="00A01A95"/>
    <w:rsid w:val="00A024AE"/>
    <w:rsid w:val="00A04D87"/>
    <w:rsid w:val="00A06A6B"/>
    <w:rsid w:val="00A14001"/>
    <w:rsid w:val="00A14452"/>
    <w:rsid w:val="00A14D4C"/>
    <w:rsid w:val="00A165A8"/>
    <w:rsid w:val="00A20681"/>
    <w:rsid w:val="00A20AC6"/>
    <w:rsid w:val="00A20D03"/>
    <w:rsid w:val="00A216B9"/>
    <w:rsid w:val="00A2298D"/>
    <w:rsid w:val="00A23389"/>
    <w:rsid w:val="00A23C98"/>
    <w:rsid w:val="00A24F37"/>
    <w:rsid w:val="00A25C1E"/>
    <w:rsid w:val="00A2640B"/>
    <w:rsid w:val="00A273D8"/>
    <w:rsid w:val="00A27DA0"/>
    <w:rsid w:val="00A3025E"/>
    <w:rsid w:val="00A30D4B"/>
    <w:rsid w:val="00A31641"/>
    <w:rsid w:val="00A31C32"/>
    <w:rsid w:val="00A35C2C"/>
    <w:rsid w:val="00A36443"/>
    <w:rsid w:val="00A36EE9"/>
    <w:rsid w:val="00A37C41"/>
    <w:rsid w:val="00A37DA0"/>
    <w:rsid w:val="00A40AC7"/>
    <w:rsid w:val="00A43485"/>
    <w:rsid w:val="00A43493"/>
    <w:rsid w:val="00A43D38"/>
    <w:rsid w:val="00A469C0"/>
    <w:rsid w:val="00A47D9A"/>
    <w:rsid w:val="00A515A4"/>
    <w:rsid w:val="00A5307A"/>
    <w:rsid w:val="00A53666"/>
    <w:rsid w:val="00A53814"/>
    <w:rsid w:val="00A53E90"/>
    <w:rsid w:val="00A54510"/>
    <w:rsid w:val="00A559DC"/>
    <w:rsid w:val="00A55CDC"/>
    <w:rsid w:val="00A57C2A"/>
    <w:rsid w:val="00A627FD"/>
    <w:rsid w:val="00A62835"/>
    <w:rsid w:val="00A637B9"/>
    <w:rsid w:val="00A64E66"/>
    <w:rsid w:val="00A65BAD"/>
    <w:rsid w:val="00A6740F"/>
    <w:rsid w:val="00A67D5F"/>
    <w:rsid w:val="00A7013E"/>
    <w:rsid w:val="00A71813"/>
    <w:rsid w:val="00A71F17"/>
    <w:rsid w:val="00A72322"/>
    <w:rsid w:val="00A72679"/>
    <w:rsid w:val="00A73441"/>
    <w:rsid w:val="00A749F9"/>
    <w:rsid w:val="00A77C70"/>
    <w:rsid w:val="00A801F6"/>
    <w:rsid w:val="00A80ACF"/>
    <w:rsid w:val="00A80E7E"/>
    <w:rsid w:val="00A83768"/>
    <w:rsid w:val="00A858FF"/>
    <w:rsid w:val="00A86270"/>
    <w:rsid w:val="00A90042"/>
    <w:rsid w:val="00A903F6"/>
    <w:rsid w:val="00A9047F"/>
    <w:rsid w:val="00A9082C"/>
    <w:rsid w:val="00A90F71"/>
    <w:rsid w:val="00A9570F"/>
    <w:rsid w:val="00A95FF1"/>
    <w:rsid w:val="00A97C3D"/>
    <w:rsid w:val="00AA07A4"/>
    <w:rsid w:val="00AA107C"/>
    <w:rsid w:val="00AA24AB"/>
    <w:rsid w:val="00AA310C"/>
    <w:rsid w:val="00AA3A7F"/>
    <w:rsid w:val="00AA3CA8"/>
    <w:rsid w:val="00AA4512"/>
    <w:rsid w:val="00AA4B5E"/>
    <w:rsid w:val="00AA5F96"/>
    <w:rsid w:val="00AA71D3"/>
    <w:rsid w:val="00AA7DF0"/>
    <w:rsid w:val="00AB0B8A"/>
    <w:rsid w:val="00AB106E"/>
    <w:rsid w:val="00AB1F62"/>
    <w:rsid w:val="00AB301F"/>
    <w:rsid w:val="00AB359E"/>
    <w:rsid w:val="00AB37AF"/>
    <w:rsid w:val="00AB5949"/>
    <w:rsid w:val="00AB5AC5"/>
    <w:rsid w:val="00AB6C78"/>
    <w:rsid w:val="00AB7753"/>
    <w:rsid w:val="00AB7CF9"/>
    <w:rsid w:val="00AC042A"/>
    <w:rsid w:val="00AC161E"/>
    <w:rsid w:val="00AC1A0E"/>
    <w:rsid w:val="00AC1D42"/>
    <w:rsid w:val="00AC2D55"/>
    <w:rsid w:val="00AC30DD"/>
    <w:rsid w:val="00AC37C4"/>
    <w:rsid w:val="00AC5BB0"/>
    <w:rsid w:val="00AC5D8A"/>
    <w:rsid w:val="00AC7384"/>
    <w:rsid w:val="00AC751A"/>
    <w:rsid w:val="00AC7D25"/>
    <w:rsid w:val="00AD01CD"/>
    <w:rsid w:val="00AD2EEA"/>
    <w:rsid w:val="00AD41AD"/>
    <w:rsid w:val="00AD4271"/>
    <w:rsid w:val="00AD4E2E"/>
    <w:rsid w:val="00AD6F09"/>
    <w:rsid w:val="00AD7AEB"/>
    <w:rsid w:val="00AE21D6"/>
    <w:rsid w:val="00AE3335"/>
    <w:rsid w:val="00AE483B"/>
    <w:rsid w:val="00AE57E1"/>
    <w:rsid w:val="00AE5AFF"/>
    <w:rsid w:val="00AE5C40"/>
    <w:rsid w:val="00AE7401"/>
    <w:rsid w:val="00AF17CC"/>
    <w:rsid w:val="00AF2C7B"/>
    <w:rsid w:val="00AF446B"/>
    <w:rsid w:val="00AF4A99"/>
    <w:rsid w:val="00AF5012"/>
    <w:rsid w:val="00AF627A"/>
    <w:rsid w:val="00AF64F7"/>
    <w:rsid w:val="00AF6C43"/>
    <w:rsid w:val="00B002FB"/>
    <w:rsid w:val="00B01622"/>
    <w:rsid w:val="00B0378A"/>
    <w:rsid w:val="00B04CEB"/>
    <w:rsid w:val="00B0561B"/>
    <w:rsid w:val="00B0756F"/>
    <w:rsid w:val="00B07686"/>
    <w:rsid w:val="00B07F88"/>
    <w:rsid w:val="00B10C4D"/>
    <w:rsid w:val="00B1203C"/>
    <w:rsid w:val="00B15541"/>
    <w:rsid w:val="00B173B7"/>
    <w:rsid w:val="00B177F9"/>
    <w:rsid w:val="00B1797D"/>
    <w:rsid w:val="00B20418"/>
    <w:rsid w:val="00B21932"/>
    <w:rsid w:val="00B21A34"/>
    <w:rsid w:val="00B23EC5"/>
    <w:rsid w:val="00B249B4"/>
    <w:rsid w:val="00B24A51"/>
    <w:rsid w:val="00B25273"/>
    <w:rsid w:val="00B255EA"/>
    <w:rsid w:val="00B2634C"/>
    <w:rsid w:val="00B268AE"/>
    <w:rsid w:val="00B3036F"/>
    <w:rsid w:val="00B30839"/>
    <w:rsid w:val="00B3425E"/>
    <w:rsid w:val="00B419EB"/>
    <w:rsid w:val="00B42D47"/>
    <w:rsid w:val="00B436E2"/>
    <w:rsid w:val="00B53257"/>
    <w:rsid w:val="00B53F8B"/>
    <w:rsid w:val="00B543D4"/>
    <w:rsid w:val="00B5475D"/>
    <w:rsid w:val="00B5490C"/>
    <w:rsid w:val="00B54B38"/>
    <w:rsid w:val="00B55CE7"/>
    <w:rsid w:val="00B57018"/>
    <w:rsid w:val="00B57D51"/>
    <w:rsid w:val="00B609A0"/>
    <w:rsid w:val="00B6125C"/>
    <w:rsid w:val="00B6236F"/>
    <w:rsid w:val="00B623C7"/>
    <w:rsid w:val="00B62A47"/>
    <w:rsid w:val="00B63104"/>
    <w:rsid w:val="00B63FE2"/>
    <w:rsid w:val="00B64808"/>
    <w:rsid w:val="00B65886"/>
    <w:rsid w:val="00B66286"/>
    <w:rsid w:val="00B6635C"/>
    <w:rsid w:val="00B66457"/>
    <w:rsid w:val="00B66496"/>
    <w:rsid w:val="00B6784A"/>
    <w:rsid w:val="00B70048"/>
    <w:rsid w:val="00B70AB6"/>
    <w:rsid w:val="00B70D86"/>
    <w:rsid w:val="00B714E4"/>
    <w:rsid w:val="00B72813"/>
    <w:rsid w:val="00B74626"/>
    <w:rsid w:val="00B756E9"/>
    <w:rsid w:val="00B76813"/>
    <w:rsid w:val="00B808B3"/>
    <w:rsid w:val="00B81577"/>
    <w:rsid w:val="00B82939"/>
    <w:rsid w:val="00B84853"/>
    <w:rsid w:val="00B85F64"/>
    <w:rsid w:val="00B91047"/>
    <w:rsid w:val="00B919A7"/>
    <w:rsid w:val="00B93DBB"/>
    <w:rsid w:val="00B94064"/>
    <w:rsid w:val="00B94AEB"/>
    <w:rsid w:val="00B952FD"/>
    <w:rsid w:val="00B970AC"/>
    <w:rsid w:val="00B97EC9"/>
    <w:rsid w:val="00BA07F7"/>
    <w:rsid w:val="00BA19BE"/>
    <w:rsid w:val="00BA48C5"/>
    <w:rsid w:val="00BA4943"/>
    <w:rsid w:val="00BA4FFE"/>
    <w:rsid w:val="00BA5DEB"/>
    <w:rsid w:val="00BA78F2"/>
    <w:rsid w:val="00BA7B66"/>
    <w:rsid w:val="00BB03A7"/>
    <w:rsid w:val="00BB27A2"/>
    <w:rsid w:val="00BB30D2"/>
    <w:rsid w:val="00BB3F10"/>
    <w:rsid w:val="00BB41D7"/>
    <w:rsid w:val="00BB52FA"/>
    <w:rsid w:val="00BB5473"/>
    <w:rsid w:val="00BB66AF"/>
    <w:rsid w:val="00BB72DB"/>
    <w:rsid w:val="00BB7654"/>
    <w:rsid w:val="00BC0112"/>
    <w:rsid w:val="00BC108F"/>
    <w:rsid w:val="00BC3B0B"/>
    <w:rsid w:val="00BC59A2"/>
    <w:rsid w:val="00BC7259"/>
    <w:rsid w:val="00BC7E87"/>
    <w:rsid w:val="00BD07CF"/>
    <w:rsid w:val="00BD15D9"/>
    <w:rsid w:val="00BD187A"/>
    <w:rsid w:val="00BD223B"/>
    <w:rsid w:val="00BD31B3"/>
    <w:rsid w:val="00BD4E5C"/>
    <w:rsid w:val="00BD5664"/>
    <w:rsid w:val="00BD62FF"/>
    <w:rsid w:val="00BD6F48"/>
    <w:rsid w:val="00BD73B5"/>
    <w:rsid w:val="00BD745E"/>
    <w:rsid w:val="00BE0031"/>
    <w:rsid w:val="00BE0247"/>
    <w:rsid w:val="00BE2638"/>
    <w:rsid w:val="00BE4512"/>
    <w:rsid w:val="00BE635B"/>
    <w:rsid w:val="00BF0168"/>
    <w:rsid w:val="00BF0EFD"/>
    <w:rsid w:val="00BF2049"/>
    <w:rsid w:val="00BF417D"/>
    <w:rsid w:val="00BF6369"/>
    <w:rsid w:val="00C008D6"/>
    <w:rsid w:val="00C00D80"/>
    <w:rsid w:val="00C01DDA"/>
    <w:rsid w:val="00C030E8"/>
    <w:rsid w:val="00C04609"/>
    <w:rsid w:val="00C04E44"/>
    <w:rsid w:val="00C0714B"/>
    <w:rsid w:val="00C07C2D"/>
    <w:rsid w:val="00C07EC4"/>
    <w:rsid w:val="00C11822"/>
    <w:rsid w:val="00C11FB5"/>
    <w:rsid w:val="00C12EDB"/>
    <w:rsid w:val="00C144AF"/>
    <w:rsid w:val="00C144CA"/>
    <w:rsid w:val="00C14A10"/>
    <w:rsid w:val="00C151B7"/>
    <w:rsid w:val="00C15361"/>
    <w:rsid w:val="00C1543B"/>
    <w:rsid w:val="00C176F6"/>
    <w:rsid w:val="00C200E9"/>
    <w:rsid w:val="00C20B2C"/>
    <w:rsid w:val="00C2327D"/>
    <w:rsid w:val="00C2538B"/>
    <w:rsid w:val="00C25413"/>
    <w:rsid w:val="00C278F0"/>
    <w:rsid w:val="00C30057"/>
    <w:rsid w:val="00C31E12"/>
    <w:rsid w:val="00C32155"/>
    <w:rsid w:val="00C33D6A"/>
    <w:rsid w:val="00C344BD"/>
    <w:rsid w:val="00C34FA3"/>
    <w:rsid w:val="00C37C43"/>
    <w:rsid w:val="00C40A1B"/>
    <w:rsid w:val="00C42E31"/>
    <w:rsid w:val="00C4333C"/>
    <w:rsid w:val="00C44CEA"/>
    <w:rsid w:val="00C45303"/>
    <w:rsid w:val="00C45327"/>
    <w:rsid w:val="00C469FA"/>
    <w:rsid w:val="00C4750F"/>
    <w:rsid w:val="00C47943"/>
    <w:rsid w:val="00C47C76"/>
    <w:rsid w:val="00C5198F"/>
    <w:rsid w:val="00C525B5"/>
    <w:rsid w:val="00C55500"/>
    <w:rsid w:val="00C55FDB"/>
    <w:rsid w:val="00C5672F"/>
    <w:rsid w:val="00C57241"/>
    <w:rsid w:val="00C57684"/>
    <w:rsid w:val="00C57D52"/>
    <w:rsid w:val="00C60584"/>
    <w:rsid w:val="00C61C48"/>
    <w:rsid w:val="00C62271"/>
    <w:rsid w:val="00C62A92"/>
    <w:rsid w:val="00C62CF4"/>
    <w:rsid w:val="00C638C0"/>
    <w:rsid w:val="00C63FEA"/>
    <w:rsid w:val="00C64F47"/>
    <w:rsid w:val="00C652E4"/>
    <w:rsid w:val="00C6614A"/>
    <w:rsid w:val="00C6720D"/>
    <w:rsid w:val="00C70EFA"/>
    <w:rsid w:val="00C7261C"/>
    <w:rsid w:val="00C73022"/>
    <w:rsid w:val="00C74909"/>
    <w:rsid w:val="00C74DB8"/>
    <w:rsid w:val="00C75133"/>
    <w:rsid w:val="00C75548"/>
    <w:rsid w:val="00C75A7B"/>
    <w:rsid w:val="00C7605A"/>
    <w:rsid w:val="00C76229"/>
    <w:rsid w:val="00C77BA6"/>
    <w:rsid w:val="00C8024B"/>
    <w:rsid w:val="00C839FC"/>
    <w:rsid w:val="00C844E2"/>
    <w:rsid w:val="00C84747"/>
    <w:rsid w:val="00C84BB6"/>
    <w:rsid w:val="00C8502A"/>
    <w:rsid w:val="00C86C29"/>
    <w:rsid w:val="00C87244"/>
    <w:rsid w:val="00C87E46"/>
    <w:rsid w:val="00C90F08"/>
    <w:rsid w:val="00C9111D"/>
    <w:rsid w:val="00C911BC"/>
    <w:rsid w:val="00C92289"/>
    <w:rsid w:val="00C93693"/>
    <w:rsid w:val="00C93710"/>
    <w:rsid w:val="00C9430F"/>
    <w:rsid w:val="00C95468"/>
    <w:rsid w:val="00C95775"/>
    <w:rsid w:val="00C96980"/>
    <w:rsid w:val="00CA07CE"/>
    <w:rsid w:val="00CA1495"/>
    <w:rsid w:val="00CA2865"/>
    <w:rsid w:val="00CA322B"/>
    <w:rsid w:val="00CA3D03"/>
    <w:rsid w:val="00CA4F80"/>
    <w:rsid w:val="00CA50E6"/>
    <w:rsid w:val="00CA6903"/>
    <w:rsid w:val="00CA6C53"/>
    <w:rsid w:val="00CA6ED1"/>
    <w:rsid w:val="00CB1F8C"/>
    <w:rsid w:val="00CB1FDF"/>
    <w:rsid w:val="00CB2297"/>
    <w:rsid w:val="00CB3542"/>
    <w:rsid w:val="00CB4299"/>
    <w:rsid w:val="00CB4B12"/>
    <w:rsid w:val="00CB5A35"/>
    <w:rsid w:val="00CB7BF8"/>
    <w:rsid w:val="00CC0942"/>
    <w:rsid w:val="00CC1508"/>
    <w:rsid w:val="00CC17BF"/>
    <w:rsid w:val="00CC25BA"/>
    <w:rsid w:val="00CC44B4"/>
    <w:rsid w:val="00CC46D7"/>
    <w:rsid w:val="00CC4BFE"/>
    <w:rsid w:val="00CC5C74"/>
    <w:rsid w:val="00CC646B"/>
    <w:rsid w:val="00CC64B3"/>
    <w:rsid w:val="00CD1418"/>
    <w:rsid w:val="00CD2C33"/>
    <w:rsid w:val="00CD454D"/>
    <w:rsid w:val="00CD63EB"/>
    <w:rsid w:val="00CD7295"/>
    <w:rsid w:val="00CE0CA8"/>
    <w:rsid w:val="00CE117B"/>
    <w:rsid w:val="00CE1A06"/>
    <w:rsid w:val="00CE2559"/>
    <w:rsid w:val="00CE45D4"/>
    <w:rsid w:val="00CE480E"/>
    <w:rsid w:val="00CE5944"/>
    <w:rsid w:val="00CE60D5"/>
    <w:rsid w:val="00CE6BC4"/>
    <w:rsid w:val="00CF1181"/>
    <w:rsid w:val="00CF30F6"/>
    <w:rsid w:val="00CF32C5"/>
    <w:rsid w:val="00CF3788"/>
    <w:rsid w:val="00CF4C57"/>
    <w:rsid w:val="00CF55AB"/>
    <w:rsid w:val="00CF5738"/>
    <w:rsid w:val="00CF5BEA"/>
    <w:rsid w:val="00D021E3"/>
    <w:rsid w:val="00D036A0"/>
    <w:rsid w:val="00D03B66"/>
    <w:rsid w:val="00D053AF"/>
    <w:rsid w:val="00D06167"/>
    <w:rsid w:val="00D1076F"/>
    <w:rsid w:val="00D113AE"/>
    <w:rsid w:val="00D11FCD"/>
    <w:rsid w:val="00D1323D"/>
    <w:rsid w:val="00D13507"/>
    <w:rsid w:val="00D1364E"/>
    <w:rsid w:val="00D153A5"/>
    <w:rsid w:val="00D17BE9"/>
    <w:rsid w:val="00D20D0E"/>
    <w:rsid w:val="00D21A47"/>
    <w:rsid w:val="00D21B53"/>
    <w:rsid w:val="00D21EB3"/>
    <w:rsid w:val="00D232E6"/>
    <w:rsid w:val="00D24569"/>
    <w:rsid w:val="00D24F9C"/>
    <w:rsid w:val="00D25A75"/>
    <w:rsid w:val="00D25F2A"/>
    <w:rsid w:val="00D26A24"/>
    <w:rsid w:val="00D26DD8"/>
    <w:rsid w:val="00D30525"/>
    <w:rsid w:val="00D30B3A"/>
    <w:rsid w:val="00D30C06"/>
    <w:rsid w:val="00D318F9"/>
    <w:rsid w:val="00D32CF5"/>
    <w:rsid w:val="00D337CC"/>
    <w:rsid w:val="00D33C7E"/>
    <w:rsid w:val="00D34672"/>
    <w:rsid w:val="00D350B3"/>
    <w:rsid w:val="00D3589F"/>
    <w:rsid w:val="00D359F7"/>
    <w:rsid w:val="00D35E2A"/>
    <w:rsid w:val="00D36D28"/>
    <w:rsid w:val="00D373C6"/>
    <w:rsid w:val="00D37932"/>
    <w:rsid w:val="00D3799E"/>
    <w:rsid w:val="00D37D20"/>
    <w:rsid w:val="00D40071"/>
    <w:rsid w:val="00D40206"/>
    <w:rsid w:val="00D405BB"/>
    <w:rsid w:val="00D40927"/>
    <w:rsid w:val="00D41012"/>
    <w:rsid w:val="00D42CB8"/>
    <w:rsid w:val="00D42F1C"/>
    <w:rsid w:val="00D43739"/>
    <w:rsid w:val="00D44B36"/>
    <w:rsid w:val="00D44F8D"/>
    <w:rsid w:val="00D45886"/>
    <w:rsid w:val="00D50763"/>
    <w:rsid w:val="00D509D7"/>
    <w:rsid w:val="00D527AB"/>
    <w:rsid w:val="00D5496B"/>
    <w:rsid w:val="00D54AF0"/>
    <w:rsid w:val="00D556D3"/>
    <w:rsid w:val="00D55916"/>
    <w:rsid w:val="00D569CA"/>
    <w:rsid w:val="00D5752E"/>
    <w:rsid w:val="00D57E00"/>
    <w:rsid w:val="00D60197"/>
    <w:rsid w:val="00D60763"/>
    <w:rsid w:val="00D60C3A"/>
    <w:rsid w:val="00D61CBF"/>
    <w:rsid w:val="00D6214A"/>
    <w:rsid w:val="00D625A2"/>
    <w:rsid w:val="00D62FBE"/>
    <w:rsid w:val="00D6331A"/>
    <w:rsid w:val="00D65596"/>
    <w:rsid w:val="00D674B9"/>
    <w:rsid w:val="00D67A81"/>
    <w:rsid w:val="00D710DA"/>
    <w:rsid w:val="00D72398"/>
    <w:rsid w:val="00D73D47"/>
    <w:rsid w:val="00D74915"/>
    <w:rsid w:val="00D76047"/>
    <w:rsid w:val="00D7659F"/>
    <w:rsid w:val="00D81B1A"/>
    <w:rsid w:val="00D81D21"/>
    <w:rsid w:val="00D82D37"/>
    <w:rsid w:val="00D851EC"/>
    <w:rsid w:val="00D85988"/>
    <w:rsid w:val="00D86273"/>
    <w:rsid w:val="00D86BAC"/>
    <w:rsid w:val="00D86C42"/>
    <w:rsid w:val="00D90BB8"/>
    <w:rsid w:val="00D912B9"/>
    <w:rsid w:val="00D91BD3"/>
    <w:rsid w:val="00D950B2"/>
    <w:rsid w:val="00DA0B02"/>
    <w:rsid w:val="00DA0E0D"/>
    <w:rsid w:val="00DA29ED"/>
    <w:rsid w:val="00DA3060"/>
    <w:rsid w:val="00DA31B5"/>
    <w:rsid w:val="00DA5EC6"/>
    <w:rsid w:val="00DA664C"/>
    <w:rsid w:val="00DB03BB"/>
    <w:rsid w:val="00DB0B2E"/>
    <w:rsid w:val="00DB0F1A"/>
    <w:rsid w:val="00DB1351"/>
    <w:rsid w:val="00DB2165"/>
    <w:rsid w:val="00DB2983"/>
    <w:rsid w:val="00DB485C"/>
    <w:rsid w:val="00DC2B78"/>
    <w:rsid w:val="00DC30EC"/>
    <w:rsid w:val="00DC444A"/>
    <w:rsid w:val="00DC4DAC"/>
    <w:rsid w:val="00DC6D14"/>
    <w:rsid w:val="00DC6DAB"/>
    <w:rsid w:val="00DC7A6B"/>
    <w:rsid w:val="00DD37AC"/>
    <w:rsid w:val="00DD440E"/>
    <w:rsid w:val="00DD5797"/>
    <w:rsid w:val="00DE042D"/>
    <w:rsid w:val="00DE3514"/>
    <w:rsid w:val="00DE3E67"/>
    <w:rsid w:val="00DE47BF"/>
    <w:rsid w:val="00DE6636"/>
    <w:rsid w:val="00DF0A7B"/>
    <w:rsid w:val="00DF2577"/>
    <w:rsid w:val="00DF2955"/>
    <w:rsid w:val="00DF5169"/>
    <w:rsid w:val="00E04D0C"/>
    <w:rsid w:val="00E0619A"/>
    <w:rsid w:val="00E10418"/>
    <w:rsid w:val="00E1152A"/>
    <w:rsid w:val="00E11AB5"/>
    <w:rsid w:val="00E12176"/>
    <w:rsid w:val="00E12957"/>
    <w:rsid w:val="00E12AA2"/>
    <w:rsid w:val="00E13385"/>
    <w:rsid w:val="00E143F7"/>
    <w:rsid w:val="00E1501D"/>
    <w:rsid w:val="00E166EA"/>
    <w:rsid w:val="00E16778"/>
    <w:rsid w:val="00E17E19"/>
    <w:rsid w:val="00E203E2"/>
    <w:rsid w:val="00E22FC3"/>
    <w:rsid w:val="00E2373C"/>
    <w:rsid w:val="00E24D79"/>
    <w:rsid w:val="00E24EAE"/>
    <w:rsid w:val="00E24F4B"/>
    <w:rsid w:val="00E252AC"/>
    <w:rsid w:val="00E26616"/>
    <w:rsid w:val="00E27A05"/>
    <w:rsid w:val="00E27A94"/>
    <w:rsid w:val="00E27EA5"/>
    <w:rsid w:val="00E319D9"/>
    <w:rsid w:val="00E32598"/>
    <w:rsid w:val="00E337C6"/>
    <w:rsid w:val="00E33802"/>
    <w:rsid w:val="00E33AFB"/>
    <w:rsid w:val="00E33EFD"/>
    <w:rsid w:val="00E34AAD"/>
    <w:rsid w:val="00E3733A"/>
    <w:rsid w:val="00E37AAF"/>
    <w:rsid w:val="00E37E99"/>
    <w:rsid w:val="00E41033"/>
    <w:rsid w:val="00E451A9"/>
    <w:rsid w:val="00E4526B"/>
    <w:rsid w:val="00E4601F"/>
    <w:rsid w:val="00E469BE"/>
    <w:rsid w:val="00E472ED"/>
    <w:rsid w:val="00E47B94"/>
    <w:rsid w:val="00E51055"/>
    <w:rsid w:val="00E5218B"/>
    <w:rsid w:val="00E531D7"/>
    <w:rsid w:val="00E534EB"/>
    <w:rsid w:val="00E56152"/>
    <w:rsid w:val="00E56C9C"/>
    <w:rsid w:val="00E600B2"/>
    <w:rsid w:val="00E60AC0"/>
    <w:rsid w:val="00E60EEF"/>
    <w:rsid w:val="00E60FFD"/>
    <w:rsid w:val="00E63050"/>
    <w:rsid w:val="00E630D9"/>
    <w:rsid w:val="00E632CE"/>
    <w:rsid w:val="00E644E3"/>
    <w:rsid w:val="00E64831"/>
    <w:rsid w:val="00E674ED"/>
    <w:rsid w:val="00E70A8E"/>
    <w:rsid w:val="00E70D72"/>
    <w:rsid w:val="00E73B48"/>
    <w:rsid w:val="00E756B7"/>
    <w:rsid w:val="00E76214"/>
    <w:rsid w:val="00E77570"/>
    <w:rsid w:val="00E77C05"/>
    <w:rsid w:val="00E80E7A"/>
    <w:rsid w:val="00E8126E"/>
    <w:rsid w:val="00E81D25"/>
    <w:rsid w:val="00E820EF"/>
    <w:rsid w:val="00E85013"/>
    <w:rsid w:val="00E85911"/>
    <w:rsid w:val="00E86162"/>
    <w:rsid w:val="00E87882"/>
    <w:rsid w:val="00E8796C"/>
    <w:rsid w:val="00E87B87"/>
    <w:rsid w:val="00E90D7E"/>
    <w:rsid w:val="00E9417E"/>
    <w:rsid w:val="00E94229"/>
    <w:rsid w:val="00E949BF"/>
    <w:rsid w:val="00E94F1D"/>
    <w:rsid w:val="00E96769"/>
    <w:rsid w:val="00E9743A"/>
    <w:rsid w:val="00E97922"/>
    <w:rsid w:val="00EA0A2E"/>
    <w:rsid w:val="00EA13FF"/>
    <w:rsid w:val="00EA22CC"/>
    <w:rsid w:val="00EA3285"/>
    <w:rsid w:val="00EA3A81"/>
    <w:rsid w:val="00EA5FAA"/>
    <w:rsid w:val="00EA62D1"/>
    <w:rsid w:val="00EA660C"/>
    <w:rsid w:val="00EA75C7"/>
    <w:rsid w:val="00EA75E8"/>
    <w:rsid w:val="00EB21E8"/>
    <w:rsid w:val="00EB5F51"/>
    <w:rsid w:val="00EB5FFD"/>
    <w:rsid w:val="00EB62FE"/>
    <w:rsid w:val="00EB79C6"/>
    <w:rsid w:val="00EC0162"/>
    <w:rsid w:val="00EC0FA8"/>
    <w:rsid w:val="00EC18D3"/>
    <w:rsid w:val="00EC2F86"/>
    <w:rsid w:val="00EC5B7C"/>
    <w:rsid w:val="00EC5F40"/>
    <w:rsid w:val="00EC66CD"/>
    <w:rsid w:val="00EC6BF1"/>
    <w:rsid w:val="00EC796B"/>
    <w:rsid w:val="00ED0D97"/>
    <w:rsid w:val="00ED230B"/>
    <w:rsid w:val="00ED312A"/>
    <w:rsid w:val="00ED3B8D"/>
    <w:rsid w:val="00ED3F8F"/>
    <w:rsid w:val="00ED4333"/>
    <w:rsid w:val="00ED4801"/>
    <w:rsid w:val="00ED4A60"/>
    <w:rsid w:val="00ED5185"/>
    <w:rsid w:val="00ED56AD"/>
    <w:rsid w:val="00ED5888"/>
    <w:rsid w:val="00ED74E7"/>
    <w:rsid w:val="00ED7A93"/>
    <w:rsid w:val="00EE0BE6"/>
    <w:rsid w:val="00EE19FD"/>
    <w:rsid w:val="00EE27A2"/>
    <w:rsid w:val="00EE34B6"/>
    <w:rsid w:val="00EE3AF2"/>
    <w:rsid w:val="00EE4F85"/>
    <w:rsid w:val="00EE5A02"/>
    <w:rsid w:val="00EE5D61"/>
    <w:rsid w:val="00EE7AAC"/>
    <w:rsid w:val="00EE7AE3"/>
    <w:rsid w:val="00EF1875"/>
    <w:rsid w:val="00EF3597"/>
    <w:rsid w:val="00EF3E14"/>
    <w:rsid w:val="00EF4677"/>
    <w:rsid w:val="00EF774B"/>
    <w:rsid w:val="00F005F9"/>
    <w:rsid w:val="00F01466"/>
    <w:rsid w:val="00F01778"/>
    <w:rsid w:val="00F02C2D"/>
    <w:rsid w:val="00F02CA0"/>
    <w:rsid w:val="00F04279"/>
    <w:rsid w:val="00F0444A"/>
    <w:rsid w:val="00F04491"/>
    <w:rsid w:val="00F05C8E"/>
    <w:rsid w:val="00F06015"/>
    <w:rsid w:val="00F06A4E"/>
    <w:rsid w:val="00F0703F"/>
    <w:rsid w:val="00F07D88"/>
    <w:rsid w:val="00F12179"/>
    <w:rsid w:val="00F1257D"/>
    <w:rsid w:val="00F127C9"/>
    <w:rsid w:val="00F14D23"/>
    <w:rsid w:val="00F2014F"/>
    <w:rsid w:val="00F209E3"/>
    <w:rsid w:val="00F20D9D"/>
    <w:rsid w:val="00F211EA"/>
    <w:rsid w:val="00F249C5"/>
    <w:rsid w:val="00F25BFA"/>
    <w:rsid w:val="00F272AA"/>
    <w:rsid w:val="00F27460"/>
    <w:rsid w:val="00F2762E"/>
    <w:rsid w:val="00F27A07"/>
    <w:rsid w:val="00F30989"/>
    <w:rsid w:val="00F33988"/>
    <w:rsid w:val="00F34D78"/>
    <w:rsid w:val="00F361BB"/>
    <w:rsid w:val="00F36220"/>
    <w:rsid w:val="00F36FD8"/>
    <w:rsid w:val="00F40D05"/>
    <w:rsid w:val="00F45129"/>
    <w:rsid w:val="00F45CE4"/>
    <w:rsid w:val="00F47E0D"/>
    <w:rsid w:val="00F5233B"/>
    <w:rsid w:val="00F52DD0"/>
    <w:rsid w:val="00F52E12"/>
    <w:rsid w:val="00F53749"/>
    <w:rsid w:val="00F53F8F"/>
    <w:rsid w:val="00F542EC"/>
    <w:rsid w:val="00F574B5"/>
    <w:rsid w:val="00F57DE0"/>
    <w:rsid w:val="00F60E2C"/>
    <w:rsid w:val="00F63077"/>
    <w:rsid w:val="00F6507E"/>
    <w:rsid w:val="00F65E7D"/>
    <w:rsid w:val="00F67EC4"/>
    <w:rsid w:val="00F703E8"/>
    <w:rsid w:val="00F71A43"/>
    <w:rsid w:val="00F71C37"/>
    <w:rsid w:val="00F71EE3"/>
    <w:rsid w:val="00F73312"/>
    <w:rsid w:val="00F73673"/>
    <w:rsid w:val="00F74E7F"/>
    <w:rsid w:val="00F75ACE"/>
    <w:rsid w:val="00F763C2"/>
    <w:rsid w:val="00F764B2"/>
    <w:rsid w:val="00F76856"/>
    <w:rsid w:val="00F77127"/>
    <w:rsid w:val="00F80069"/>
    <w:rsid w:val="00F8052F"/>
    <w:rsid w:val="00F80B5C"/>
    <w:rsid w:val="00F812AE"/>
    <w:rsid w:val="00F82176"/>
    <w:rsid w:val="00F827E4"/>
    <w:rsid w:val="00F82AEF"/>
    <w:rsid w:val="00F8382D"/>
    <w:rsid w:val="00F87AC7"/>
    <w:rsid w:val="00F90A7F"/>
    <w:rsid w:val="00F912D5"/>
    <w:rsid w:val="00F94FC3"/>
    <w:rsid w:val="00F9559D"/>
    <w:rsid w:val="00F958B6"/>
    <w:rsid w:val="00F96219"/>
    <w:rsid w:val="00FA0605"/>
    <w:rsid w:val="00FA0F80"/>
    <w:rsid w:val="00FA2560"/>
    <w:rsid w:val="00FA71C9"/>
    <w:rsid w:val="00FA723D"/>
    <w:rsid w:val="00FA79E5"/>
    <w:rsid w:val="00FB033E"/>
    <w:rsid w:val="00FB0B70"/>
    <w:rsid w:val="00FB1786"/>
    <w:rsid w:val="00FB3397"/>
    <w:rsid w:val="00FB5DA2"/>
    <w:rsid w:val="00FB6E91"/>
    <w:rsid w:val="00FC1B2B"/>
    <w:rsid w:val="00FC1BED"/>
    <w:rsid w:val="00FC250F"/>
    <w:rsid w:val="00FC2CD0"/>
    <w:rsid w:val="00FC41DF"/>
    <w:rsid w:val="00FC5BA5"/>
    <w:rsid w:val="00FC7D8A"/>
    <w:rsid w:val="00FD19CF"/>
    <w:rsid w:val="00FD2010"/>
    <w:rsid w:val="00FD2224"/>
    <w:rsid w:val="00FD3541"/>
    <w:rsid w:val="00FD4F0C"/>
    <w:rsid w:val="00FD602F"/>
    <w:rsid w:val="00FD63CC"/>
    <w:rsid w:val="00FD652F"/>
    <w:rsid w:val="00FE1117"/>
    <w:rsid w:val="00FE16DD"/>
    <w:rsid w:val="00FE1A47"/>
    <w:rsid w:val="00FE2321"/>
    <w:rsid w:val="00FE24EA"/>
    <w:rsid w:val="00FE2CE3"/>
    <w:rsid w:val="00FE3D17"/>
    <w:rsid w:val="00FE45C8"/>
    <w:rsid w:val="00FE4B69"/>
    <w:rsid w:val="00FE5333"/>
    <w:rsid w:val="00FE78AB"/>
    <w:rsid w:val="00FE791B"/>
    <w:rsid w:val="00FE7C32"/>
    <w:rsid w:val="00FF0932"/>
    <w:rsid w:val="00FF1325"/>
    <w:rsid w:val="00FF2292"/>
    <w:rsid w:val="00FF31D6"/>
    <w:rsid w:val="00FF400B"/>
    <w:rsid w:val="00FF4334"/>
    <w:rsid w:val="00FF6BA1"/>
    <w:rsid w:val="00FF7770"/>
    <w:rsid w:val="00FF7B9A"/>
    <w:rsid w:val="14857E01"/>
    <w:rsid w:val="1D870B68"/>
    <w:rsid w:val="6BCC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B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C64B3"/>
    <w:pPr>
      <w:spacing w:line="360" w:lineRule="auto"/>
      <w:ind w:firstLine="629"/>
    </w:pPr>
    <w:rPr>
      <w:rFonts w:ascii="仿宋_GB2312" w:eastAsia="仿宋_GB2312" w:hAnsi="Times New Roman" w:cs="Times New Roman"/>
      <w:sz w:val="32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rsid w:val="00CC64B3"/>
    <w:pPr>
      <w:ind w:leftChars="2500" w:left="100"/>
    </w:pPr>
  </w:style>
  <w:style w:type="paragraph" w:styleId="a5">
    <w:name w:val="footer"/>
    <w:basedOn w:val="a"/>
    <w:link w:val="Char1"/>
    <w:uiPriority w:val="99"/>
    <w:unhideWhenUsed/>
    <w:rsid w:val="00CC6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CC6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rsid w:val="00CC64B3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页眉 Char"/>
    <w:basedOn w:val="a0"/>
    <w:link w:val="a6"/>
    <w:uiPriority w:val="99"/>
    <w:rsid w:val="00CC64B3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C64B3"/>
    <w:rPr>
      <w:sz w:val="18"/>
      <w:szCs w:val="18"/>
    </w:rPr>
  </w:style>
  <w:style w:type="paragraph" w:styleId="a8">
    <w:name w:val="List Paragraph"/>
    <w:basedOn w:val="a"/>
    <w:uiPriority w:val="34"/>
    <w:qFormat/>
    <w:rsid w:val="00CC64B3"/>
    <w:pPr>
      <w:ind w:firstLineChars="200" w:firstLine="420"/>
    </w:pPr>
  </w:style>
  <w:style w:type="character" w:customStyle="1" w:styleId="Char">
    <w:name w:val="正文文本缩进 Char"/>
    <w:basedOn w:val="a0"/>
    <w:link w:val="a3"/>
    <w:rsid w:val="00CC64B3"/>
    <w:rPr>
      <w:rFonts w:ascii="仿宋_GB2312" w:eastAsia="仿宋_GB2312" w:hAnsi="Times New Roman" w:cs="Times New Roman"/>
      <w:sz w:val="32"/>
      <w:szCs w:val="24"/>
    </w:rPr>
  </w:style>
  <w:style w:type="character" w:customStyle="1" w:styleId="Bodytext1">
    <w:name w:val="Body text|1_"/>
    <w:basedOn w:val="a0"/>
    <w:link w:val="Bodytext10"/>
    <w:qFormat/>
    <w:rsid w:val="00CC64B3"/>
    <w:rPr>
      <w:rFonts w:ascii="宋体" w:eastAsia="宋体" w:hAnsi="宋体" w:cs="宋体"/>
      <w:sz w:val="28"/>
      <w:szCs w:val="28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CC64B3"/>
    <w:pPr>
      <w:spacing w:line="470" w:lineRule="auto"/>
      <w:ind w:firstLine="400"/>
      <w:jc w:val="left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Char0">
    <w:name w:val="日期 Char"/>
    <w:basedOn w:val="a0"/>
    <w:link w:val="a4"/>
    <w:uiPriority w:val="99"/>
    <w:semiHidden/>
    <w:rsid w:val="00CC64B3"/>
    <w:rPr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C60584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C605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39AC95-ACDA-4301-A79D-B83CB84C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991</Words>
  <Characters>5653</Characters>
  <Application>Microsoft Office Word</Application>
  <DocSecurity>0</DocSecurity>
  <Lines>47</Lines>
  <Paragraphs>13</Paragraphs>
  <ScaleCrop>false</ScaleCrop>
  <Company>China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381</cp:revision>
  <dcterms:created xsi:type="dcterms:W3CDTF">2019-09-03T02:20:00Z</dcterms:created>
  <dcterms:modified xsi:type="dcterms:W3CDTF">2024-08-26T03:28:00Z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