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068"/>
        <w:tblOverlap w:val="never"/>
        <w:tblW w:w="8715" w:type="dxa"/>
        <w:tblInd w:w="0" w:type="dxa"/>
        <w:tblLayout w:type="fixed"/>
        <w:tblCellMar>
          <w:top w:w="0" w:type="dxa"/>
          <w:left w:w="108" w:type="dxa"/>
          <w:bottom w:w="0" w:type="dxa"/>
          <w:right w:w="108" w:type="dxa"/>
        </w:tblCellMar>
      </w:tblPr>
      <w:tblGrid>
        <w:gridCol w:w="7271"/>
        <w:gridCol w:w="1444"/>
      </w:tblGrid>
      <w:tr w14:paraId="428C1164">
        <w:tblPrEx>
          <w:tblCellMar>
            <w:top w:w="0" w:type="dxa"/>
            <w:left w:w="108" w:type="dxa"/>
            <w:bottom w:w="0" w:type="dxa"/>
            <w:right w:w="108" w:type="dxa"/>
          </w:tblCellMar>
        </w:tblPrEx>
        <w:trPr>
          <w:trHeight w:val="100" w:hRule="atLeast"/>
        </w:trPr>
        <w:tc>
          <w:tcPr>
            <w:tcW w:w="7271" w:type="dxa"/>
            <w:tcMar>
              <w:top w:w="0" w:type="dxa"/>
              <w:left w:w="0" w:type="dxa"/>
              <w:bottom w:w="0" w:type="dxa"/>
              <w:right w:w="0" w:type="dxa"/>
            </w:tcMar>
            <w:vAlign w:val="bottom"/>
          </w:tcPr>
          <w:p w14:paraId="7964C023">
            <w:pPr>
              <w:keepNext w:val="0"/>
              <w:keepLines w:val="0"/>
              <w:suppressLineNumbers w:val="0"/>
              <w:spacing w:before="0" w:beforeAutospacing="0" w:after="0" w:afterAutospacing="0"/>
              <w:ind w:left="0" w:right="0"/>
              <w:jc w:val="center"/>
              <w:rPr>
                <w:rFonts w:hint="default" w:ascii="华文中宋" w:hAnsi="华文中宋" w:eastAsia="华文中宋" w:cs="华文中宋"/>
                <w:color w:val="FF0000"/>
                <w:sz w:val="32"/>
                <w:szCs w:val="32"/>
              </w:rPr>
            </w:pPr>
          </w:p>
          <w:p w14:paraId="75F272B0">
            <w:pPr>
              <w:keepNext w:val="0"/>
              <w:keepLines w:val="0"/>
              <w:suppressLineNumbers w:val="0"/>
              <w:spacing w:before="0" w:beforeAutospacing="0" w:after="0" w:afterAutospacing="0"/>
              <w:ind w:left="0" w:right="0"/>
              <w:jc w:val="center"/>
              <w:rPr>
                <w:rFonts w:hint="default" w:ascii="华文中宋" w:hAnsi="华文中宋" w:eastAsia="华文中宋" w:cs="华文中宋"/>
                <w:color w:val="FF0000"/>
                <w:sz w:val="32"/>
                <w:szCs w:val="32"/>
              </w:rPr>
            </w:pPr>
          </w:p>
          <w:p w14:paraId="01A4EB8D">
            <w:pPr>
              <w:keepNext w:val="0"/>
              <w:keepLines w:val="0"/>
              <w:suppressLineNumbers w:val="0"/>
              <w:spacing w:before="0" w:beforeAutospacing="0" w:after="0" w:afterAutospacing="0"/>
              <w:ind w:left="0" w:right="0"/>
              <w:jc w:val="center"/>
              <w:rPr>
                <w:rFonts w:hint="default" w:ascii="华文中宋" w:hAnsi="华文中宋" w:eastAsia="华文中宋" w:cs="华文中宋"/>
                <w:color w:val="FF0000"/>
                <w:sz w:val="32"/>
                <w:szCs w:val="32"/>
              </w:rPr>
            </w:pPr>
          </w:p>
          <w:p w14:paraId="732302CD">
            <w:pPr>
              <w:keepNext w:val="0"/>
              <w:keepLines w:val="0"/>
              <w:suppressLineNumbers w:val="0"/>
              <w:spacing w:before="0" w:beforeAutospacing="0" w:after="0" w:afterAutospacing="0"/>
              <w:ind w:left="0" w:right="0"/>
              <w:jc w:val="center"/>
              <w:rPr>
                <w:rFonts w:hint="default" w:ascii="华文中宋" w:hAnsi="华文中宋" w:eastAsia="华文中宋" w:cs="华文中宋"/>
                <w:color w:val="FF0000"/>
                <w:sz w:val="32"/>
                <w:szCs w:val="32"/>
              </w:rPr>
            </w:pPr>
          </w:p>
        </w:tc>
        <w:tc>
          <w:tcPr>
            <w:tcW w:w="1444" w:type="dxa"/>
            <w:vMerge w:val="restart"/>
            <w:tcMar>
              <w:top w:w="0" w:type="dxa"/>
              <w:left w:w="0" w:type="dxa"/>
              <w:bottom w:w="0" w:type="dxa"/>
              <w:right w:w="0" w:type="dxa"/>
            </w:tcMar>
            <w:vAlign w:val="bottom"/>
          </w:tcPr>
          <w:p w14:paraId="6FD02F97">
            <w:pPr>
              <w:keepNext w:val="0"/>
              <w:keepLines w:val="0"/>
              <w:suppressLineNumbers w:val="0"/>
              <w:spacing w:before="0" w:beforeAutospacing="0" w:after="0" w:afterAutospacing="0"/>
              <w:ind w:left="0" w:right="0"/>
              <w:jc w:val="center"/>
              <w:rPr>
                <w:rFonts w:hint="default" w:ascii="华文中宋" w:hAnsi="华文中宋" w:eastAsia="华文中宋" w:cs="华文中宋"/>
                <w:color w:val="FF0000"/>
                <w:w w:val="50"/>
                <w:sz w:val="160"/>
                <w:szCs w:val="160"/>
              </w:rPr>
            </w:pPr>
            <w:r>
              <w:rPr>
                <w:rFonts w:hint="eastAsia" w:ascii="华文中宋" w:hAnsi="华文中宋" w:eastAsia="华文中宋" w:cs="华文中宋"/>
                <w:color w:val="FF0000"/>
                <w:w w:val="50"/>
                <w:sz w:val="144"/>
                <w:szCs w:val="144"/>
              </w:rPr>
              <w:t>文件</w:t>
            </w:r>
          </w:p>
        </w:tc>
      </w:tr>
      <w:tr w14:paraId="26E65752">
        <w:tblPrEx>
          <w:tblCellMar>
            <w:top w:w="0" w:type="dxa"/>
            <w:left w:w="108" w:type="dxa"/>
            <w:bottom w:w="0" w:type="dxa"/>
            <w:right w:w="108" w:type="dxa"/>
          </w:tblCellMar>
        </w:tblPrEx>
        <w:trPr>
          <w:trHeight w:val="19" w:hRule="atLeast"/>
        </w:trPr>
        <w:tc>
          <w:tcPr>
            <w:tcW w:w="7271" w:type="dxa"/>
            <w:tcMar>
              <w:top w:w="0" w:type="dxa"/>
              <w:left w:w="0" w:type="dxa"/>
              <w:bottom w:w="0" w:type="dxa"/>
              <w:right w:w="0" w:type="dxa"/>
            </w:tcMar>
            <w:vAlign w:val="center"/>
          </w:tcPr>
          <w:p w14:paraId="1BC13AEC">
            <w:pPr>
              <w:keepNext w:val="0"/>
              <w:keepLines w:val="0"/>
              <w:suppressLineNumbers w:val="0"/>
              <w:spacing w:before="0" w:beforeAutospacing="0" w:after="0" w:afterAutospacing="0"/>
              <w:ind w:left="0" w:right="0"/>
              <w:jc w:val="distribute"/>
              <w:rPr>
                <w:rFonts w:hint="default" w:ascii="华文中宋" w:hAnsi="华文中宋" w:eastAsia="华文中宋" w:cs="华文中宋"/>
                <w:b/>
                <w:bCs/>
                <w:color w:val="FF0000"/>
                <w:sz w:val="56"/>
                <w:szCs w:val="56"/>
              </w:rPr>
            </w:pPr>
            <w:r>
              <w:rPr>
                <w:rFonts w:hint="eastAsia" w:ascii="方正小标宋简体" w:hAnsi="华文中宋" w:eastAsia="方正小标宋简体" w:cs="华文中宋"/>
                <w:b/>
                <w:bCs/>
                <w:color w:val="FF0000"/>
                <w:spacing w:val="1"/>
                <w:w w:val="47"/>
                <w:kern w:val="0"/>
                <w:sz w:val="72"/>
                <w:szCs w:val="72"/>
                <w:fitText w:val="7203" w:id="1838575301"/>
              </w:rPr>
              <w:t>中共济南市历城区委全面依法治区委员会办公</w:t>
            </w:r>
            <w:r>
              <w:rPr>
                <w:rFonts w:hint="eastAsia" w:ascii="方正小标宋简体" w:hAnsi="华文中宋" w:eastAsia="方正小标宋简体" w:cs="华文中宋"/>
                <w:b/>
                <w:bCs/>
                <w:color w:val="FF0000"/>
                <w:spacing w:val="0"/>
                <w:w w:val="47"/>
                <w:kern w:val="0"/>
                <w:sz w:val="72"/>
                <w:szCs w:val="72"/>
                <w:fitText w:val="7203" w:id="1838575301"/>
              </w:rPr>
              <w:t>室</w:t>
            </w:r>
            <w:r>
              <w:rPr>
                <w:rFonts w:hint="eastAsia" w:ascii="华文中宋" w:hAnsi="华文中宋" w:eastAsia="华文中宋" w:cs="华文中宋"/>
                <w:b/>
                <w:bCs/>
                <w:color w:val="FF0000"/>
                <w:sz w:val="56"/>
                <w:szCs w:val="56"/>
              </w:rPr>
              <w:t xml:space="preserve">     </w:t>
            </w:r>
            <w:r>
              <w:rPr>
                <w:rFonts w:hint="eastAsia" w:ascii="方正小标宋简体" w:hAnsi="华文中宋" w:eastAsia="方正小标宋简体" w:cs="华文中宋"/>
                <w:b/>
                <w:bCs/>
                <w:color w:val="FF0000"/>
                <w:sz w:val="60"/>
                <w:szCs w:val="60"/>
              </w:rPr>
              <w:t>济南市历城区司法局</w:t>
            </w:r>
          </w:p>
        </w:tc>
        <w:tc>
          <w:tcPr>
            <w:tcW w:w="1444" w:type="dxa"/>
            <w:vMerge w:val="continue"/>
            <w:vAlign w:val="bottom"/>
          </w:tcPr>
          <w:p w14:paraId="79684C30">
            <w:pPr>
              <w:keepNext w:val="0"/>
              <w:keepLines w:val="0"/>
              <w:widowControl/>
              <w:suppressLineNumbers w:val="0"/>
              <w:spacing w:before="0" w:beforeAutospacing="0" w:after="0" w:afterAutospacing="0"/>
              <w:ind w:left="0" w:right="0"/>
              <w:jc w:val="center"/>
              <w:rPr>
                <w:rFonts w:hint="default" w:ascii="华文中宋" w:hAnsi="华文中宋" w:eastAsia="华文中宋" w:cs="华文中宋"/>
                <w:color w:val="FF0000"/>
                <w:w w:val="50"/>
                <w:sz w:val="160"/>
                <w:szCs w:val="160"/>
              </w:rPr>
            </w:pPr>
          </w:p>
        </w:tc>
      </w:tr>
    </w:tbl>
    <w:p w14:paraId="67175E80">
      <w:pPr>
        <w:spacing w:line="592" w:lineRule="exact"/>
        <w:jc w:val="center"/>
        <w:rPr>
          <w:rFonts w:ascii="仿宋" w:hAnsi="仿宋" w:eastAsia="仿宋"/>
          <w:color w:val="000000"/>
          <w:sz w:val="32"/>
          <w:szCs w:val="32"/>
        </w:rPr>
      </w:pPr>
    </w:p>
    <w:p w14:paraId="0C44B9CC">
      <w:pPr>
        <w:spacing w:line="592" w:lineRule="exact"/>
        <w:jc w:val="center"/>
        <w:rPr>
          <w:rFonts w:ascii="仿宋" w:hAnsi="仿宋" w:eastAsia="仿宋"/>
          <w:color w:val="000000"/>
          <w:sz w:val="32"/>
          <w:szCs w:val="32"/>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margin">
                  <wp:posOffset>80010</wp:posOffset>
                </wp:positionH>
                <wp:positionV relativeFrom="paragraph">
                  <wp:posOffset>373380</wp:posOffset>
                </wp:positionV>
                <wp:extent cx="5524500" cy="22860"/>
                <wp:effectExtent l="0" t="7620" r="7620"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24500" cy="22860"/>
                        </a:xfrm>
                        <a:prstGeom prst="line">
                          <a:avLst/>
                        </a:prstGeom>
                        <a:noFill/>
                        <a:ln w="15875" cmpd="sng">
                          <a:solidFill>
                            <a:srgbClr val="FF0000"/>
                          </a:solidFill>
                          <a:round/>
                        </a:ln>
                      </wps:spPr>
                      <wps:bodyPr/>
                    </wps:wsp>
                  </a:graphicData>
                </a:graphic>
              </wp:anchor>
            </w:drawing>
          </mc:Choice>
          <mc:Fallback>
            <w:pict>
              <v:line id="_x0000_s1026" o:spid="_x0000_s1026" o:spt="20" style="position:absolute;left:0pt;flip:y;margin-left:6.3pt;margin-top:29.4pt;height:1.8pt;width:435pt;mso-position-horizontal-relative:margin;z-index:251662336;mso-width-relative:page;mso-height-relative:page;" filled="f" stroked="t" coordsize="21600,21600" o:gfxdata="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rDYA9UAAAAIAQAADwAAAAAAAAABACAAAAAiAAAAZHJzL2Rvd25yZXYueG1sUEsB&#10;AhQAFAAAAAgAh07iQPLemfT4AQAAxAMAAA4AAAAAAAAAAQAgAAAAJAEAAGRycy9lMm9Eb2MueG1s&#10;UEsFBgAAAAAGAAYAWQEAAI4FAAAAAA==&#10;">
                <v:fill on="f" focussize="0,0"/>
                <v:stroke weight="1.25pt" color="#FF0000" joinstyle="round"/>
                <v:imagedata o:title=""/>
                <o:lock v:ext="edit" aspectratio="f"/>
              </v:line>
            </w:pict>
          </mc:Fallback>
        </mc:AlternateContent>
      </w:r>
      <w:r>
        <w:rPr>
          <w:rFonts w:hint="eastAsia" w:ascii="仿宋" w:hAnsi="仿宋" w:eastAsia="仿宋"/>
          <w:sz w:val="32"/>
          <w:szCs w:val="32"/>
        </w:rPr>
        <w:t>济历城司发</w:t>
      </w:r>
      <w:r>
        <w:rPr>
          <w:rFonts w:hint="eastAsia" w:ascii="仿宋" w:hAnsi="仿宋" w:eastAsia="仿宋"/>
          <w:color w:val="000000"/>
          <w:sz w:val="32"/>
          <w:szCs w:val="32"/>
        </w:rPr>
        <w:t>〔2</w:t>
      </w:r>
      <w:r>
        <w:rPr>
          <w:rFonts w:ascii="仿宋" w:hAnsi="仿宋" w:eastAsia="仿宋"/>
          <w:color w:val="000000"/>
          <w:sz w:val="32"/>
          <w:szCs w:val="32"/>
        </w:rPr>
        <w:t>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号</w:t>
      </w:r>
    </w:p>
    <w:p w14:paraId="2E1EB739">
      <w:pPr>
        <w:jc w:val="center"/>
        <w:rPr>
          <w:rFonts w:hint="eastAsia" w:ascii="方正小标宋简体" w:hAnsi="方正小标宋简体" w:eastAsia="方正小标宋简体" w:cs="方正小标宋简体"/>
          <w:sz w:val="44"/>
          <w:szCs w:val="44"/>
        </w:rPr>
      </w:pPr>
    </w:p>
    <w:p w14:paraId="0F71106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napToGrid w:val="0"/>
          <w:color w:val="auto"/>
          <w:kern w:val="0"/>
          <w:sz w:val="44"/>
          <w:szCs w:val="44"/>
        </w:rPr>
      </w:pPr>
      <w:r>
        <w:rPr>
          <w:rFonts w:hint="eastAsia" w:ascii="方正小标宋简体" w:hAnsi="方正小标宋简体" w:eastAsia="方正小标宋简体" w:cs="方正小标宋简体"/>
          <w:b w:val="0"/>
          <w:bCs/>
          <w:snapToGrid w:val="0"/>
          <w:color w:val="auto"/>
          <w:spacing w:val="-6"/>
          <w:kern w:val="0"/>
          <w:sz w:val="44"/>
          <w:szCs w:val="44"/>
          <w:lang w:val="en-US" w:eastAsia="zh-CN"/>
        </w:rPr>
        <w:t>中共济南市历城区委全面依法治区委员会办公室</w:t>
      </w:r>
      <w:r>
        <w:rPr>
          <w:rFonts w:hint="eastAsia" w:ascii="方正小标宋简体" w:hAnsi="方正小标宋简体" w:eastAsia="方正小标宋简体" w:cs="方正小标宋简体"/>
          <w:b w:val="0"/>
          <w:bCs/>
          <w:snapToGrid w:val="0"/>
          <w:color w:val="auto"/>
          <w:kern w:val="0"/>
          <w:sz w:val="44"/>
          <w:szCs w:val="44"/>
          <w:lang w:val="en-US" w:eastAsia="zh-CN"/>
        </w:rPr>
        <w:t>济南市历城区司法局</w:t>
      </w:r>
      <w:r>
        <w:rPr>
          <w:rFonts w:hint="eastAsia" w:ascii="方正小标宋简体" w:hAnsi="方正小标宋简体" w:eastAsia="方正小标宋简体" w:cs="方正小标宋简体"/>
          <w:b w:val="0"/>
          <w:bCs/>
          <w:snapToGrid w:val="0"/>
          <w:color w:val="auto"/>
          <w:kern w:val="0"/>
          <w:sz w:val="44"/>
          <w:szCs w:val="44"/>
        </w:rPr>
        <w:t>关于印发《</w:t>
      </w:r>
      <w:r>
        <w:rPr>
          <w:rFonts w:hint="eastAsia" w:ascii="方正小标宋简体" w:hAnsi="方正小标宋简体" w:eastAsia="方正小标宋简体" w:cs="方正小标宋简体"/>
          <w:b w:val="0"/>
          <w:bCs/>
          <w:snapToGrid w:val="0"/>
          <w:color w:val="auto"/>
          <w:kern w:val="0"/>
          <w:sz w:val="44"/>
          <w:szCs w:val="44"/>
          <w:lang w:eastAsia="zh-CN"/>
        </w:rPr>
        <w:t>202</w:t>
      </w:r>
      <w:r>
        <w:rPr>
          <w:rFonts w:hint="eastAsia" w:ascii="方正小标宋简体" w:hAnsi="方正小标宋简体" w:eastAsia="方正小标宋简体" w:cs="方正小标宋简体"/>
          <w:b w:val="0"/>
          <w:bCs/>
          <w:snapToGrid w:val="0"/>
          <w:color w:val="auto"/>
          <w:kern w:val="0"/>
          <w:sz w:val="44"/>
          <w:szCs w:val="44"/>
          <w:lang w:val="en-US" w:eastAsia="zh-CN"/>
        </w:rPr>
        <w:t>5</w:t>
      </w:r>
      <w:r>
        <w:rPr>
          <w:rFonts w:hint="eastAsia" w:ascii="方正小标宋简体" w:hAnsi="方正小标宋简体" w:eastAsia="方正小标宋简体" w:cs="方正小标宋简体"/>
          <w:b w:val="0"/>
          <w:bCs/>
          <w:snapToGrid w:val="0"/>
          <w:color w:val="auto"/>
          <w:kern w:val="0"/>
          <w:sz w:val="44"/>
          <w:szCs w:val="44"/>
          <w:lang w:eastAsia="zh-CN"/>
        </w:rPr>
        <w:t>年</w:t>
      </w:r>
      <w:r>
        <w:rPr>
          <w:rFonts w:hint="eastAsia" w:ascii="方正小标宋简体" w:hAnsi="方正小标宋简体" w:eastAsia="方正小标宋简体" w:cs="方正小标宋简体"/>
          <w:b w:val="0"/>
          <w:bCs/>
          <w:snapToGrid w:val="0"/>
          <w:color w:val="auto"/>
          <w:kern w:val="0"/>
          <w:sz w:val="44"/>
          <w:szCs w:val="44"/>
          <w:lang w:val="en-US" w:eastAsia="zh-CN"/>
        </w:rPr>
        <w:t>历城区</w:t>
      </w:r>
      <w:r>
        <w:rPr>
          <w:rFonts w:hint="eastAsia" w:ascii="方正小标宋简体" w:hAnsi="方正小标宋简体" w:eastAsia="方正小标宋简体" w:cs="方正小标宋简体"/>
          <w:b w:val="0"/>
          <w:bCs/>
          <w:snapToGrid w:val="0"/>
          <w:color w:val="auto"/>
          <w:kern w:val="0"/>
          <w:sz w:val="44"/>
          <w:szCs w:val="44"/>
          <w:lang w:eastAsia="zh-CN"/>
        </w:rPr>
        <w:t>普法依法治理工作要点</w:t>
      </w:r>
      <w:r>
        <w:rPr>
          <w:rFonts w:hint="eastAsia" w:ascii="方正小标宋简体" w:hAnsi="方正小标宋简体" w:eastAsia="方正小标宋简体" w:cs="方正小标宋简体"/>
          <w:b w:val="0"/>
          <w:bCs/>
          <w:snapToGrid w:val="0"/>
          <w:color w:val="auto"/>
          <w:kern w:val="0"/>
          <w:sz w:val="44"/>
          <w:szCs w:val="44"/>
        </w:rPr>
        <w:t>》的通知</w:t>
      </w:r>
    </w:p>
    <w:p w14:paraId="45539BC2">
      <w:pPr>
        <w:adjustRightInd w:val="0"/>
        <w:snapToGrid w:val="0"/>
        <w:spacing w:line="592" w:lineRule="exact"/>
        <w:ind w:firstLine="883" w:firstLineChars="200"/>
        <w:rPr>
          <w:rFonts w:hint="eastAsia" w:asciiTheme="majorEastAsia" w:hAnsiTheme="majorEastAsia" w:eastAsiaTheme="majorEastAsia" w:cstheme="majorEastAsia"/>
          <w:b/>
          <w:bCs/>
          <w:snapToGrid w:val="0"/>
          <w:color w:val="auto"/>
          <w:kern w:val="0"/>
          <w:sz w:val="44"/>
          <w:szCs w:val="44"/>
        </w:rPr>
      </w:pPr>
    </w:p>
    <w:p w14:paraId="10E5D05C">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各</w:t>
      </w:r>
      <w:r>
        <w:rPr>
          <w:rFonts w:hint="eastAsia" w:ascii="仿宋_GB2312" w:hAnsi="仿宋_GB2312" w:eastAsia="仿宋_GB2312" w:cs="仿宋_GB2312"/>
          <w:snapToGrid w:val="0"/>
          <w:color w:val="auto"/>
          <w:kern w:val="0"/>
          <w:sz w:val="32"/>
          <w:szCs w:val="32"/>
          <w:lang w:val="en-US" w:eastAsia="zh-CN"/>
        </w:rPr>
        <w:t>街道</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区</w:t>
      </w:r>
      <w:r>
        <w:rPr>
          <w:rFonts w:hint="eastAsia" w:ascii="仿宋_GB2312" w:hAnsi="仿宋_GB2312" w:eastAsia="仿宋_GB2312" w:cs="仿宋_GB2312"/>
          <w:snapToGrid w:val="0"/>
          <w:color w:val="auto"/>
          <w:kern w:val="0"/>
          <w:sz w:val="32"/>
          <w:szCs w:val="32"/>
          <w:lang w:eastAsia="zh-CN"/>
        </w:rPr>
        <w:t>直各部门（单位）：</w:t>
      </w:r>
    </w:p>
    <w:p w14:paraId="70D978D9">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现将《202</w:t>
      </w:r>
      <w:r>
        <w:rPr>
          <w:rFonts w:hint="eastAsia" w:ascii="仿宋_GB2312" w:hAnsi="仿宋_GB2312" w:eastAsia="仿宋_GB2312" w:cs="仿宋_GB2312"/>
          <w:snapToGrid w:val="0"/>
          <w:color w:val="auto"/>
          <w:kern w:val="0"/>
          <w:sz w:val="32"/>
          <w:szCs w:val="32"/>
          <w:lang w:val="en-US" w:eastAsia="zh-CN"/>
        </w:rPr>
        <w:t>5</w:t>
      </w:r>
      <w:r>
        <w:rPr>
          <w:rFonts w:hint="eastAsia" w:ascii="仿宋_GB2312" w:hAnsi="仿宋_GB2312" w:eastAsia="仿宋_GB2312" w:cs="仿宋_GB2312"/>
          <w:snapToGrid w:val="0"/>
          <w:color w:val="auto"/>
          <w:kern w:val="0"/>
          <w:sz w:val="32"/>
          <w:szCs w:val="32"/>
          <w:lang w:eastAsia="zh-CN"/>
        </w:rPr>
        <w:t>年</w:t>
      </w:r>
      <w:r>
        <w:rPr>
          <w:rFonts w:hint="eastAsia" w:ascii="仿宋_GB2312" w:hAnsi="仿宋_GB2312" w:eastAsia="仿宋_GB2312" w:cs="仿宋_GB2312"/>
          <w:snapToGrid w:val="0"/>
          <w:color w:val="auto"/>
          <w:kern w:val="0"/>
          <w:sz w:val="32"/>
          <w:szCs w:val="32"/>
          <w:lang w:val="en-US" w:eastAsia="zh-CN"/>
        </w:rPr>
        <w:t>历城区</w:t>
      </w:r>
      <w:r>
        <w:rPr>
          <w:rFonts w:hint="eastAsia" w:ascii="仿宋_GB2312" w:hAnsi="仿宋_GB2312" w:eastAsia="仿宋_GB2312" w:cs="仿宋_GB2312"/>
          <w:snapToGrid w:val="0"/>
          <w:color w:val="auto"/>
          <w:kern w:val="0"/>
          <w:sz w:val="32"/>
          <w:szCs w:val="32"/>
          <w:lang w:eastAsia="zh-CN"/>
        </w:rPr>
        <w:t>普法依法治理工作要点》印发给你们，请结合工作实际，认真抓好贯彻落实。</w:t>
      </w:r>
    </w:p>
    <w:p w14:paraId="0C12908E">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napToGrid w:val="0"/>
          <w:color w:val="auto"/>
          <w:kern w:val="0"/>
          <w:sz w:val="32"/>
          <w:szCs w:val="32"/>
          <w:lang w:eastAsia="zh-CN"/>
        </w:rPr>
      </w:pPr>
    </w:p>
    <w:p w14:paraId="7D83831B">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zh-CN"/>
        </w:rPr>
        <w:t>中共济南市</w:t>
      </w:r>
      <w:r>
        <w:rPr>
          <w:rFonts w:hint="eastAsia" w:ascii="仿宋_GB2312" w:hAnsi="仿宋_GB2312" w:eastAsia="仿宋_GB2312" w:cs="仿宋_GB2312"/>
          <w:snapToGrid w:val="0"/>
          <w:color w:val="auto"/>
          <w:kern w:val="0"/>
          <w:sz w:val="32"/>
          <w:szCs w:val="32"/>
          <w:lang w:val="en-US" w:eastAsia="zh-CN"/>
        </w:rPr>
        <w:t>历城区</w:t>
      </w:r>
      <w:r>
        <w:rPr>
          <w:rFonts w:hint="eastAsia" w:ascii="仿宋_GB2312" w:hAnsi="仿宋_GB2312" w:eastAsia="仿宋_GB2312" w:cs="仿宋_GB2312"/>
          <w:snapToGrid w:val="0"/>
          <w:color w:val="auto"/>
          <w:kern w:val="0"/>
          <w:sz w:val="32"/>
          <w:szCs w:val="32"/>
          <w:lang w:eastAsia="zh-CN"/>
        </w:rPr>
        <w:t>委全面依法治</w:t>
      </w:r>
      <w:r>
        <w:rPr>
          <w:rFonts w:hint="eastAsia" w:ascii="仿宋_GB2312" w:hAnsi="仿宋_GB2312" w:eastAsia="仿宋_GB2312" w:cs="仿宋_GB2312"/>
          <w:snapToGrid w:val="0"/>
          <w:color w:val="auto"/>
          <w:kern w:val="0"/>
          <w:sz w:val="32"/>
          <w:szCs w:val="32"/>
          <w:lang w:val="en-US" w:eastAsia="zh-CN"/>
        </w:rPr>
        <w:t>区       济南市历城区司法局</w:t>
      </w:r>
    </w:p>
    <w:p w14:paraId="4DB2D069">
      <w:pPr>
        <w:keepNext w:val="0"/>
        <w:keepLines w:val="0"/>
        <w:pageBreakBefore w:val="0"/>
        <w:widowControl w:val="0"/>
        <w:kinsoku/>
        <w:wordWrap/>
        <w:overflowPunct/>
        <w:topLinePunct w:val="0"/>
        <w:autoSpaceDE/>
        <w:autoSpaceDN/>
        <w:bidi w:val="0"/>
        <w:adjustRightInd w:val="0"/>
        <w:snapToGrid/>
        <w:spacing w:line="580" w:lineRule="exact"/>
        <w:ind w:firstLine="1280" w:firstLineChars="400"/>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zh-CN"/>
        </w:rPr>
        <w:t>委员会办公室</w:t>
      </w:r>
      <w:r>
        <w:rPr>
          <w:rFonts w:hint="eastAsia" w:ascii="仿宋_GB2312" w:hAnsi="仿宋_GB2312" w:eastAsia="仿宋_GB2312" w:cs="仿宋_GB2312"/>
          <w:snapToGrid w:val="0"/>
          <w:color w:val="auto"/>
          <w:kern w:val="0"/>
          <w:sz w:val="32"/>
          <w:szCs w:val="32"/>
          <w:lang w:val="en-US" w:eastAsia="zh-CN"/>
        </w:rPr>
        <w:t xml:space="preserve">                   2025年4月8日</w:t>
      </w:r>
    </w:p>
    <w:p w14:paraId="1CD79843">
      <w:pPr>
        <w:pStyle w:val="2"/>
        <w:rPr>
          <w:rFonts w:hint="eastAsia"/>
          <w:lang w:val="en-US" w:eastAsia="zh-CN"/>
        </w:rPr>
      </w:pPr>
    </w:p>
    <w:p w14:paraId="3E021B26">
      <w:pPr>
        <w:pStyle w:val="2"/>
        <w:ind w:left="0" w:leftChars="0" w:firstLine="0" w:firstLineChars="0"/>
        <w:rPr>
          <w:rFonts w:hint="eastAsia"/>
          <w:b w:val="0"/>
          <w:bCs/>
          <w:sz w:val="32"/>
          <w:szCs w:val="32"/>
          <w:lang w:eastAsia="zh-CN"/>
        </w:rPr>
      </w:pPr>
      <w:r>
        <w:rPr>
          <w:rFonts w:hint="eastAsia" w:ascii="仿宋_GB2312" w:hAnsi="仿宋_GB2312" w:eastAsia="仿宋_GB2312" w:cs="仿宋_GB2312"/>
          <w:b w:val="0"/>
          <w:bCs/>
          <w:snapToGrid w:val="0"/>
          <w:color w:val="auto"/>
          <w:kern w:val="0"/>
          <w:sz w:val="32"/>
          <w:szCs w:val="32"/>
          <w:lang w:val="en-US" w:eastAsia="zh-CN"/>
        </w:rPr>
        <w:t>（此文件主动公开）</w:t>
      </w:r>
    </w:p>
    <w:p w14:paraId="59B312AB">
      <w:pPr>
        <w:jc w:val="center"/>
        <w:rPr>
          <w:rFonts w:hint="eastAsia" w:ascii="方正小标宋简体" w:hAnsi="方正小标宋简体" w:eastAsia="方正小标宋简体" w:cs="方正小标宋简体"/>
          <w:sz w:val="44"/>
          <w:szCs w:val="44"/>
        </w:rPr>
      </w:pPr>
    </w:p>
    <w:p w14:paraId="3468C5F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历城区</w:t>
      </w:r>
      <w:r>
        <w:rPr>
          <w:rFonts w:hint="eastAsia" w:ascii="方正小标宋简体" w:hAnsi="方正小标宋简体" w:eastAsia="方正小标宋简体" w:cs="方正小标宋简体"/>
          <w:sz w:val="44"/>
          <w:szCs w:val="44"/>
        </w:rPr>
        <w:t>普法依法治理工作要点</w:t>
      </w:r>
    </w:p>
    <w:p w14:paraId="04853F69">
      <w:pPr>
        <w:rPr>
          <w:rFonts w:hint="eastAsia" w:ascii="仿宋_GB2312" w:hAnsi="仿宋_GB2312" w:eastAsia="仿宋_GB2312" w:cs="仿宋_GB2312"/>
          <w:sz w:val="32"/>
          <w:szCs w:val="32"/>
        </w:rPr>
      </w:pPr>
    </w:p>
    <w:p w14:paraId="5147FFF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2025年是“八五”普法规划总结验收年。今年全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普法依法治理工作总的要求是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全面贯彻党的二十大和二十届二中、三中全会精神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深入学习宣传贯彻习近平法治思想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中心大局、围绕社会民生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全面提升普法宣传工作质效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努力在重点对象学法用法、主题法治宣传教育、法治文化阵地建设、普法队伍建设、基层依法治理、普法责任制等方面实现新突破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为建设</w:t>
      </w:r>
      <w:r>
        <w:rPr>
          <w:rFonts w:hint="eastAsia" w:ascii="仿宋_GB2312" w:hAnsi="仿宋_GB2312" w:eastAsia="仿宋_GB2312" w:cs="仿宋_GB2312"/>
          <w:sz w:val="32"/>
          <w:szCs w:val="32"/>
          <w:lang w:val="en-US" w:eastAsia="zh-CN"/>
        </w:rPr>
        <w:t>省会</w:t>
      </w:r>
      <w:r>
        <w:rPr>
          <w:rFonts w:hint="eastAsia" w:ascii="仿宋_GB2312" w:hAnsi="仿宋_GB2312" w:eastAsia="仿宋_GB2312" w:cs="仿宋_GB2312"/>
          <w:sz w:val="32"/>
          <w:szCs w:val="32"/>
        </w:rPr>
        <w:t>社会主义现代化强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营造良好法治环境</w:t>
      </w:r>
      <w:r>
        <w:rPr>
          <w:rFonts w:hint="eastAsia" w:ascii="仿宋_GB2312" w:hAnsi="仿宋_GB2312" w:eastAsia="仿宋_GB2312" w:cs="仿宋_GB2312"/>
          <w:sz w:val="32"/>
          <w:szCs w:val="32"/>
          <w:lang w:eastAsia="zh-CN"/>
        </w:rPr>
        <w:t>。</w:t>
      </w:r>
    </w:p>
    <w:p w14:paraId="1D99467F">
      <w:pPr>
        <w:ind w:firstLine="640" w:firstLineChars="200"/>
        <w:rPr>
          <w:rFonts w:hint="eastAsia" w:ascii="黑体" w:hAnsi="黑体" w:eastAsia="黑体" w:cs="黑体"/>
          <w:sz w:val="32"/>
          <w:szCs w:val="32"/>
        </w:rPr>
      </w:pPr>
      <w:r>
        <w:rPr>
          <w:rFonts w:hint="eastAsia" w:ascii="黑体" w:hAnsi="黑体" w:eastAsia="黑体" w:cs="黑体"/>
          <w:sz w:val="32"/>
          <w:szCs w:val="32"/>
        </w:rPr>
        <w:t>一、坚持深学笃行</w:t>
      </w:r>
      <w:r>
        <w:rPr>
          <w:rFonts w:hint="eastAsia" w:ascii="黑体" w:hAnsi="黑体" w:eastAsia="黑体" w:cs="黑体"/>
          <w:sz w:val="32"/>
          <w:szCs w:val="32"/>
          <w:lang w:eastAsia="zh-CN"/>
        </w:rPr>
        <w:t>，</w:t>
      </w:r>
      <w:r>
        <w:rPr>
          <w:rFonts w:hint="eastAsia" w:ascii="黑体" w:hAnsi="黑体" w:eastAsia="黑体" w:cs="黑体"/>
          <w:sz w:val="32"/>
          <w:szCs w:val="32"/>
        </w:rPr>
        <w:t>持续深化习近平法治思想学习宣传</w:t>
      </w:r>
    </w:p>
    <w:p w14:paraId="0AD7DD17">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1.推动习近平法治思想学习常态化。</w:t>
      </w:r>
      <w:r>
        <w:rPr>
          <w:rFonts w:hint="eastAsia" w:ascii="仿宋_GB2312" w:hAnsi="仿宋_GB2312" w:eastAsia="仿宋_GB2312" w:cs="仿宋_GB2312"/>
          <w:sz w:val="32"/>
          <w:szCs w:val="32"/>
        </w:rPr>
        <w:t>认真贯彻落实《关于建立领导干部应知应会党内法规和国家法律清单制度的实施方案》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推动将习近平法治思想作为各级党委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理论学习中心组、政府常务会议重点学习内容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作为各级领导干部教育培训重点课程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推动习近平法治思想入脑入心。</w:t>
      </w:r>
    </w:p>
    <w:p w14:paraId="420058FA">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2.推动习近平法治思想大众化传播。</w:t>
      </w:r>
      <w:r>
        <w:rPr>
          <w:rFonts w:hint="eastAsia" w:ascii="仿宋_GB2312" w:hAnsi="仿宋_GB2312" w:eastAsia="仿宋_GB2312" w:cs="仿宋_GB2312"/>
          <w:sz w:val="32"/>
          <w:szCs w:val="32"/>
        </w:rPr>
        <w:t>充分运用各类阵地平台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通过各种形式加强习近平法治思想的学习培训、宣传解读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持续推进习近平法治思想讲师团、律师宣讲团深入农村、社区、机关、企业、学校等基层单位开展宣讲活动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推动习近平法治思想实现大众化传播</w:t>
      </w:r>
      <w:r>
        <w:rPr>
          <w:rFonts w:hint="eastAsia" w:ascii="仿宋_GB2312" w:hAnsi="仿宋_GB2312" w:eastAsia="仿宋_GB2312" w:cs="仿宋_GB2312"/>
          <w:sz w:val="32"/>
          <w:szCs w:val="32"/>
          <w:lang w:eastAsia="zh-CN"/>
        </w:rPr>
        <w:t>。</w:t>
      </w:r>
    </w:p>
    <w:p w14:paraId="33B763DC">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坚持突出重点</w:t>
      </w:r>
      <w:r>
        <w:rPr>
          <w:rFonts w:hint="eastAsia" w:ascii="黑体" w:hAnsi="黑体" w:eastAsia="黑体" w:cs="黑体"/>
          <w:sz w:val="32"/>
          <w:szCs w:val="32"/>
          <w:lang w:eastAsia="zh-CN"/>
        </w:rPr>
        <w:t>，</w:t>
      </w:r>
      <w:r>
        <w:rPr>
          <w:rFonts w:hint="eastAsia" w:ascii="黑体" w:hAnsi="黑体" w:eastAsia="黑体" w:cs="黑体"/>
          <w:sz w:val="32"/>
          <w:szCs w:val="32"/>
        </w:rPr>
        <w:t>大力开展主题法治宣传教育活动</w:t>
      </w:r>
    </w:p>
    <w:p w14:paraId="74915B72">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3.突出宪法学习宣传</w:t>
      </w:r>
      <w:r>
        <w:rPr>
          <w:rFonts w:hint="eastAsia" w:ascii="仿宋_GB2312" w:hAnsi="仿宋_GB2312" w:eastAsia="仿宋_GB2312" w:cs="仿宋_GB2312"/>
          <w:sz w:val="32"/>
          <w:szCs w:val="32"/>
        </w:rPr>
        <w:t>。健全宪法学习宣传长效机制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加强宪法以及国旗法、国歌法、选举法等宪法性法律的宣传教育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推动落实宪法宣誓制度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组织开展“12·4”国家宪法日、宪法宣传周、法治宣传教育月集中宣传活动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深化宪法进乡村、进社区、进机关、进校园、进企业、进军营、进网络等“宪法十进”活动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大力弘扬宪法法治精神。</w:t>
      </w:r>
    </w:p>
    <w:p w14:paraId="16574DCE">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4.突出民法典学习宣传。</w:t>
      </w:r>
      <w:r>
        <w:rPr>
          <w:rFonts w:hint="eastAsia" w:ascii="仿宋_GB2312" w:hAnsi="仿宋_GB2312" w:eastAsia="仿宋_GB2312" w:cs="仿宋_GB2312"/>
          <w:sz w:val="32"/>
          <w:szCs w:val="32"/>
        </w:rPr>
        <w:t>健全民法典学习宣传长效机制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以“美好生活·民法典相伴”为主题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组织开展“民法典宣传月”深化“民法典十进”活动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让民法典走到群众身边、走进群众心里</w:t>
      </w:r>
      <w:r>
        <w:rPr>
          <w:rFonts w:hint="eastAsia" w:ascii="仿宋_GB2312" w:hAnsi="仿宋_GB2312" w:eastAsia="仿宋_GB2312" w:cs="仿宋_GB2312"/>
          <w:sz w:val="32"/>
          <w:szCs w:val="32"/>
          <w:lang w:eastAsia="zh-CN"/>
        </w:rPr>
        <w:t>。</w:t>
      </w:r>
    </w:p>
    <w:p w14:paraId="5763AD8B">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5.突出国家安全法学习宣传。</w:t>
      </w:r>
      <w:r>
        <w:rPr>
          <w:rFonts w:hint="eastAsia" w:ascii="仿宋_GB2312" w:hAnsi="仿宋_GB2312" w:eastAsia="仿宋_GB2312" w:cs="仿宋_GB2312"/>
          <w:sz w:val="32"/>
          <w:szCs w:val="32"/>
        </w:rPr>
        <w:t>组织开展2025年全民国家安全教育主题普法宣传活动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大力宣传总体国家安全观和国家安全法、反分裂国家法、国防法、反间谍法、反恐怖主义法、粮食安全法、数据安全法、生物安全法、网络安全法、保守国家秘密法、爱国主义教育法等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提升全民国家安全意识</w:t>
      </w:r>
      <w:r>
        <w:rPr>
          <w:rFonts w:hint="eastAsia" w:ascii="仿宋_GB2312" w:hAnsi="仿宋_GB2312" w:eastAsia="仿宋_GB2312" w:cs="仿宋_GB2312"/>
          <w:sz w:val="32"/>
          <w:szCs w:val="32"/>
          <w:lang w:eastAsia="zh-CN"/>
        </w:rPr>
        <w:t>。</w:t>
      </w:r>
    </w:p>
    <w:p w14:paraId="6FAF14C1">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6.突出高质量发展主题法治宣传活动。</w:t>
      </w:r>
      <w:r>
        <w:rPr>
          <w:rFonts w:hint="eastAsia" w:ascii="仿宋_GB2312" w:hAnsi="仿宋_GB2312" w:eastAsia="仿宋_GB2312" w:cs="仿宋_GB2312"/>
          <w:sz w:val="32"/>
          <w:szCs w:val="32"/>
        </w:rPr>
        <w:t>深化“服务大局普法行”活动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组织开展“沿着黄河去普法”“项目提升年”优化法治化营商环境等主题法治宣传活动。大力宣传黄河保护法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涉外知识产权纠纷处理的规定》《山东省黄河保护条例》《山东省行政调解办法》《山东省快递业促进条例》以及《济南市优化营商环境条例》《济南市名泉保护条例》《济南市历史文化名城保护条例》等济南地方性法规和规章。</w:t>
      </w:r>
    </w:p>
    <w:p w14:paraId="48CFAF0F">
      <w:pPr>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7.突出部门、行业主题法治宣传活动。</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发展重大战略、中心工作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部门围绕新旧动能转换、民族宗教、扫黑除恶、禁毒戒毒、城市治理、乡村振兴、社区管理、信访维稳、反邪教、反有组织犯罪、打击和防范经济犯罪、互联网、个人信息保护、防治家庭暴力、防范校园欺凌、科技创新、知识产权保护、生态环境保护、野生动物保护、教育、就业、婚姻家庭、生育、构建和谐劳动关系、工会劳动法律监督、社会保障、收入分配、医疗卫生、防范非法集资、防范金融风险、反电信网络诈骗、慈善、社会救助、退役军人保障、老年人权益保障农民工权益保障、残疾人权益保障、妇女儿童权益保障、归侨侨眷权益保障、消费者权益保护、预防未成年人违法犯罪、未成年人文身、征地拆迁、道路交通安全、消防安全、生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药品安全、城市安全、节约用水、移风易俗、禁赌、国防动员、民兵、兵役、噪声污染防治、传染病防治、艾滋病防治、土地承包、精神控制类有害培训、滥用笑气、职业闭店、帮信等人民群众关心关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大力宣传相关法律法规。</w:t>
      </w:r>
    </w:p>
    <w:p w14:paraId="4B5B5CAE">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8.突出党内法规学习宣传。</w:t>
      </w:r>
      <w:r>
        <w:rPr>
          <w:rFonts w:hint="eastAsia" w:ascii="仿宋_GB2312" w:hAnsi="仿宋_GB2312" w:eastAsia="仿宋_GB2312" w:cs="仿宋_GB2312"/>
          <w:sz w:val="32"/>
          <w:szCs w:val="32"/>
        </w:rPr>
        <w:t>结合“七一”建党纪念日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聚焦党内法规学习宣传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强化党员干部的纪律意识和规矩意识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加强党内法规宣传教育阵地建设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利用各类阵地平台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以党章准则、条例等为重点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促进党内法规学习宣传常态化、制度化</w:t>
      </w:r>
      <w:r>
        <w:rPr>
          <w:rFonts w:hint="eastAsia" w:ascii="仿宋_GB2312" w:hAnsi="仿宋_GB2312" w:eastAsia="仿宋_GB2312" w:cs="仿宋_GB2312"/>
          <w:sz w:val="32"/>
          <w:szCs w:val="32"/>
          <w:lang w:eastAsia="zh-CN"/>
        </w:rPr>
        <w:t>。</w:t>
      </w:r>
    </w:p>
    <w:p w14:paraId="7E341F5F">
      <w:pPr>
        <w:ind w:firstLine="640" w:firstLineChars="200"/>
        <w:rPr>
          <w:rFonts w:hint="eastAsia" w:ascii="黑体" w:hAnsi="黑体" w:eastAsia="黑体" w:cs="黑体"/>
          <w:sz w:val="32"/>
          <w:szCs w:val="32"/>
        </w:rPr>
      </w:pPr>
      <w:r>
        <w:rPr>
          <w:rFonts w:hint="eastAsia" w:ascii="黑体" w:hAnsi="黑体" w:eastAsia="黑体" w:cs="黑体"/>
          <w:sz w:val="32"/>
          <w:szCs w:val="32"/>
        </w:rPr>
        <w:t>三、坚持分类施策</w:t>
      </w:r>
      <w:r>
        <w:rPr>
          <w:rFonts w:hint="eastAsia" w:ascii="黑体" w:hAnsi="黑体" w:eastAsia="黑体" w:cs="黑体"/>
          <w:sz w:val="32"/>
          <w:szCs w:val="32"/>
          <w:lang w:eastAsia="zh-CN"/>
        </w:rPr>
        <w:t>，</w:t>
      </w:r>
      <w:r>
        <w:rPr>
          <w:rFonts w:hint="eastAsia" w:ascii="黑体" w:hAnsi="黑体" w:eastAsia="黑体" w:cs="黑体"/>
          <w:sz w:val="32"/>
          <w:szCs w:val="32"/>
        </w:rPr>
        <w:t>着力抓好重点对象学法用法</w:t>
      </w:r>
    </w:p>
    <w:p w14:paraId="42F2B42D">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9.实施公民法治素养提升行动。</w:t>
      </w:r>
      <w:r>
        <w:rPr>
          <w:rFonts w:hint="eastAsia" w:ascii="仿宋_GB2312" w:hAnsi="仿宋_GB2312" w:eastAsia="仿宋_GB2312" w:cs="仿宋_GB2312"/>
          <w:sz w:val="32"/>
          <w:szCs w:val="32"/>
        </w:rPr>
        <w:t>把提升公民法治素养与推进依法治理等实践活动有机结合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从遵守交通规则、制止餐饮浪费、执行垃圾分类等日常生活行为抓起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提高规则意识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让人民群众在实践中养成守法习惯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探索具有</w:t>
      </w:r>
      <w:r>
        <w:rPr>
          <w:rFonts w:hint="eastAsia" w:ascii="仿宋_GB2312" w:hAnsi="仿宋_GB2312" w:eastAsia="仿宋_GB2312" w:cs="仿宋_GB2312"/>
          <w:sz w:val="32"/>
          <w:szCs w:val="32"/>
          <w:lang w:val="en-US" w:eastAsia="zh-CN"/>
        </w:rPr>
        <w:t>历城</w:t>
      </w:r>
      <w:r>
        <w:rPr>
          <w:rFonts w:hint="eastAsia" w:ascii="仿宋_GB2312" w:hAnsi="仿宋_GB2312" w:eastAsia="仿宋_GB2312" w:cs="仿宋_GB2312"/>
          <w:sz w:val="32"/>
          <w:szCs w:val="32"/>
        </w:rPr>
        <w:t>特色、切实可行的公民法治素养提升路径</w:t>
      </w:r>
      <w:r>
        <w:rPr>
          <w:rFonts w:hint="eastAsia" w:ascii="仿宋_GB2312" w:hAnsi="仿宋_GB2312" w:eastAsia="仿宋_GB2312" w:cs="仿宋_GB2312"/>
          <w:sz w:val="32"/>
          <w:szCs w:val="32"/>
          <w:lang w:eastAsia="zh-CN"/>
        </w:rPr>
        <w:t>。</w:t>
      </w:r>
    </w:p>
    <w:p w14:paraId="373CC280">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10.加强领导干部及国家工作人员学法用法。</w:t>
      </w:r>
      <w:r>
        <w:rPr>
          <w:rFonts w:hint="eastAsia" w:ascii="仿宋_GB2312" w:hAnsi="仿宋_GB2312" w:eastAsia="仿宋_GB2312" w:cs="仿宋_GB2312"/>
          <w:sz w:val="32"/>
          <w:szCs w:val="32"/>
        </w:rPr>
        <w:t>进一步推动落实国家工作人员学法用法制度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理论学习中心组学法制度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组织国家工作人员学法考试、法治讲座、旁听庭审等活动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提升国家工作人员特别是领导干部运用法治思维和法治方式开展工作、解决问题、推动发展的能力。</w:t>
      </w:r>
    </w:p>
    <w:p w14:paraId="73758815">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11.加强青少年学生学法用法。</w:t>
      </w:r>
      <w:r>
        <w:rPr>
          <w:rFonts w:hint="eastAsia" w:ascii="仿宋_GB2312" w:hAnsi="仿宋_GB2312" w:eastAsia="仿宋_GB2312" w:cs="仿宋_GB2312"/>
          <w:sz w:val="32"/>
          <w:szCs w:val="32"/>
        </w:rPr>
        <w:t>推进青少年法治教育实践基地建设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认真落实中小学法治副校长配备管理规定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深化法治副校长“以案普法”专项活动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组织中小学校开展“学宪法讲宪法”“宪法晨读”等活动。加强未成年人专项法治宣传教育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优化适合未成年人的普法产品供给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建强用好专门学校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开展专门教育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预防和减少未成年人违法犯罪</w:t>
      </w:r>
      <w:r>
        <w:rPr>
          <w:rFonts w:hint="eastAsia" w:ascii="仿宋_GB2312" w:hAnsi="仿宋_GB2312" w:eastAsia="仿宋_GB2312" w:cs="仿宋_GB2312"/>
          <w:sz w:val="32"/>
          <w:szCs w:val="32"/>
          <w:lang w:eastAsia="zh-CN"/>
        </w:rPr>
        <w:t>。</w:t>
      </w:r>
    </w:p>
    <w:p w14:paraId="04FCB0C0">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12.加强企业管理者和职工学法用法。</w:t>
      </w:r>
      <w:r>
        <w:rPr>
          <w:rFonts w:hint="eastAsia" w:ascii="仿宋_GB2312" w:hAnsi="仿宋_GB2312" w:eastAsia="仿宋_GB2312" w:cs="仿宋_GB2312"/>
          <w:sz w:val="32"/>
          <w:szCs w:val="32"/>
        </w:rPr>
        <w:t>深化“法治进企业”活动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切实增强企业管理者和职工的法治观念。重点围绕企业负责人依法管理经营企业开展法治宣传教育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引导企业树立合规意识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促进依法诚信经营管理。</w:t>
      </w:r>
    </w:p>
    <w:p w14:paraId="32012779">
      <w:pPr>
        <w:pStyle w:val="2"/>
        <w:rPr>
          <w:rFonts w:hint="eastAsia"/>
        </w:rPr>
      </w:pPr>
    </w:p>
    <w:p w14:paraId="7E080152">
      <w:pPr>
        <w:ind w:firstLine="640" w:firstLineChars="200"/>
        <w:rPr>
          <w:rFonts w:hint="eastAsia" w:ascii="黑体" w:hAnsi="黑体" w:eastAsia="黑体" w:cs="黑体"/>
          <w:sz w:val="32"/>
          <w:szCs w:val="32"/>
        </w:rPr>
      </w:pPr>
      <w:r>
        <w:rPr>
          <w:rFonts w:hint="eastAsia" w:ascii="黑体" w:hAnsi="黑体" w:eastAsia="黑体" w:cs="黑体"/>
          <w:sz w:val="32"/>
          <w:szCs w:val="32"/>
        </w:rPr>
        <w:t>四、坚持创新发展</w:t>
      </w:r>
      <w:r>
        <w:rPr>
          <w:rFonts w:hint="eastAsia" w:ascii="黑体" w:hAnsi="黑体" w:eastAsia="黑体" w:cs="黑体"/>
          <w:sz w:val="32"/>
          <w:szCs w:val="32"/>
          <w:lang w:eastAsia="zh-CN"/>
        </w:rPr>
        <w:t>，</w:t>
      </w:r>
      <w:r>
        <w:rPr>
          <w:rFonts w:hint="eastAsia" w:ascii="黑体" w:hAnsi="黑体" w:eastAsia="黑体" w:cs="黑体"/>
          <w:sz w:val="32"/>
          <w:szCs w:val="32"/>
        </w:rPr>
        <w:t>精心打造泉城法治文化品牌</w:t>
      </w:r>
    </w:p>
    <w:p w14:paraId="749163FC">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.加强法治文化阵地建设。</w:t>
      </w:r>
      <w:r>
        <w:rPr>
          <w:rFonts w:hint="eastAsia" w:ascii="仿宋_GB2312" w:hAnsi="仿宋_GB2312" w:eastAsia="仿宋_GB2312" w:cs="仿宋_GB2312"/>
          <w:color w:val="auto"/>
          <w:sz w:val="32"/>
          <w:szCs w:val="32"/>
        </w:rPr>
        <w:t>规范法治文化阵地管理使用机制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加强基层法治文化阵地提升改造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打造法治宣传阵地示范点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切实发挥法治文化建设示范基地作用。利用党群服务中心、新时代文明实践站等建立基层普法联系点、法治宣传教育基地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拓展普法宣传阵地数量和质量。注重法治文化与地方、行业特色文化有机融合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注重挖掘齐鲁优秀传统法律文化、红色法治文化、黄河法治文化等资源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探索打造特色法治文化阵地。</w:t>
      </w:r>
    </w:p>
    <w:p w14:paraId="1FDEFF6B">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.加强法治文艺创作传播。</w:t>
      </w:r>
      <w:r>
        <w:rPr>
          <w:rFonts w:hint="eastAsia" w:ascii="仿宋_GB2312" w:hAnsi="仿宋_GB2312" w:eastAsia="仿宋_GB2312" w:cs="仿宋_GB2312"/>
          <w:sz w:val="32"/>
          <w:szCs w:val="32"/>
        </w:rPr>
        <w:t>加强法治文艺队伍建设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支持创作法治文化精品。组织参加全国法治动漫</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视频征集、“法润齐鲁创作扶持计划”等活动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努力推出一批法治文艺精品力作</w:t>
      </w:r>
      <w:r>
        <w:rPr>
          <w:rFonts w:hint="eastAsia" w:ascii="仿宋_GB2312" w:hAnsi="仿宋_GB2312" w:eastAsia="仿宋_GB2312" w:cs="仿宋_GB2312"/>
          <w:sz w:val="32"/>
          <w:szCs w:val="32"/>
          <w:lang w:eastAsia="zh-CN"/>
        </w:rPr>
        <w:t>。</w:t>
      </w:r>
    </w:p>
    <w:p w14:paraId="58D6A108">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.探索“非遗传承+普法宣传”融合新路径。</w:t>
      </w:r>
      <w:r>
        <w:rPr>
          <w:rFonts w:hint="eastAsia" w:ascii="仿宋_GB2312" w:hAnsi="仿宋_GB2312" w:eastAsia="仿宋_GB2312" w:cs="仿宋_GB2312"/>
          <w:sz w:val="32"/>
          <w:szCs w:val="32"/>
        </w:rPr>
        <w:t>推动将法治文化元素融入非遗文创产品和民俗活动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根据上级部署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组织开展“非遗传承+普法宣传”作品征集、设计、展示活动。</w:t>
      </w:r>
    </w:p>
    <w:p w14:paraId="324DA3D6">
      <w:pPr>
        <w:ind w:firstLine="640" w:firstLineChars="200"/>
        <w:rPr>
          <w:rFonts w:hint="eastAsia" w:ascii="黑体" w:hAnsi="黑体" w:eastAsia="黑体" w:cs="黑体"/>
          <w:sz w:val="32"/>
          <w:szCs w:val="32"/>
        </w:rPr>
      </w:pPr>
      <w:r>
        <w:rPr>
          <w:rFonts w:hint="eastAsia" w:ascii="黑体" w:hAnsi="黑体" w:eastAsia="黑体" w:cs="黑体"/>
          <w:sz w:val="32"/>
          <w:szCs w:val="32"/>
        </w:rPr>
        <w:t>五、坚持示范引领</w:t>
      </w:r>
      <w:r>
        <w:rPr>
          <w:rFonts w:hint="eastAsia" w:ascii="黑体" w:hAnsi="黑体" w:eastAsia="黑体" w:cs="黑体"/>
          <w:sz w:val="32"/>
          <w:szCs w:val="32"/>
          <w:lang w:eastAsia="zh-CN"/>
        </w:rPr>
        <w:t>，</w:t>
      </w:r>
      <w:r>
        <w:rPr>
          <w:rFonts w:hint="eastAsia" w:ascii="黑体" w:hAnsi="黑体" w:eastAsia="黑体" w:cs="黑体"/>
          <w:sz w:val="32"/>
          <w:szCs w:val="32"/>
        </w:rPr>
        <w:t>深入推进基层依法治理</w:t>
      </w:r>
    </w:p>
    <w:p w14:paraId="0A6575AE">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.深化法治乡村建设。</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推动法治乡村建设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组织开展法治进乡村活动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推动涉村集体账户冻结村民权益保护工作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深入开展“1名村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法律顾问+N名法律明白人”行动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法律顾问和法律明白人合作机制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法律明白人工作室、街道培训基地全覆盖。</w:t>
      </w:r>
    </w:p>
    <w:p w14:paraId="1D7E0A5E">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.推动民主法治示范村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社区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建设</w:t>
      </w:r>
      <w:r>
        <w:rPr>
          <w:rFonts w:hint="eastAsia" w:ascii="仿宋_GB2312" w:hAnsi="仿宋_GB2312" w:eastAsia="仿宋_GB2312" w:cs="仿宋_GB2312"/>
          <w:sz w:val="32"/>
          <w:szCs w:val="32"/>
        </w:rPr>
        <w:t>。认真落实《济南市民主法治示范村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申报命名及动态管理办法》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加强对“民主法治示范村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发挥其在基层法治建设中的示范带动作用。</w:t>
      </w:r>
    </w:p>
    <w:p w14:paraId="2966C0B3">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.加强农村学法用法示范户和法治带头人、法律明白人培育。</w:t>
      </w:r>
      <w:r>
        <w:rPr>
          <w:rFonts w:hint="eastAsia" w:ascii="仿宋_GB2312" w:hAnsi="仿宋_GB2312" w:eastAsia="仿宋_GB2312" w:cs="仿宋_GB2312"/>
          <w:sz w:val="32"/>
          <w:szCs w:val="32"/>
        </w:rPr>
        <w:t>认真落实《济南市培育农村学法用法示范户工作方案》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加强农村学法用法示范户培育工作。</w:t>
      </w:r>
      <w:r>
        <w:rPr>
          <w:rFonts w:hint="eastAsia" w:ascii="仿宋_GB2312" w:hAnsi="仿宋_GB2312" w:eastAsia="仿宋_GB2312" w:cs="仿宋_GB2312"/>
          <w:sz w:val="32"/>
          <w:szCs w:val="32"/>
          <w:lang w:val="en-US" w:eastAsia="zh-CN"/>
        </w:rPr>
        <w:t>认真开展</w:t>
      </w:r>
      <w:r>
        <w:rPr>
          <w:rFonts w:hint="eastAsia" w:ascii="仿宋_GB2312" w:hAnsi="仿宋_GB2312" w:eastAsia="仿宋_GB2312" w:cs="仿宋_GB2312"/>
          <w:color w:val="auto"/>
          <w:sz w:val="32"/>
          <w:szCs w:val="32"/>
        </w:rPr>
        <w:t>乡村法治带头人、法律明白人培训</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sz w:val="32"/>
          <w:szCs w:val="32"/>
        </w:rPr>
        <w:t>发挥应有作用。</w:t>
      </w:r>
    </w:p>
    <w:p w14:paraId="57BE2FED">
      <w:pPr>
        <w:ind w:firstLine="640" w:firstLineChars="200"/>
        <w:rPr>
          <w:rFonts w:hint="eastAsia" w:ascii="黑体" w:hAnsi="黑体" w:eastAsia="黑体" w:cs="黑体"/>
          <w:sz w:val="32"/>
          <w:szCs w:val="32"/>
        </w:rPr>
      </w:pPr>
      <w:r>
        <w:rPr>
          <w:rFonts w:hint="eastAsia" w:ascii="黑体" w:hAnsi="黑体" w:eastAsia="黑体" w:cs="黑体"/>
          <w:sz w:val="32"/>
          <w:szCs w:val="32"/>
        </w:rPr>
        <w:t>六、坚持多措并举</w:t>
      </w:r>
      <w:r>
        <w:rPr>
          <w:rFonts w:hint="eastAsia" w:ascii="黑体" w:hAnsi="黑体" w:eastAsia="黑体" w:cs="黑体"/>
          <w:sz w:val="32"/>
          <w:szCs w:val="32"/>
          <w:lang w:eastAsia="zh-CN"/>
        </w:rPr>
        <w:t>，</w:t>
      </w:r>
      <w:r>
        <w:rPr>
          <w:rFonts w:hint="eastAsia" w:ascii="黑体" w:hAnsi="黑体" w:eastAsia="黑体" w:cs="黑体"/>
          <w:sz w:val="32"/>
          <w:szCs w:val="32"/>
        </w:rPr>
        <w:t>认真落实普法工作责任制</w:t>
      </w:r>
    </w:p>
    <w:p w14:paraId="4D9AF009">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.完善守法普法工作运行机制。</w:t>
      </w:r>
      <w:r>
        <w:rPr>
          <w:rFonts w:hint="eastAsia" w:ascii="仿宋_GB2312" w:hAnsi="仿宋_GB2312" w:eastAsia="仿宋_GB2312" w:cs="仿宋_GB2312"/>
          <w:sz w:val="32"/>
          <w:szCs w:val="32"/>
        </w:rPr>
        <w:t>认真落实《守法普法协调小组工作细则》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委全面依法治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委员会守法普法协调小组日常工作。制定《2025年</w:t>
      </w:r>
      <w:r>
        <w:rPr>
          <w:rFonts w:hint="eastAsia" w:ascii="仿宋_GB2312" w:hAnsi="仿宋_GB2312" w:eastAsia="仿宋_GB2312" w:cs="仿宋_GB2312"/>
          <w:sz w:val="32"/>
          <w:szCs w:val="32"/>
          <w:lang w:val="en-US" w:eastAsia="zh-CN"/>
        </w:rPr>
        <w:t>历城区</w:t>
      </w:r>
      <w:r>
        <w:rPr>
          <w:rFonts w:hint="eastAsia" w:ascii="仿宋_GB2312" w:hAnsi="仿宋_GB2312" w:eastAsia="仿宋_GB2312" w:cs="仿宋_GB2312"/>
          <w:sz w:val="32"/>
          <w:szCs w:val="32"/>
        </w:rPr>
        <w:t>重点单位普法责任清单》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推动把普法工作纳入2025年度我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高质量发展综合考核内容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作为法治政府督察重要内容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探索建立科学考核评估体系。</w:t>
      </w:r>
    </w:p>
    <w:p w14:paraId="39DB7A92">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val="en-US" w:eastAsia="zh-CN"/>
        </w:rPr>
        <w:t>0</w:t>
      </w:r>
      <w:r>
        <w:rPr>
          <w:rFonts w:hint="eastAsia" w:ascii="楷体_GB2312" w:hAnsi="楷体_GB2312" w:eastAsia="楷体_GB2312" w:cs="楷体_GB2312"/>
          <w:color w:val="auto"/>
          <w:sz w:val="32"/>
          <w:szCs w:val="32"/>
        </w:rPr>
        <w:t>.探索开展普法提示函等制度</w:t>
      </w:r>
      <w:r>
        <w:rPr>
          <w:rFonts w:hint="eastAsia" w:ascii="仿宋_GB2312" w:hAnsi="仿宋_GB2312" w:eastAsia="仿宋_GB2312" w:cs="仿宋_GB2312"/>
          <w:color w:val="auto"/>
          <w:sz w:val="32"/>
          <w:szCs w:val="32"/>
        </w:rPr>
        <w:t>。普法主管部门通过发出普法提示函或建议书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对落实普法责任制不到位的单位予以提示和督促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以小切口推动大普法。</w:t>
      </w:r>
      <w:r>
        <w:rPr>
          <w:rFonts w:hint="eastAsia" w:ascii="仿宋_GB2312" w:hAnsi="仿宋_GB2312" w:eastAsia="仿宋_GB2312" w:cs="仿宋_GB2312"/>
          <w:color w:val="auto"/>
          <w:sz w:val="32"/>
          <w:szCs w:val="32"/>
          <w:lang w:val="en-US" w:eastAsia="zh-CN"/>
        </w:rPr>
        <w:t>根据上级部署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组织开展“改进法治宣传教育”试点工作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推进普法工作社会化、规范化、品牌化。</w:t>
      </w:r>
    </w:p>
    <w:p w14:paraId="18A81DCA">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.落实以案释法普法责任制</w:t>
      </w:r>
      <w:r>
        <w:rPr>
          <w:rFonts w:hint="eastAsia" w:ascii="仿宋_GB2312" w:hAnsi="仿宋_GB2312" w:eastAsia="仿宋_GB2312" w:cs="仿宋_GB2312"/>
          <w:sz w:val="32"/>
          <w:szCs w:val="32"/>
        </w:rPr>
        <w:t>。认真落实《关于加强以案释法工作的实施意见》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实施好法官、检察官、行政复议人员、行政执法人员、律师等以案释法和典型案例发布制度。</w:t>
      </w:r>
    </w:p>
    <w:p w14:paraId="22393D5A">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.落实媒体公益普法责任制。</w:t>
      </w:r>
      <w:r>
        <w:rPr>
          <w:rFonts w:hint="eastAsia" w:ascii="仿宋_GB2312" w:hAnsi="仿宋_GB2312" w:eastAsia="仿宋_GB2312" w:cs="仿宋_GB2312"/>
          <w:sz w:val="32"/>
          <w:szCs w:val="32"/>
        </w:rPr>
        <w:t>认真落实《关于加强媒体公益普法宣传的实施意见》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推动大众传媒、广告运营商拿出一定版面、一定时段开展公益普法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并积极创建公益普法品牌栏目。</w:t>
      </w:r>
    </w:p>
    <w:p w14:paraId="58F6AE6B">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.健全普法志愿者服务机制。</w:t>
      </w:r>
      <w:r>
        <w:rPr>
          <w:rFonts w:hint="eastAsia" w:ascii="仿宋_GB2312" w:hAnsi="仿宋_GB2312" w:eastAsia="仿宋_GB2312" w:cs="仿宋_GB2312"/>
          <w:sz w:val="32"/>
          <w:szCs w:val="32"/>
        </w:rPr>
        <w:t>建立以大学生、法律服务人员等为主的普法志愿者队伍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并加强普法讲师团、专业普法宣讲团建设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定期组织开展普法宣传活动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调动和凝聚更多社会力量参与全民普法。</w:t>
      </w:r>
    </w:p>
    <w:p w14:paraId="442CC746">
      <w:pPr>
        <w:ind w:firstLine="640" w:firstLineChars="200"/>
        <w:rPr>
          <w:rFonts w:hint="eastAsia" w:ascii="黑体" w:hAnsi="黑体" w:eastAsia="黑体" w:cs="黑体"/>
          <w:sz w:val="32"/>
          <w:szCs w:val="32"/>
        </w:rPr>
      </w:pPr>
      <w:r>
        <w:rPr>
          <w:rFonts w:hint="eastAsia" w:ascii="黑体" w:hAnsi="黑体" w:eastAsia="黑体" w:cs="黑体"/>
          <w:sz w:val="32"/>
          <w:szCs w:val="32"/>
        </w:rPr>
        <w:t>七、坚持注重实效</w:t>
      </w:r>
      <w:r>
        <w:rPr>
          <w:rFonts w:hint="eastAsia" w:ascii="黑体" w:hAnsi="黑体" w:eastAsia="黑体" w:cs="黑体"/>
          <w:sz w:val="32"/>
          <w:szCs w:val="32"/>
          <w:lang w:eastAsia="zh-CN"/>
        </w:rPr>
        <w:t>，</w:t>
      </w:r>
      <w:r>
        <w:rPr>
          <w:rFonts w:hint="eastAsia" w:ascii="黑体" w:hAnsi="黑体" w:eastAsia="黑体" w:cs="黑体"/>
          <w:sz w:val="32"/>
          <w:szCs w:val="32"/>
        </w:rPr>
        <w:t>精心组织“八五”普法总结验收</w:t>
      </w:r>
    </w:p>
    <w:p w14:paraId="70200DB0">
      <w:pPr>
        <w:ind w:firstLine="640" w:firstLineChars="200"/>
        <w:rPr>
          <w:rFonts w:hint="eastAsia" w:ascii="仿宋_GB2312" w:hAnsi="仿宋_GB2312" w:eastAsia="仿宋_GB2312" w:cs="仿宋_GB2312"/>
          <w:strike/>
          <w:dstrike w:val="0"/>
          <w:color w:val="FF0000"/>
          <w:sz w:val="32"/>
          <w:szCs w:val="32"/>
          <w:lang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.开展“八五”普法总结验收。</w:t>
      </w:r>
      <w:r>
        <w:rPr>
          <w:rFonts w:hint="eastAsia" w:ascii="仿宋_GB2312" w:hAnsi="仿宋_GB2312" w:eastAsia="仿宋_GB2312" w:cs="仿宋_GB2312"/>
          <w:sz w:val="32"/>
          <w:szCs w:val="32"/>
          <w:lang w:val="en-US" w:eastAsia="zh-CN"/>
        </w:rPr>
        <w:t>根据上级部署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组织开展“八五”普法总结验收活动</w:t>
      </w:r>
      <w:r>
        <w:rPr>
          <w:rFonts w:hint="eastAsia" w:ascii="仿宋_GB2312" w:hAnsi="仿宋_GB2312" w:eastAsia="仿宋_GB2312" w:cs="仿宋_GB2312"/>
          <w:sz w:val="32"/>
          <w:szCs w:val="32"/>
          <w:lang w:eastAsia="zh-CN"/>
        </w:rPr>
        <w:t>。</w:t>
      </w:r>
      <w:bookmarkStart w:id="0" w:name="_GoBack"/>
      <w:bookmarkEnd w:id="0"/>
    </w:p>
    <w:p w14:paraId="484994EE">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.谋划“九五”普法相关工作。</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历城</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在广泛调查研究基础上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组织力量做好起草编制“九五”普法规划的准备工作。</w:t>
      </w:r>
    </w:p>
    <w:p w14:paraId="6FF208EA">
      <w:pPr>
        <w:ind w:firstLine="640" w:firstLineChars="200"/>
        <w:rPr>
          <w:rFonts w:hint="eastAsia" w:ascii="仿宋_GB2312" w:hAnsi="仿宋_GB2312" w:eastAsia="仿宋_GB2312" w:cs="仿宋_GB2312"/>
          <w:sz w:val="32"/>
          <w:szCs w:val="32"/>
        </w:rPr>
      </w:pPr>
    </w:p>
    <w:p w14:paraId="5078BDA8">
      <w:pPr>
        <w:ind w:firstLine="640" w:firstLineChars="200"/>
        <w:rPr>
          <w:rFonts w:hint="eastAsia" w:ascii="仿宋_GB2312" w:hAnsi="仿宋_GB2312" w:eastAsia="仿宋_GB2312" w:cs="仿宋_GB2312"/>
          <w:sz w:val="32"/>
          <w:szCs w:val="32"/>
        </w:rPr>
      </w:pPr>
    </w:p>
    <w:p w14:paraId="3551D42C">
      <w:pPr>
        <w:ind w:firstLine="640" w:firstLineChars="200"/>
        <w:rPr>
          <w:rFonts w:hint="eastAsia" w:ascii="仿宋_GB2312" w:hAnsi="仿宋_GB2312" w:eastAsia="仿宋_GB2312" w:cs="仿宋_GB2312"/>
          <w:sz w:val="32"/>
          <w:szCs w:val="32"/>
        </w:rPr>
      </w:pPr>
    </w:p>
    <w:p w14:paraId="7A20DCDB">
      <w:pPr>
        <w:ind w:firstLine="640" w:firstLineChars="200"/>
        <w:rPr>
          <w:rFonts w:hint="eastAsia" w:ascii="仿宋_GB2312" w:hAnsi="仿宋_GB2312" w:eastAsia="仿宋_GB2312" w:cs="仿宋_GB2312"/>
          <w:sz w:val="32"/>
          <w:szCs w:val="32"/>
        </w:rPr>
      </w:pPr>
    </w:p>
    <w:p w14:paraId="52C30066">
      <w:pPr>
        <w:pStyle w:val="2"/>
        <w:rPr>
          <w:rFonts w:hint="eastAsia"/>
        </w:rPr>
      </w:pPr>
    </w:p>
    <w:p w14:paraId="0AB96EE0">
      <w:pPr>
        <w:ind w:firstLine="640" w:firstLineChars="200"/>
        <w:rPr>
          <w:rFonts w:hint="eastAsia" w:ascii="仿宋_GB2312" w:hAnsi="仿宋_GB2312" w:eastAsia="仿宋_GB2312" w:cs="仿宋_GB2312"/>
          <w:sz w:val="32"/>
          <w:szCs w:val="32"/>
        </w:rPr>
      </w:pPr>
    </w:p>
    <w:p w14:paraId="3817858F">
      <w:pPr>
        <w:pStyle w:val="2"/>
        <w:rPr>
          <w:rFonts w:hint="eastAsia" w:ascii="仿宋_GB2312" w:hAnsi="仿宋_GB2312" w:eastAsia="仿宋_GB2312" w:cs="仿宋_GB2312"/>
          <w:sz w:val="32"/>
          <w:szCs w:val="32"/>
        </w:rPr>
      </w:pPr>
    </w:p>
    <w:p w14:paraId="462A87B8">
      <w:pPr>
        <w:rPr>
          <w:rFonts w:hint="eastAsia" w:ascii="仿宋_GB2312" w:hAnsi="仿宋_GB2312" w:eastAsia="仿宋_GB2312" w:cs="仿宋_GB2312"/>
          <w:sz w:val="32"/>
          <w:szCs w:val="32"/>
        </w:rPr>
      </w:pPr>
    </w:p>
    <w:p w14:paraId="236D88DD">
      <w:pPr>
        <w:pStyle w:val="2"/>
        <w:rPr>
          <w:rFonts w:hint="eastAsia"/>
        </w:rPr>
      </w:pPr>
    </w:p>
    <w:p w14:paraId="14291D4C">
      <w:pPr>
        <w:ind w:firstLine="640" w:firstLineChars="200"/>
        <w:rPr>
          <w:rFonts w:hint="eastAsia" w:ascii="仿宋_GB2312" w:hAnsi="仿宋_GB2312" w:eastAsia="仿宋_GB2312" w:cs="仿宋_GB2312"/>
          <w:sz w:val="32"/>
          <w:szCs w:val="32"/>
        </w:rPr>
      </w:pPr>
    </w:p>
    <w:p w14:paraId="28CFE6C1">
      <w:pPr>
        <w:pStyle w:val="7"/>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5485B08">
      <w:pPr>
        <w:keepNext w:val="0"/>
        <w:keepLines w:val="0"/>
        <w:pageBreakBefore w:val="0"/>
        <w:widowControl w:val="0"/>
        <w:kinsoku/>
        <w:wordWrap/>
        <w:overflowPunct/>
        <w:topLinePunct w:val="0"/>
        <w:autoSpaceDE/>
        <w:autoSpaceDN/>
        <w:bidi w:val="0"/>
        <w:adjustRightInd w:val="0"/>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75pt;height:0pt;width:442.2pt;z-index:251660288;mso-width-relative:page;mso-height-relative:page;" filled="f" stroked="t" coordsize="21600,21600" o:gfxdata="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nA4S0QAAAAUBAAAPAAAAAAAAAAEAIAAAACIAAABkcnMvZG93bnJldi54bWxQSwECFAAUAAAA&#10;CACHTuJAEXPTff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421005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3.15pt;height:0pt;width:442.2pt;z-index:251661312;mso-width-relative:page;mso-height-relative:page;" filled="f" stroked="t" coordsize="21600,21600" o:gfxdata="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hPop0wAAAAcBAAAPAAAAAAAAAAEAIAAAACIAAABkcnMvZG93bnJldi54bWxQSwECFAAU&#10;AAAACACHTuJAJ2SfpPYBAADk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 xml:space="preserve">济南市历城区司法局办公室         </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20</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日印发</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B0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22013">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722013">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26911"/>
    <w:rsid w:val="00361574"/>
    <w:rsid w:val="02297AE4"/>
    <w:rsid w:val="02AA2CFE"/>
    <w:rsid w:val="0B4F3474"/>
    <w:rsid w:val="0F7B7363"/>
    <w:rsid w:val="1C5A0D28"/>
    <w:rsid w:val="1C7C42DE"/>
    <w:rsid w:val="1D0460DA"/>
    <w:rsid w:val="1D272240"/>
    <w:rsid w:val="234833E7"/>
    <w:rsid w:val="2B0F73D3"/>
    <w:rsid w:val="2B6C2A56"/>
    <w:rsid w:val="2C322CE5"/>
    <w:rsid w:val="2FEA1BA7"/>
    <w:rsid w:val="2FEB6F25"/>
    <w:rsid w:val="3038011D"/>
    <w:rsid w:val="345717F1"/>
    <w:rsid w:val="34976719"/>
    <w:rsid w:val="356F02E0"/>
    <w:rsid w:val="399C3F3A"/>
    <w:rsid w:val="3B87420E"/>
    <w:rsid w:val="3CE808C1"/>
    <w:rsid w:val="3E846C23"/>
    <w:rsid w:val="41FB067E"/>
    <w:rsid w:val="441F3676"/>
    <w:rsid w:val="46FD7795"/>
    <w:rsid w:val="491D6CF7"/>
    <w:rsid w:val="4A5358A9"/>
    <w:rsid w:val="4A946440"/>
    <w:rsid w:val="4B03206F"/>
    <w:rsid w:val="4BF308FF"/>
    <w:rsid w:val="4D01600E"/>
    <w:rsid w:val="4EFE03C3"/>
    <w:rsid w:val="5243507E"/>
    <w:rsid w:val="54B0341C"/>
    <w:rsid w:val="55186629"/>
    <w:rsid w:val="55D122F6"/>
    <w:rsid w:val="56E46B61"/>
    <w:rsid w:val="581D27F0"/>
    <w:rsid w:val="5B213DF6"/>
    <w:rsid w:val="5B215592"/>
    <w:rsid w:val="5C5A50EA"/>
    <w:rsid w:val="5D437773"/>
    <w:rsid w:val="5DF64FF0"/>
    <w:rsid w:val="5E896C77"/>
    <w:rsid w:val="5ED546B7"/>
    <w:rsid w:val="61643B1B"/>
    <w:rsid w:val="6B226911"/>
    <w:rsid w:val="727F515C"/>
    <w:rsid w:val="75ED0690"/>
    <w:rsid w:val="76C26739"/>
    <w:rsid w:val="776214CF"/>
    <w:rsid w:val="78E8332F"/>
    <w:rsid w:val="79481D03"/>
    <w:rsid w:val="7AAA326B"/>
    <w:rsid w:val="7BF4575F"/>
    <w:rsid w:val="7D8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 21"/>
    <w:basedOn w:val="1"/>
    <w:autoRedefine/>
    <w:qFormat/>
    <w:uiPriority w:val="99"/>
    <w:pPr>
      <w:ind w:left="420" w:leftChars="200"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3673</Words>
  <Characters>3746</Characters>
  <Lines>0</Lines>
  <Paragraphs>0</Paragraphs>
  <TotalTime>6</TotalTime>
  <ScaleCrop>false</ScaleCrop>
  <LinksUpToDate>false</LinksUpToDate>
  <CharactersWithSpaces>3786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2025-04-07T02:58:00Z</dcterms:created>
  <dc:creator>清雪若云</dc:creator>
  <cp:lastModifiedBy>清雪若云</cp:lastModifiedBy>
  <dcterms:modified xsi:type="dcterms:W3CDTF">2025-04-10T00:44:10Z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26E7130567DC4CADA169536B53F0B628_11</vt:lpwstr>
  </property>
  <property fmtid="{D5CDD505-2E9C-101B-9397-08002B2CF9AE}" pid="4" name="KSOTemplateDocerSaveRecord">
    <vt:lpwstr>eyJoZGlkIjoiODgwZDA2NTU0ZTdmMGNjMWY4ZDA0YTNiNTQwNjZmNzQiLCJ1c2VySWQiOiI2OTIyNDQyNTkifQ==</vt:lpwstr>
  </property>
</Properties>
</file>