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37BFD">
      <w:pPr>
        <w:ind w:firstLine="0" w:firstLineChars="0"/>
        <w:jc w:val="center"/>
        <w:rPr>
          <w:rFonts w:hint="eastAsia" w:ascii="方正小标宋简体" w:hAnsi="方正小标宋简体" w:eastAsia="方正小标宋简体" w:cs="方正小标宋简体"/>
          <w:sz w:val="44"/>
          <w:szCs w:val="44"/>
          <w:highlight w:val="red"/>
        </w:rPr>
      </w:pPr>
    </w:p>
    <w:p w14:paraId="775174B6">
      <w:pPr>
        <w:ind w:firstLine="0" w:firstLineChars="0"/>
        <w:jc w:val="center"/>
        <w:rPr>
          <w:rFonts w:hint="eastAsia" w:ascii="方正小标宋简体" w:hAnsi="方正小标宋简体" w:eastAsia="方正小标宋简体" w:cs="方正小标宋简体"/>
          <w:sz w:val="44"/>
          <w:szCs w:val="44"/>
          <w:highlight w:val="red"/>
        </w:rPr>
      </w:pPr>
    </w:p>
    <w:p w14:paraId="3E3C53FC">
      <w:pPr>
        <w:ind w:firstLine="0" w:firstLineChars="0"/>
        <w:jc w:val="center"/>
        <w:rPr>
          <w:rFonts w:hint="eastAsia" w:ascii="方正小标宋简体" w:hAnsi="方正小标宋简体" w:eastAsia="方正小标宋简体" w:cs="方正小标宋简体"/>
          <w:sz w:val="44"/>
          <w:szCs w:val="44"/>
          <w:highlight w:val="red"/>
        </w:rPr>
      </w:pPr>
    </w:p>
    <w:p w14:paraId="738F8C46">
      <w:pPr>
        <w:ind w:firstLine="0" w:firstLineChars="0"/>
        <w:jc w:val="center"/>
        <w:rPr>
          <w:rFonts w:hint="eastAsia" w:ascii="方正小标宋简体" w:hAnsi="方正小标宋简体" w:eastAsia="方正小标宋简体" w:cs="方正小标宋简体"/>
          <w:sz w:val="44"/>
          <w:szCs w:val="44"/>
          <w:highlight w:val="red"/>
        </w:rPr>
      </w:pPr>
    </w:p>
    <w:p w14:paraId="7DDC06DC">
      <w:pPr>
        <w:ind w:firstLine="0" w:firstLineChars="0"/>
        <w:jc w:val="center"/>
        <w:rPr>
          <w:rFonts w:hint="eastAsia" w:ascii="方正小标宋简体" w:hAnsi="方正小标宋简体" w:eastAsia="方正小标宋简体" w:cs="方正小标宋简体"/>
          <w:sz w:val="44"/>
          <w:szCs w:val="44"/>
          <w:highlight w:val="red"/>
        </w:rPr>
      </w:pPr>
    </w:p>
    <w:p w14:paraId="272079C3">
      <w:pPr>
        <w:ind w:firstLine="0" w:firstLineChars="0"/>
        <w:jc w:val="center"/>
        <w:rPr>
          <w:rFonts w:hint="eastAsia" w:ascii="方正小标宋简体" w:hAnsi="方正小标宋简体" w:eastAsia="方正小标宋简体" w:cs="方正小标宋简体"/>
          <w:sz w:val="32"/>
          <w:szCs w:val="32"/>
          <w:highlight w:val="red"/>
        </w:rPr>
      </w:pPr>
    </w:p>
    <w:p w14:paraId="020680A4">
      <w:pPr>
        <w:ind w:firstLine="0" w:firstLineChars="0"/>
        <w:jc w:val="center"/>
        <w:rPr>
          <w:rFonts w:hint="eastAsia" w:ascii="方正小标宋简体" w:hAnsi="方正小标宋简体" w:eastAsia="方正小标宋简体" w:cs="方正小标宋简体"/>
          <w:sz w:val="32"/>
          <w:szCs w:val="32"/>
          <w:highlight w:val="red"/>
        </w:rPr>
      </w:pPr>
    </w:p>
    <w:p w14:paraId="2A2F0190">
      <w:pPr>
        <w:ind w:firstLine="0" w:firstLineChars="0"/>
        <w:jc w:val="center"/>
        <w:rPr>
          <w:rFonts w:hint="eastAsia" w:ascii="方正小标宋简体" w:hAnsi="方正小标宋简体" w:eastAsia="方正小标宋简体" w:cs="方正小标宋简体"/>
          <w:sz w:val="44"/>
          <w:szCs w:val="44"/>
          <w:highlight w:val="red"/>
        </w:rPr>
      </w:pPr>
    </w:p>
    <w:p w14:paraId="3BBD9534">
      <w:pPr>
        <w:ind w:firstLine="0" w:firstLineChars="0"/>
        <w:jc w:val="center"/>
        <w:rPr>
          <w:rFonts w:hint="eastAsia" w:ascii="方正小标宋简体" w:hAnsi="方正小标宋简体" w:eastAsia="方正小标宋简体" w:cs="方正小标宋简体"/>
          <w:sz w:val="44"/>
          <w:szCs w:val="44"/>
          <w:highlight w:val="red"/>
        </w:rPr>
      </w:pPr>
    </w:p>
    <w:p w14:paraId="700ED74F">
      <w:pPr>
        <w:ind w:firstLine="0" w:firstLineChars="0"/>
        <w:jc w:val="center"/>
        <w:rPr>
          <w:rFonts w:hint="eastAsia" w:ascii="方正小标宋简体" w:hAnsi="方正小标宋简体" w:eastAsia="方正小标宋简体" w:cs="方正小标宋简体"/>
          <w:sz w:val="44"/>
          <w:szCs w:val="44"/>
          <w:highlight w:val="red"/>
        </w:rPr>
      </w:pPr>
    </w:p>
    <w:p w14:paraId="6528A362">
      <w:pPr>
        <w:ind w:firstLine="0" w:firstLineChars="0"/>
        <w:jc w:val="center"/>
        <w:rPr>
          <w:rFonts w:hint="eastAsia" w:ascii="方正小标宋简体" w:hAnsi="方正小标宋简体" w:eastAsia="方正小标宋简体" w:cs="方正小标宋简体"/>
          <w:sz w:val="44"/>
          <w:szCs w:val="44"/>
        </w:rPr>
      </w:pPr>
    </w:p>
    <w:p w14:paraId="0B198C3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济南市历城区人民政府办公室</w:t>
      </w:r>
    </w:p>
    <w:p w14:paraId="33867CD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关于印发</w:t>
      </w:r>
      <w:r>
        <w:rPr>
          <w:rFonts w:hint="eastAsia" w:ascii="方正小标宋简体" w:hAnsi="方正小标宋简体" w:eastAsia="方正小标宋简体" w:cs="方正小标宋简体"/>
          <w:sz w:val="44"/>
          <w:szCs w:val="44"/>
          <w:lang w:val="en-US" w:eastAsia="zh-CN"/>
        </w:rPr>
        <w:t>2025年济南市历城区政务公开</w:t>
      </w:r>
    </w:p>
    <w:p w14:paraId="12A4F4B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工作要点的通知</w:t>
      </w:r>
    </w:p>
    <w:p w14:paraId="1D7C1AB2">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方正小标宋简体" w:hAnsi="方正小标宋简体" w:eastAsia="方正小标宋简体" w:cs="方正小标宋简体"/>
          <w:sz w:val="44"/>
          <w:szCs w:val="44"/>
        </w:rPr>
      </w:pPr>
    </w:p>
    <w:p w14:paraId="69BDAE8A">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各街道办事处，区政府各部门（单位）：</w:t>
      </w:r>
    </w:p>
    <w:p w14:paraId="61D9BE5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《2025年济南市历城区政务公开工作要点》已经区政府同意，现印发给你们，请认真抓好贯彻落实。</w:t>
      </w:r>
    </w:p>
    <w:p w14:paraId="48B58EFB">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lang w:val="en-US" w:eastAsia="zh-CN"/>
        </w:rPr>
      </w:pPr>
    </w:p>
    <w:p w14:paraId="1E7E4620">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lang w:val="en-US" w:eastAsia="zh-CN"/>
        </w:rPr>
      </w:pPr>
    </w:p>
    <w:p w14:paraId="59184A94">
      <w:pPr>
        <w:keepNext w:val="0"/>
        <w:keepLines w:val="0"/>
        <w:pageBreakBefore w:val="0"/>
        <w:widowControl w:val="0"/>
        <w:kinsoku/>
        <w:wordWrap/>
        <w:overflowPunct/>
        <w:topLinePunct w:val="0"/>
        <w:autoSpaceDE/>
        <w:autoSpaceDN/>
        <w:bidi w:val="0"/>
        <w:adjustRightInd/>
        <w:snapToGrid/>
        <w:ind w:firstLine="0" w:firstLineChars="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济南市历城区人民政府办公室</w:t>
      </w:r>
    </w:p>
    <w:p w14:paraId="0F05948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32"/>
          <w:szCs w:val="32"/>
          <w:lang w:val="en-US" w:eastAsia="zh-CN"/>
        </w:rPr>
      </w:pPr>
      <w:r>
        <w:rPr>
          <w:rFonts w:hint="eastAsia" w:cs="仿宋_GB2312"/>
          <w:sz w:val="32"/>
          <w:szCs w:val="32"/>
          <w:lang w:val="en-US" w:eastAsia="zh-CN"/>
        </w:rPr>
        <w:t xml:space="preserve">                           </w:t>
      </w:r>
      <w:r>
        <w:rPr>
          <w:rFonts w:hint="eastAsia" w:ascii="仿宋_GB2312" w:hAnsi="仿宋_GB2312" w:eastAsia="仿宋_GB2312" w:cs="仿宋_GB2312"/>
          <w:sz w:val="32"/>
          <w:szCs w:val="32"/>
          <w:lang w:val="en-US" w:eastAsia="zh-CN"/>
        </w:rPr>
        <w:t>2025年7月</w:t>
      </w:r>
      <w:r>
        <w:rPr>
          <w:rFonts w:hint="eastAsia" w:cs="仿宋_GB2312"/>
          <w:sz w:val="32"/>
          <w:szCs w:val="32"/>
          <w:lang w:val="en-US" w:eastAsia="zh-CN"/>
        </w:rPr>
        <w:t>9</w:t>
      </w:r>
      <w:bookmarkStart w:id="8" w:name="_GoBack"/>
      <w:bookmarkEnd w:id="8"/>
      <w:r>
        <w:rPr>
          <w:rFonts w:hint="eastAsia" w:ascii="仿宋_GB2312" w:hAnsi="仿宋_GB2312" w:eastAsia="仿宋_GB2312" w:cs="仿宋_GB2312"/>
          <w:sz w:val="32"/>
          <w:szCs w:val="32"/>
          <w:lang w:val="en-US" w:eastAsia="zh-CN"/>
        </w:rPr>
        <w:t>日</w:t>
      </w:r>
    </w:p>
    <w:p w14:paraId="60B34F3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32"/>
          <w:szCs w:val="32"/>
          <w:lang w:val="en-US" w:eastAsia="zh-CN"/>
        </w:rPr>
      </w:pPr>
    </w:p>
    <w:p w14:paraId="617D9955">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此件</w:t>
      </w:r>
      <w:r>
        <w:rPr>
          <w:rFonts w:hint="eastAsia" w:ascii="仿宋_GB2312" w:hAnsi="仿宋_GB2312" w:eastAsia="仿宋_GB2312" w:cs="仿宋_GB2312"/>
          <w:sz w:val="32"/>
          <w:szCs w:val="32"/>
          <w:lang w:val="en-US" w:eastAsia="zh-CN"/>
        </w:rPr>
        <w:t>主动公开）</w:t>
      </w:r>
    </w:p>
    <w:p w14:paraId="4BE75786">
      <w:pPr>
        <w:ind w:firstLine="0" w:firstLineChars="0"/>
        <w:jc w:val="center"/>
        <w:rPr>
          <w:rFonts w:hint="eastAsia" w:ascii="方正小标宋简体" w:hAnsi="方正小标宋简体" w:eastAsia="方正小标宋简体" w:cs="方正小标宋简体"/>
          <w:sz w:val="44"/>
          <w:szCs w:val="44"/>
        </w:rPr>
      </w:pPr>
    </w:p>
    <w:p w14:paraId="2E2CEA95">
      <w:pPr>
        <w:ind w:firstLine="0" w:firstLineChars="0"/>
        <w:jc w:val="center"/>
        <w:rPr>
          <w:rFonts w:hint="eastAsia" w:ascii="方正小标宋简体" w:hAnsi="方正小标宋简体" w:eastAsia="方正小标宋简体" w:cs="方正小标宋简体"/>
          <w:sz w:val="44"/>
          <w:szCs w:val="44"/>
        </w:rPr>
      </w:pPr>
    </w:p>
    <w:p w14:paraId="136231AD">
      <w:pPr>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2025年济南市历城区政务公开工作要点</w:t>
      </w:r>
    </w:p>
    <w:p w14:paraId="78802252">
      <w:pPr>
        <w:ind w:firstLine="640"/>
        <w:rPr>
          <w:rFonts w:hint="eastAsia"/>
          <w:szCs w:val="32"/>
        </w:rPr>
      </w:pPr>
    </w:p>
    <w:p w14:paraId="66B1AC62">
      <w:pPr>
        <w:widowControl/>
        <w:ind w:firstLine="640"/>
        <w:rPr>
          <w:rFonts w:hint="eastAsia"/>
        </w:rPr>
      </w:pPr>
      <w:r>
        <w:rPr>
          <w:rFonts w:hint="eastAsia"/>
        </w:rPr>
        <w:t>2025年</w:t>
      </w:r>
      <w:r>
        <w:rPr>
          <w:rFonts w:hint="eastAsia" w:cstheme="minorBidi"/>
          <w14:ligatures w14:val="standardContextual"/>
        </w:rPr>
        <w:t>政务公开工作的总</w:t>
      </w:r>
      <w:r>
        <w:rPr>
          <w:rFonts w:hint="eastAsia"/>
        </w:rPr>
        <w:t>体要求是：以习近平新时代中国特色社会主义思想为指导，深入贯彻党的二十大和二十届二中、三中全会精神，认真落实习近平总书记对山东、对济南工作的重要指示要求，准确把握新时代政务公开职责定位，紧紧围绕区委、区政府重点工作任务，持续深化落实“4433”工作推进体系，发挥政务公开促落实、优服务、强监管作用，为奋力谱写省会社会主义现代化强区建设作出更大的贡献。</w:t>
      </w:r>
    </w:p>
    <w:p w14:paraId="492F0A89">
      <w:pPr>
        <w:ind w:firstLine="640"/>
        <w:rPr>
          <w:rFonts w:hint="eastAsia" w:ascii="黑体" w:hAnsi="黑体" w:eastAsia="黑体" w:cs="黑体"/>
          <w:szCs w:val="32"/>
        </w:rPr>
      </w:pPr>
      <w:r>
        <w:rPr>
          <w:rFonts w:hint="eastAsia" w:ascii="黑体" w:hAnsi="黑体" w:eastAsia="黑体" w:cs="黑体"/>
          <w:szCs w:val="32"/>
        </w:rPr>
        <w:t>一、推进政务公开重点工作</w:t>
      </w:r>
    </w:p>
    <w:p w14:paraId="2CB408EE">
      <w:pPr>
        <w:ind w:firstLine="640"/>
        <w:rPr>
          <w:rFonts w:hint="eastAsia" w:ascii="楷体_GB2312" w:eastAsia="楷体_GB2312"/>
        </w:rPr>
      </w:pPr>
      <w:r>
        <w:rPr>
          <w:rFonts w:hint="eastAsia" w:ascii="楷体_GB2312" w:eastAsia="楷体_GB2312"/>
          <w:szCs w:val="32"/>
        </w:rPr>
        <w:t>（一）以政务公开促进政策落实。</w:t>
      </w:r>
      <w:bookmarkStart w:id="0" w:name="OLE_LINK5"/>
      <w:r>
        <w:rPr>
          <w:rFonts w:hint="eastAsia"/>
        </w:rPr>
        <w:t>以“项目提升年”为总牵引，</w:t>
      </w:r>
      <w:bookmarkEnd w:id="0"/>
      <w:r>
        <w:rPr>
          <w:rFonts w:hint="eastAsia"/>
        </w:rPr>
        <w:t>重点做好打造高质量发展增长极、推动经济量质齐升、发展新质生产力以及全面推进乡村振兴、数字历城、平安历城建设等方面信息公开工作。围绕加快提振消费，配合做好“泉城购”2025济南消费季、消费品以旧换新等方面信息公开。加强对城市更新支持、购房补贴奖励等方面的政策发布和解读，持续做好保障性住房、老旧小区改造等领域信息公开。围绕高校毕业生、农民工、退役军人等重点群体，加大就业帮扶、职业技能培训、社会保险待遇等政策的解读和信息推送力度。重点推进学前教育、义务教育、特殊教育、职业教育、民办教育等方面的信息公开。加强养老服务扶持政策和养老机构监管信息公开。逐步推进城市医疗集团建设信息公开。</w:t>
      </w:r>
      <w:r>
        <w:rPr>
          <w:rFonts w:hint="eastAsia" w:ascii="楷体_GB2312" w:eastAsia="楷体_GB2312"/>
        </w:rPr>
        <w:t>（责任单位：各街道办事处、区政府各部门）</w:t>
      </w:r>
    </w:p>
    <w:p w14:paraId="11C7602A">
      <w:pPr>
        <w:ind w:firstLine="640"/>
        <w:rPr>
          <w:rFonts w:hint="eastAsia" w:ascii="楷体_GB2312" w:eastAsia="楷体_GB2312"/>
        </w:rPr>
      </w:pPr>
      <w:r>
        <w:rPr>
          <w:rFonts w:hint="eastAsia" w:ascii="楷体_GB2312" w:eastAsia="楷体_GB2312"/>
          <w:szCs w:val="32"/>
        </w:rPr>
        <w:t>（二）以政务公开优化政务服务。</w:t>
      </w:r>
      <w:r>
        <w:rPr>
          <w:rFonts w:hint="eastAsia"/>
          <w:szCs w:val="32"/>
        </w:rPr>
        <w:t>围绕“高效办成一件事”，以优化企业、群众体验为导向，</w:t>
      </w:r>
      <w:r>
        <w:rPr>
          <w:rFonts w:hint="eastAsia"/>
        </w:rPr>
        <w:t>规范发布本地区政务服务事项目录、办事指南和中介服务事项清单，推动政务服务事项集成式、一站式公开。加强市场监管制度规则公开，及时发布建设高标准市场体系政策措施。密切跟踪全国统一的市场准入负面清单，根据动态调整情况做好清单事项内容、主管部门等信息的更新发布工作。依托</w:t>
      </w:r>
      <w:bookmarkStart w:id="1" w:name="OLE_LINK4"/>
      <w:r>
        <w:rPr>
          <w:rFonts w:hint="eastAsia"/>
        </w:rPr>
        <w:t>12345市民服务热线</w:t>
      </w:r>
      <w:bookmarkEnd w:id="1"/>
      <w:r>
        <w:rPr>
          <w:rFonts w:hint="eastAsia"/>
        </w:rPr>
        <w:t>、区政府门户网站意见征集等，广泛听取社会各界关于优化我区营商环境的意见建议。</w:t>
      </w:r>
      <w:r>
        <w:rPr>
          <w:rFonts w:hint="eastAsia" w:ascii="楷体_GB2312" w:eastAsia="楷体_GB2312"/>
        </w:rPr>
        <w:t>（责任单位：各街道办事处、区政府各部门）</w:t>
      </w:r>
    </w:p>
    <w:p w14:paraId="28C0EC99">
      <w:pPr>
        <w:ind w:firstLine="640"/>
        <w:rPr>
          <w:rFonts w:hint="eastAsia" w:ascii="楷体_GB2312" w:eastAsia="楷体_GB2312"/>
        </w:rPr>
      </w:pPr>
      <w:r>
        <w:rPr>
          <w:rFonts w:hint="eastAsia" w:ascii="楷体_GB2312" w:eastAsia="楷体_GB2312"/>
          <w:szCs w:val="32"/>
        </w:rPr>
        <w:t>（三）以政务公开提高监管效能。</w:t>
      </w:r>
      <w:r>
        <w:rPr>
          <w:rFonts w:hint="eastAsia"/>
        </w:rPr>
        <w:t>严格落实行政执法公示制度，规范涉企行政执法行为，按规定公布行政检查事项、行政检查计划等内容。持续做好权责清单依法公开和动态更新，及时公开“双随机、一公开”信息。规范招投标信息公开，加大招标公告、中标合同、履约信息公开力度，招标公告要载明招标投标行政监督部门。动态更新并及时公开本地区执行的行政事业性收费和政府性基金目录清单。将排污单位和第三方治理、运维、检测机构弄虚作假行为纳入信用记录，依法向社会公布。定期公布空气质量、水质检测、重污染天气应急等信息，引导公众做好重污染天气期间的健康防护。深化公共企事业单位信息公开，强化监督管理，规范公开内容，统一公开目录，完善咨询服务，促进信息公开与业务深度融合。</w:t>
      </w:r>
      <w:r>
        <w:rPr>
          <w:rFonts w:hint="eastAsia" w:ascii="楷体_GB2312" w:eastAsia="楷体_GB2312"/>
        </w:rPr>
        <w:t>（责任单位：各街道办事处、区政府各部门）</w:t>
      </w:r>
    </w:p>
    <w:p w14:paraId="0C416C0C">
      <w:pPr>
        <w:ind w:firstLine="640"/>
        <w:rPr>
          <w:rFonts w:hint="eastAsia" w:ascii="黑体" w:hAnsi="黑体" w:eastAsia="黑体" w:cs="黑体"/>
          <w:szCs w:val="32"/>
        </w:rPr>
      </w:pPr>
      <w:r>
        <w:rPr>
          <w:rFonts w:hint="eastAsia" w:ascii="黑体" w:hAnsi="黑体" w:eastAsia="黑体" w:cs="黑体"/>
          <w:szCs w:val="32"/>
        </w:rPr>
        <w:t>二、完善政务公开工作标准</w:t>
      </w:r>
    </w:p>
    <w:p w14:paraId="44DAC042">
      <w:pPr>
        <w:ind w:firstLine="640"/>
        <w:rPr>
          <w:rFonts w:hint="eastAsia"/>
          <w:szCs w:val="32"/>
        </w:rPr>
      </w:pPr>
      <w:r>
        <w:rPr>
          <w:rFonts w:hint="eastAsia" w:ascii="楷体_GB2312" w:eastAsia="楷体_GB2312"/>
          <w:szCs w:val="32"/>
        </w:rPr>
        <w:t>（四）完善主动公开机制。</w:t>
      </w:r>
      <w:r>
        <w:rPr>
          <w:rFonts w:hint="eastAsia"/>
          <w:szCs w:val="32"/>
        </w:rPr>
        <w:t>健全主动公开事项目录制度，做到</w:t>
      </w:r>
      <w:bookmarkStart w:id="2" w:name="OLE_LINK1"/>
      <w:r>
        <w:rPr>
          <w:rFonts w:hint="eastAsia"/>
          <w:szCs w:val="32"/>
        </w:rPr>
        <w:t>法定公开事项主动公开到位</w:t>
      </w:r>
      <w:bookmarkEnd w:id="2"/>
      <w:r>
        <w:rPr>
          <w:rFonts w:hint="eastAsia"/>
          <w:szCs w:val="32"/>
        </w:rPr>
        <w:t>。各街道办事处、各部门要持续完善主动公开事项目录，建立较为完备的区、街道两级主动公开事项目录体系。探索将主动公开事项目录嵌入部门业务系统，固化到现有业务流程，促</w:t>
      </w:r>
      <w:r>
        <w:rPr>
          <w:rFonts w:hint="eastAsia"/>
        </w:rPr>
        <w:t>进公开与业务融合发展。选取有条件的街道、部门试点推进已公开信息规范化管理，明确不同类型信息在政府网站、政务新媒体等渠道的公开时限。推动基层政务公开向村（居）延伸，探索适合基层特点的公开渠道，实现与村（居）务公开工作的衔接协同。（</w:t>
      </w:r>
      <w:r>
        <w:rPr>
          <w:rFonts w:hint="eastAsia" w:ascii="楷体_GB2312" w:eastAsia="楷体_GB2312"/>
        </w:rPr>
        <w:t>责任单位：各街道办事处、区政府各部门</w:t>
      </w:r>
      <w:r>
        <w:rPr>
          <w:rFonts w:hint="eastAsia"/>
        </w:rPr>
        <w:t>）</w:t>
      </w:r>
    </w:p>
    <w:p w14:paraId="170E6AC9">
      <w:pPr>
        <w:ind w:firstLine="640"/>
        <w:rPr>
          <w:rFonts w:hint="eastAsia"/>
          <w:szCs w:val="32"/>
        </w:rPr>
      </w:pPr>
      <w:r>
        <w:rPr>
          <w:rFonts w:hint="eastAsia" w:ascii="楷体_GB2312" w:eastAsia="楷体_GB2312"/>
          <w:szCs w:val="32"/>
        </w:rPr>
        <w:t>（五）加强政策解读回应。</w:t>
      </w:r>
      <w:r>
        <w:rPr>
          <w:rFonts w:hint="eastAsia"/>
          <w:szCs w:val="32"/>
        </w:rPr>
        <w:t>严格落实政策文件与解读方案、解读材料同步组织、同步审签、同步部署“三同步”工作制度，将政策解读作为文件审签的重要一环，与政策文件同步录入政府文件库并做好关联展示。建立健全政策全周期解读工作机制，政策出台前，对公开征求意见的政策文件草案同步开展解读；政策出台时，积极采用新闻发布会、撰写解读文章、接受媒体采访等方式全方位、多角度深入解读；政策实施后，针对实施过程中产生的新情况、新问题，组织开展二次解读和跟踪解读。配合做好政务公开与12345市民服务热线融合发展，强化12345热线问答平台的政策咨询作用。</w:t>
      </w:r>
      <w:r>
        <w:rPr>
          <w:rFonts w:hint="eastAsia"/>
        </w:rPr>
        <w:t>（</w:t>
      </w:r>
      <w:r>
        <w:rPr>
          <w:rFonts w:hint="eastAsia" w:ascii="楷体_GB2312" w:eastAsia="楷体_GB2312"/>
        </w:rPr>
        <w:t>责任单位：各街道办事处、区政府各部门</w:t>
      </w:r>
      <w:r>
        <w:rPr>
          <w:rFonts w:hint="eastAsia"/>
        </w:rPr>
        <w:t>）</w:t>
      </w:r>
    </w:p>
    <w:p w14:paraId="1F236D73">
      <w:pPr>
        <w:ind w:firstLine="640"/>
        <w:rPr>
          <w:rFonts w:hint="eastAsia"/>
          <w:szCs w:val="32"/>
        </w:rPr>
      </w:pPr>
      <w:r>
        <w:rPr>
          <w:rFonts w:hint="eastAsia" w:ascii="楷体_GB2312" w:eastAsia="楷体_GB2312"/>
          <w:szCs w:val="32"/>
        </w:rPr>
        <w:t>（六）规范开展依申请公开工作。</w:t>
      </w:r>
      <w:r>
        <w:rPr>
          <w:rFonts w:hint="eastAsia"/>
          <w:szCs w:val="32"/>
        </w:rPr>
        <w:t>认真落实依申请公开全流程办理相关规定，畅通受理渠道，完善配套制度，明确各环节工作要求和时限。定期组织开展依申请公开联合会商，研究疑难、复杂申请件的办理工作，实质解决申请人的合理诉求。对征地拆迁、城市管理、社会保障、物业管理等高频申请领域，推动相关政府信息由依申请公开向主动公开转变。优化全区依申请公开办理系统，丰富功能应用，做好案件跟踪、监督和经典案例库共享，并做好与省市管理平台互联互通。</w:t>
      </w:r>
      <w:r>
        <w:rPr>
          <w:rFonts w:hint="eastAsia"/>
        </w:rPr>
        <w:t>（</w:t>
      </w:r>
      <w:r>
        <w:rPr>
          <w:rFonts w:hint="eastAsia" w:ascii="楷体_GB2312" w:eastAsia="楷体_GB2312"/>
        </w:rPr>
        <w:t>责任单位：各街道办事处、区政府各部门</w:t>
      </w:r>
      <w:r>
        <w:rPr>
          <w:rFonts w:hint="eastAsia"/>
        </w:rPr>
        <w:t>）</w:t>
      </w:r>
    </w:p>
    <w:p w14:paraId="2D2A92BF">
      <w:pPr>
        <w:ind w:firstLine="640"/>
        <w:rPr>
          <w:rFonts w:hint="eastAsia" w:ascii="楷体_GB2312" w:eastAsia="楷体_GB2312"/>
          <w:szCs w:val="32"/>
        </w:rPr>
      </w:pPr>
      <w:r>
        <w:rPr>
          <w:rFonts w:hint="eastAsia" w:ascii="楷体_GB2312" w:eastAsia="楷体_GB2312"/>
          <w:szCs w:val="32"/>
        </w:rPr>
        <w:t>（七）优化政务公开专区建设。</w:t>
      </w:r>
      <w:r>
        <w:rPr>
          <w:rFonts w:hint="eastAsia"/>
          <w:szCs w:val="32"/>
        </w:rPr>
        <w:t>按照</w:t>
      </w:r>
      <w:r>
        <w:rPr>
          <w:szCs w:val="32"/>
        </w:rPr>
        <w:t>节约资源、</w:t>
      </w:r>
      <w:r>
        <w:rPr>
          <w:rFonts w:hint="eastAsia"/>
          <w:szCs w:val="32"/>
        </w:rPr>
        <w:t>便民务实的建设思路，健全完善政务公开专区配套管理制度和运行机制，重点优化政府信息查询、信息公开申请、办事咨询答复等服务，积极开展重要政策现场解读、综合政策咨询、办事流程演示等活动，提高政务公开专区利用率和知晓度。选取</w:t>
      </w:r>
      <w:bookmarkStart w:id="3" w:name="OLE_LINK7"/>
      <w:r>
        <w:rPr>
          <w:rFonts w:hint="eastAsia"/>
          <w:szCs w:val="32"/>
        </w:rPr>
        <w:t>前期建设较为成熟</w:t>
      </w:r>
      <w:bookmarkEnd w:id="3"/>
      <w:r>
        <w:rPr>
          <w:rFonts w:hint="eastAsia"/>
          <w:szCs w:val="32"/>
        </w:rPr>
        <w:t>的政务公开专区作为试点，推进政务公开专区建设向大型商场超市、旅游景区、客运枢纽、综合医院等公共场所延伸，提高各级政务公开专区的服务质效。</w:t>
      </w:r>
      <w:r>
        <w:rPr>
          <w:rFonts w:hint="eastAsia" w:ascii="楷体_GB2312" w:eastAsia="楷体_GB2312"/>
          <w:szCs w:val="32"/>
        </w:rPr>
        <w:t>（责任单位：各街道办事处、区工业和信息化局、区文化和旅游局、区交通运输局、区卫生健康局、区行政审批服务局、济南东站综合服务中心）</w:t>
      </w:r>
    </w:p>
    <w:p w14:paraId="554C652E">
      <w:pPr>
        <w:ind w:firstLine="640"/>
        <w:rPr>
          <w:rFonts w:hint="eastAsia" w:ascii="黑体" w:hAnsi="黑体" w:eastAsia="黑体" w:cs="黑体"/>
          <w:szCs w:val="32"/>
        </w:rPr>
      </w:pPr>
      <w:r>
        <w:rPr>
          <w:rFonts w:hint="eastAsia" w:ascii="黑体" w:hAnsi="黑体" w:eastAsia="黑体" w:cs="黑体"/>
          <w:szCs w:val="32"/>
        </w:rPr>
        <w:t>三、</w:t>
      </w:r>
      <w:bookmarkStart w:id="4" w:name="OLE_LINK6"/>
      <w:r>
        <w:rPr>
          <w:rFonts w:hint="eastAsia" w:ascii="黑体" w:hAnsi="黑体" w:eastAsia="黑体" w:cs="黑体"/>
          <w:szCs w:val="32"/>
        </w:rPr>
        <w:t>深化</w:t>
      </w:r>
      <w:bookmarkStart w:id="5" w:name="OLE_LINK3"/>
      <w:r>
        <w:rPr>
          <w:rFonts w:hint="eastAsia" w:ascii="黑体" w:hAnsi="黑体" w:eastAsia="黑体" w:cs="黑体"/>
          <w:szCs w:val="32"/>
        </w:rPr>
        <w:t>政企政民互动交流</w:t>
      </w:r>
      <w:bookmarkEnd w:id="4"/>
      <w:bookmarkEnd w:id="5"/>
    </w:p>
    <w:p w14:paraId="6ED26D99">
      <w:pPr>
        <w:ind w:firstLine="640"/>
        <w:rPr>
          <w:rFonts w:hint="eastAsia"/>
          <w:szCs w:val="32"/>
        </w:rPr>
      </w:pPr>
      <w:r>
        <w:rPr>
          <w:rFonts w:hint="eastAsia" w:ascii="楷体_GB2312" w:eastAsia="楷体_GB2312"/>
          <w:szCs w:val="32"/>
        </w:rPr>
        <w:t>（八）增强公众参与实效。</w:t>
      </w:r>
      <w:bookmarkStart w:id="6" w:name="OLE_LINK2"/>
      <w:r>
        <w:rPr>
          <w:rFonts w:hint="eastAsia"/>
          <w:szCs w:val="32"/>
        </w:rPr>
        <w:t>坚持做好重大行政决策事项年度目录公开发布和动态调整工作，</w:t>
      </w:r>
      <w:bookmarkEnd w:id="6"/>
      <w:r>
        <w:rPr>
          <w:rFonts w:hint="eastAsia"/>
          <w:szCs w:val="32"/>
        </w:rPr>
        <w:t>健全政策制定公众参与机制。采取征求意见、听证座谈、民意调查等方式，加大政策制定环节公众参与力度；制定涉企政策时，充分听取相关企业和行业协会商会的意见；制定对经济社会发展有重大影响、涉及重大公共利益的政策时，要将公众参与作为决策及执行的必经程序。</w:t>
      </w:r>
      <w:r>
        <w:rPr>
          <w:rFonts w:hint="eastAsia"/>
        </w:rPr>
        <w:t>健全政策执行情况评估机制，围绕政策落实情况、效益满意度、可持续性等因素，开展政策实施效果评价，加强跟踪问效</w:t>
      </w:r>
      <w:r>
        <w:rPr>
          <w:rFonts w:hint="eastAsia"/>
          <w:szCs w:val="32"/>
        </w:rPr>
        <w:t>。</w:t>
      </w:r>
      <w:r>
        <w:rPr>
          <w:rFonts w:hint="eastAsia"/>
        </w:rPr>
        <w:t>（</w:t>
      </w:r>
      <w:r>
        <w:rPr>
          <w:rFonts w:hint="eastAsia" w:ascii="楷体_GB2312" w:eastAsia="楷体_GB2312"/>
        </w:rPr>
        <w:t>责任单位：各街道办事处、区政府各部门</w:t>
      </w:r>
      <w:r>
        <w:rPr>
          <w:rFonts w:hint="eastAsia"/>
        </w:rPr>
        <w:t>）</w:t>
      </w:r>
    </w:p>
    <w:p w14:paraId="19C38942">
      <w:pPr>
        <w:ind w:firstLine="640"/>
        <w:rPr>
          <w:rFonts w:hint="eastAsia"/>
          <w:szCs w:val="32"/>
        </w:rPr>
      </w:pPr>
      <w:r>
        <w:rPr>
          <w:rFonts w:hint="eastAsia" w:ascii="楷体_GB2312" w:eastAsia="楷体_GB2312"/>
          <w:szCs w:val="32"/>
        </w:rPr>
        <w:t>（九）提升互动交流实效。</w:t>
      </w:r>
      <w:r>
        <w:rPr>
          <w:rFonts w:hint="eastAsia"/>
          <w:szCs w:val="32"/>
          <w14:ligatures w14:val="standardContextual"/>
        </w:rPr>
        <w:t>聚焦重大政策解读、民生热点领域，</w:t>
      </w:r>
      <w:r>
        <w:rPr>
          <w:rFonts w:hint="eastAsia"/>
          <w:szCs w:val="32"/>
        </w:rPr>
        <w:t>结合地区特色、部门职能特点以及各自政务公开品牌建设工作，开展丰富多彩的政府开放活动</w:t>
      </w:r>
      <w:r>
        <w:rPr>
          <w:rFonts w:hint="eastAsia"/>
          <w:szCs w:val="32"/>
          <w14:ligatures w14:val="standardContextual"/>
        </w:rPr>
        <w:t>；鼓励围绕解决重难点问题，开展“问题解决型”政府开放活动。活动开展前，广泛收集企业、群众关心关注的热难点问题，通过座谈交流、现场答疑、问卷调查、互动体验等形式，组织面对面交流。</w:t>
      </w:r>
      <w:r>
        <w:rPr>
          <w:rFonts w:hint="eastAsia"/>
        </w:rPr>
        <w:t>（</w:t>
      </w:r>
      <w:r>
        <w:rPr>
          <w:rFonts w:hint="eastAsia" w:ascii="楷体_GB2312" w:eastAsia="楷体_GB2312"/>
        </w:rPr>
        <w:t>责任单位：各街道办事处、区政府各部门</w:t>
      </w:r>
      <w:r>
        <w:rPr>
          <w:rFonts w:hint="eastAsia"/>
        </w:rPr>
        <w:t>）</w:t>
      </w:r>
    </w:p>
    <w:p w14:paraId="7D757A6C">
      <w:pPr>
        <w:ind w:firstLine="640"/>
        <w:rPr>
          <w:rFonts w:hint="eastAsia" w:ascii="黑体" w:hAnsi="黑体" w:eastAsia="黑体"/>
          <w:szCs w:val="32"/>
        </w:rPr>
      </w:pPr>
      <w:r>
        <w:rPr>
          <w:rFonts w:hint="eastAsia" w:ascii="黑体" w:hAnsi="黑体" w:eastAsia="黑体"/>
          <w:szCs w:val="32"/>
        </w:rPr>
        <w:t>四、提升政务公开服务质效</w:t>
      </w:r>
    </w:p>
    <w:p w14:paraId="1EE66C16">
      <w:pPr>
        <w:ind w:firstLine="640"/>
        <w:rPr>
          <w:rFonts w:hint="eastAsia"/>
          <w:szCs w:val="32"/>
        </w:rPr>
      </w:pPr>
      <w:r>
        <w:rPr>
          <w:rFonts w:hint="eastAsia" w:ascii="楷体_GB2312" w:eastAsia="楷体_GB2312"/>
          <w:szCs w:val="32"/>
          <w14:ligatures w14:val="standardContextual"/>
        </w:rPr>
        <w:t>（十）推进政务公开数字化转型。</w:t>
      </w:r>
      <w:r>
        <w:rPr>
          <w:rFonts w:hint="eastAsia"/>
          <w:szCs w:val="32"/>
          <w14:ligatures w14:val="standardContextual"/>
        </w:rPr>
        <w:t>推进</w:t>
      </w:r>
      <w:r>
        <w:rPr>
          <w:szCs w:val="32"/>
          <w14:ligatures w14:val="standardContextual"/>
        </w:rPr>
        <w:t>人工智能</w:t>
      </w:r>
      <w:r>
        <w:rPr>
          <w:rFonts w:hint="eastAsia"/>
          <w:szCs w:val="32"/>
          <w14:ligatures w14:val="standardContextual"/>
        </w:rPr>
        <w:t>、</w:t>
      </w:r>
      <w:r>
        <w:rPr>
          <w:szCs w:val="32"/>
          <w14:ligatures w14:val="standardContextual"/>
        </w:rPr>
        <w:t>大数据</w:t>
      </w:r>
      <w:r>
        <w:rPr>
          <w:rFonts w:hint="eastAsia"/>
          <w:szCs w:val="32"/>
          <w14:ligatures w14:val="standardContextual"/>
        </w:rPr>
        <w:t>等新</w:t>
      </w:r>
      <w:r>
        <w:rPr>
          <w:szCs w:val="32"/>
          <w14:ligatures w14:val="standardContextual"/>
        </w:rPr>
        <w:t>技术应用</w:t>
      </w:r>
      <w:r>
        <w:rPr>
          <w:rFonts w:hint="eastAsia"/>
          <w:szCs w:val="32"/>
          <w14:ligatures w14:val="standardContextual"/>
        </w:rPr>
        <w:t>，</w:t>
      </w:r>
      <w:r>
        <w:rPr>
          <w:szCs w:val="32"/>
          <w14:ligatures w14:val="standardContextual"/>
        </w:rPr>
        <w:t>探索</w:t>
      </w:r>
      <w:r>
        <w:rPr>
          <w:rFonts w:hint="eastAsia"/>
          <w:szCs w:val="32"/>
          <w14:ligatures w14:val="standardContextual"/>
        </w:rPr>
        <w:t>构建智能问答、精确查找、办事咨询等政策服务场景，选取部分有条件的街道、部门作为试点，探索开展政策信息点对点精准推送服务。依托全市政府网站群平台，探索开发智能问答、智能搜索、智慧办事等功能，实现</w:t>
      </w:r>
      <w:bookmarkStart w:id="7" w:name="OLE_LINK10"/>
      <w:r>
        <w:rPr>
          <w:rFonts w:hint="eastAsia"/>
          <w:szCs w:val="32"/>
          <w14:ligatures w14:val="standardContextual"/>
        </w:rPr>
        <w:t>交互体验与服务模式的创新提升</w:t>
      </w:r>
      <w:bookmarkEnd w:id="7"/>
      <w:r>
        <w:rPr>
          <w:rFonts w:hint="eastAsia"/>
          <w:szCs w:val="32"/>
          <w14:ligatures w14:val="standardContextual"/>
        </w:rPr>
        <w:t>，</w:t>
      </w:r>
      <w:r>
        <w:rPr>
          <w:szCs w:val="32"/>
          <w14:ligatures w14:val="standardContextual"/>
        </w:rPr>
        <w:t>向社会公众提供更高效、精准、便捷的</w:t>
      </w:r>
      <w:r>
        <w:rPr>
          <w:rFonts w:hint="eastAsia"/>
          <w:szCs w:val="32"/>
          <w14:ligatures w14:val="standardContextual"/>
        </w:rPr>
        <w:t>信息</w:t>
      </w:r>
      <w:r>
        <w:rPr>
          <w:szCs w:val="32"/>
          <w14:ligatures w14:val="standardContextual"/>
        </w:rPr>
        <w:t>检索服务</w:t>
      </w:r>
      <w:r>
        <w:rPr>
          <w:rFonts w:hint="eastAsia"/>
          <w:szCs w:val="32"/>
          <w14:ligatures w14:val="standardContextual"/>
        </w:rPr>
        <w:t>。</w:t>
      </w:r>
      <w:r>
        <w:rPr>
          <w:rFonts w:hint="eastAsia"/>
        </w:rPr>
        <w:t>（</w:t>
      </w:r>
      <w:r>
        <w:rPr>
          <w:rFonts w:hint="eastAsia" w:ascii="楷体_GB2312" w:eastAsia="楷体_GB2312"/>
        </w:rPr>
        <w:t>责任单位：各街道办事处、区政府各部门</w:t>
      </w:r>
      <w:r>
        <w:rPr>
          <w:rFonts w:hint="eastAsia"/>
        </w:rPr>
        <w:t>）</w:t>
      </w:r>
    </w:p>
    <w:p w14:paraId="08CD3C5F">
      <w:pPr>
        <w:ind w:firstLine="640"/>
        <w:rPr>
          <w:rFonts w:hint="eastAsia"/>
          <w:szCs w:val="32"/>
        </w:rPr>
      </w:pPr>
      <w:r>
        <w:rPr>
          <w:rFonts w:hint="eastAsia" w:ascii="楷体_GB2312" w:eastAsia="楷体_GB2312"/>
          <w:szCs w:val="32"/>
        </w:rPr>
        <w:t>（十一）优化政策发布机制。</w:t>
      </w:r>
      <w:r>
        <w:rPr>
          <w:rFonts w:hint="eastAsia"/>
          <w:szCs w:val="32"/>
        </w:rPr>
        <w:t>加强政策集中发布平台信息维护，提高入库文件质量，确保收录文件全量覆盖、内容要素齐全、格式文本规范、检索查询便利。在集中公开现行有效的行政规范性文件和其他文件并动态更新的基础上，增加历次修订文本，实现现行有效文件和历次修订文本的关联展示，全面展现历史沿革。选取部分企业群众关注度高、办事需求大、政策汇集面广的领域，实施跨层级、跨部门的政策集成式发布和一站式公开。</w:t>
      </w:r>
      <w:r>
        <w:rPr>
          <w:rFonts w:hint="eastAsia"/>
        </w:rPr>
        <w:t>（</w:t>
      </w:r>
      <w:r>
        <w:rPr>
          <w:rFonts w:hint="eastAsia" w:ascii="楷体_GB2312" w:eastAsia="楷体_GB2312"/>
        </w:rPr>
        <w:t>责任单位：各街道办事处、区政府各部门</w:t>
      </w:r>
      <w:r>
        <w:rPr>
          <w:rFonts w:hint="eastAsia"/>
        </w:rPr>
        <w:t>）</w:t>
      </w:r>
    </w:p>
    <w:p w14:paraId="4491BAB7">
      <w:pPr>
        <w:ind w:firstLine="640"/>
        <w:rPr>
          <w:rFonts w:hint="eastAsia"/>
          <w:szCs w:val="32"/>
        </w:rPr>
      </w:pPr>
      <w:r>
        <w:rPr>
          <w:rFonts w:hint="eastAsia" w:ascii="楷体_GB2312" w:eastAsia="楷体_GB2312"/>
          <w:szCs w:val="32"/>
        </w:rPr>
        <w:t>（十二）加强政务公开平台建设。</w:t>
      </w:r>
      <w:r>
        <w:rPr>
          <w:rFonts w:hint="eastAsia"/>
          <w:szCs w:val="32"/>
        </w:rPr>
        <w:t>持续提升政府网站和政务新媒体集约化建设水平，依托全市政府网站和政务新媒体数字化监管平台，</w:t>
      </w:r>
      <w:r>
        <w:rPr>
          <w:rFonts w:hint="eastAsia"/>
        </w:rPr>
        <w:t>建立重大事项沟通交流和问题处置协调联动机制。持续整治数字形式主义，深化政务新媒体“瘦身提质”，</w:t>
      </w:r>
      <w:r>
        <w:rPr>
          <w:rFonts w:hint="eastAsia"/>
          <w:szCs w:val="32"/>
        </w:rPr>
        <w:t>按照提升一批、整合一批、关停一批的总体思路，做大做强主账号，培育优质精品账号。</w:t>
      </w:r>
      <w:r>
        <w:rPr>
          <w:rFonts w:hint="eastAsia"/>
        </w:rPr>
        <w:t>强化日常监管和季度检查，做好“我为政府网站找错”留言办理</w:t>
      </w:r>
      <w:r>
        <w:rPr>
          <w:rFonts w:hint="eastAsia"/>
          <w:szCs w:val="32"/>
        </w:rPr>
        <w:t>答复</w:t>
      </w:r>
      <w:r>
        <w:rPr>
          <w:rFonts w:hint="eastAsia"/>
        </w:rPr>
        <w:t>、重要信息转发等工作。各部门要对照主动公开事项目录，及时调整完善政府网站法定主动公开内容有关栏目。健全已公开信息安全巡查机制，</w:t>
      </w:r>
      <w:r>
        <w:rPr>
          <w:rFonts w:hint="eastAsia"/>
          <w:szCs w:val="32"/>
        </w:rPr>
        <w:t>及时清理不需要长期保留和不具备实际效用的信息。</w:t>
      </w:r>
      <w:r>
        <w:rPr>
          <w:rFonts w:hint="eastAsia"/>
        </w:rPr>
        <w:t>（</w:t>
      </w:r>
      <w:r>
        <w:rPr>
          <w:rFonts w:hint="eastAsia" w:ascii="楷体_GB2312" w:eastAsia="楷体_GB2312"/>
        </w:rPr>
        <w:t>责任单位：各街道办事处、区政府各部门</w:t>
      </w:r>
      <w:r>
        <w:rPr>
          <w:rFonts w:hint="eastAsia"/>
        </w:rPr>
        <w:t>）</w:t>
      </w:r>
    </w:p>
    <w:p w14:paraId="25B4CCC8">
      <w:pPr>
        <w:ind w:firstLine="640"/>
        <w:rPr>
          <w:rFonts w:hint="eastAsia" w:ascii="黑体" w:hAnsi="黑体" w:eastAsia="黑体"/>
          <w:szCs w:val="32"/>
        </w:rPr>
      </w:pPr>
      <w:r>
        <w:rPr>
          <w:rFonts w:hint="eastAsia" w:ascii="黑体" w:hAnsi="黑体" w:eastAsia="黑体"/>
          <w:szCs w:val="32"/>
        </w:rPr>
        <w:t>五、强化</w:t>
      </w:r>
      <w:r>
        <w:rPr>
          <w:rFonts w:hint="eastAsia" w:ascii="黑体" w:hAnsi="黑体" w:eastAsia="黑体" w:cs="黑体"/>
          <w:szCs w:val="32"/>
        </w:rPr>
        <w:t>政务公开</w:t>
      </w:r>
      <w:r>
        <w:rPr>
          <w:rFonts w:hint="eastAsia" w:ascii="黑体" w:hAnsi="黑体" w:eastAsia="黑体"/>
          <w:szCs w:val="32"/>
        </w:rPr>
        <w:t>工作保障</w:t>
      </w:r>
    </w:p>
    <w:p w14:paraId="2420E761">
      <w:pPr>
        <w:ind w:firstLine="640"/>
        <w:rPr>
          <w:rFonts w:hint="eastAsia"/>
          <w:szCs w:val="32"/>
        </w:rPr>
      </w:pPr>
      <w:r>
        <w:rPr>
          <w:rFonts w:hint="eastAsia" w:ascii="楷体_GB2312" w:eastAsia="楷体_GB2312"/>
          <w:szCs w:val="32"/>
        </w:rPr>
        <w:t>（十</w:t>
      </w:r>
      <w:r>
        <w:rPr>
          <w:rFonts w:hint="eastAsia" w:ascii="楷体_GB2312" w:eastAsia="楷体_GB2312"/>
          <w:szCs w:val="32"/>
          <w:lang w:eastAsia="zh-CN"/>
        </w:rPr>
        <w:t>三</w:t>
      </w:r>
      <w:r>
        <w:rPr>
          <w:rFonts w:hint="eastAsia" w:ascii="楷体_GB2312" w:eastAsia="楷体_GB2312"/>
          <w:szCs w:val="32"/>
        </w:rPr>
        <w:t>）加强组织领导。</w:t>
      </w:r>
      <w:r>
        <w:rPr>
          <w:rFonts w:hint="eastAsia" w:hAnsi="Times New Roman"/>
          <w:szCs w:val="32"/>
        </w:rPr>
        <w:t>各街道、各</w:t>
      </w:r>
      <w:r>
        <w:rPr>
          <w:rFonts w:hint="eastAsia"/>
          <w:szCs w:val="32"/>
        </w:rPr>
        <w:t>部门</w:t>
      </w:r>
      <w:r>
        <w:rPr>
          <w:szCs w:val="32"/>
        </w:rPr>
        <w:t>要</w:t>
      </w:r>
      <w:r>
        <w:rPr>
          <w:rFonts w:hint="eastAsia"/>
          <w:szCs w:val="32"/>
        </w:rPr>
        <w:t>提高政治站位</w:t>
      </w:r>
      <w:r>
        <w:rPr>
          <w:szCs w:val="32"/>
        </w:rPr>
        <w:t>，切实增强做好新时代政务公开工作的责任感与使命感</w:t>
      </w:r>
      <w:r>
        <w:rPr>
          <w:rFonts w:hint="eastAsia"/>
          <w:szCs w:val="32"/>
        </w:rPr>
        <w:t>，认真履行政务公开工作责任，完善相关制度，配强配齐人员力量，切实保障各项工作落实到位。</w:t>
      </w:r>
      <w:r>
        <w:rPr>
          <w:rFonts w:hint="eastAsia"/>
        </w:rPr>
        <w:t>（</w:t>
      </w:r>
      <w:r>
        <w:rPr>
          <w:rFonts w:hint="eastAsia" w:ascii="楷体_GB2312" w:eastAsia="楷体_GB2312"/>
        </w:rPr>
        <w:t>责任单位：各街道办事处、区政府各部门</w:t>
      </w:r>
      <w:r>
        <w:rPr>
          <w:rFonts w:hint="eastAsia"/>
        </w:rPr>
        <w:t>）</w:t>
      </w:r>
    </w:p>
    <w:p w14:paraId="1D593C19">
      <w:pPr>
        <w:ind w:firstLine="640"/>
        <w:rPr>
          <w:rFonts w:hint="eastAsia"/>
          <w:szCs w:val="32"/>
        </w:rPr>
      </w:pPr>
      <w:r>
        <w:rPr>
          <w:rFonts w:hint="eastAsia" w:ascii="楷体_GB2312" w:eastAsia="楷体_GB2312"/>
          <w:szCs w:val="32"/>
        </w:rPr>
        <w:t>（十</w:t>
      </w:r>
      <w:r>
        <w:rPr>
          <w:rFonts w:hint="eastAsia" w:ascii="楷体_GB2312" w:eastAsia="楷体_GB2312"/>
          <w:szCs w:val="32"/>
          <w:lang w:eastAsia="zh-CN"/>
        </w:rPr>
        <w:t>四</w:t>
      </w:r>
      <w:r>
        <w:rPr>
          <w:rFonts w:hint="eastAsia" w:ascii="楷体_GB2312" w:eastAsia="楷体_GB2312"/>
          <w:szCs w:val="32"/>
        </w:rPr>
        <w:t>）组织业务培训。</w:t>
      </w:r>
      <w:r>
        <w:rPr>
          <w:rFonts w:hint="eastAsia" w:hAnsi="Times New Roman"/>
          <w:szCs w:val="32"/>
        </w:rPr>
        <w:t>各街道、各</w:t>
      </w:r>
      <w:r>
        <w:rPr>
          <w:rFonts w:hint="eastAsia"/>
          <w:szCs w:val="32"/>
        </w:rPr>
        <w:t>部门要将政务公开有关行政法规、工作制度、知识技能的学习纳入领导干部培训和公务员初任培训内容，组织开展业务培训；围绕主动公开、依申请公开、政策解读、平台建设等专项工作，开展多种形式培训,切实提高工作人员专业能力。聚焦政策解读、依申请公开、政府网站和政务新媒体建设管理、政策专题应用场景建设等重点工作，深入挖掘典型案例，发挥示范引领作用，持续开展交流分享。</w:t>
      </w:r>
      <w:r>
        <w:rPr>
          <w:rFonts w:hint="eastAsia"/>
        </w:rPr>
        <w:t>（</w:t>
      </w:r>
      <w:r>
        <w:rPr>
          <w:rFonts w:hint="eastAsia" w:ascii="楷体_GB2312" w:eastAsia="楷体_GB2312"/>
        </w:rPr>
        <w:t>责任单位：各街道办事处、区政府各部门</w:t>
      </w:r>
      <w:r>
        <w:rPr>
          <w:rFonts w:hint="eastAsia"/>
        </w:rPr>
        <w:t>）</w:t>
      </w:r>
    </w:p>
    <w:p w14:paraId="036345FB">
      <w:pPr>
        <w:ind w:firstLine="640"/>
        <w:rPr>
          <w:rFonts w:hint="eastAsia"/>
          <w:szCs w:val="32"/>
        </w:rPr>
      </w:pPr>
      <w:r>
        <w:rPr>
          <w:rFonts w:hint="eastAsia" w:ascii="楷体_GB2312" w:eastAsia="楷体_GB2312"/>
          <w:szCs w:val="32"/>
        </w:rPr>
        <w:t>（十</w:t>
      </w:r>
      <w:r>
        <w:rPr>
          <w:rFonts w:hint="eastAsia" w:ascii="楷体_GB2312" w:eastAsia="楷体_GB2312"/>
          <w:szCs w:val="32"/>
          <w:lang w:eastAsia="zh-CN"/>
        </w:rPr>
        <w:t>五</w:t>
      </w:r>
      <w:r>
        <w:rPr>
          <w:rFonts w:hint="eastAsia" w:ascii="楷体_GB2312" w:eastAsia="楷体_GB2312"/>
          <w:szCs w:val="32"/>
        </w:rPr>
        <w:t>）落实监督问效。</w:t>
      </w:r>
      <w:r>
        <w:rPr>
          <w:rFonts w:hint="eastAsia" w:hAnsi="Times New Roman"/>
          <w:szCs w:val="32"/>
        </w:rPr>
        <w:t>组织</w:t>
      </w:r>
      <w:r>
        <w:rPr>
          <w:rFonts w:hAnsi="Times New Roman"/>
          <w:szCs w:val="32"/>
        </w:rPr>
        <w:t>开展</w:t>
      </w:r>
      <w:r>
        <w:rPr>
          <w:rFonts w:hint="eastAsia"/>
          <w:szCs w:val="32"/>
        </w:rPr>
        <w:t>全区政务</w:t>
      </w:r>
      <w:r>
        <w:rPr>
          <w:rFonts w:hint="eastAsia"/>
        </w:rPr>
        <w:t>公开和公共企事业单位信息公开效能监测。严格落实“日常监管、问题整改、督查督办、监测问效”工作机制，动态</w:t>
      </w:r>
      <w:r>
        <w:t>掌握任务落实情况</w:t>
      </w:r>
      <w:r>
        <w:rPr>
          <w:rFonts w:hint="eastAsia"/>
        </w:rPr>
        <w:t>。坚</w:t>
      </w:r>
      <w:r>
        <w:rPr>
          <w:rFonts w:hint="eastAsia"/>
          <w:szCs w:val="32"/>
        </w:rPr>
        <w:t>持上下联动、督帮一体，综合运用日常监管、明察暗访等方式方法，督促指导各街道、各部门做好相关工作。</w:t>
      </w:r>
      <w:r>
        <w:rPr>
          <w:rFonts w:hint="eastAsia"/>
          <w:kern w:val="0"/>
          <w:szCs w:val="32"/>
        </w:rPr>
        <w:t>建立长效机制，做好效能监测指标与日常工作</w:t>
      </w:r>
      <w:r>
        <w:rPr>
          <w:rFonts w:hint="eastAsia"/>
          <w:szCs w:val="32"/>
        </w:rPr>
        <w:t>有机融合、有序推进。</w:t>
      </w:r>
      <w:r>
        <w:rPr>
          <w:rFonts w:hint="eastAsia"/>
        </w:rPr>
        <w:t>（</w:t>
      </w:r>
      <w:r>
        <w:rPr>
          <w:rFonts w:hint="eastAsia" w:ascii="楷体_GB2312" w:eastAsia="楷体_GB2312"/>
        </w:rPr>
        <w:t>责任单位：各街道办事处、区政府各部门</w:t>
      </w:r>
      <w:r>
        <w:rPr>
          <w:rFonts w:hint="eastAsia"/>
        </w:rPr>
        <w:t>）</w:t>
      </w:r>
    </w:p>
    <w:p w14:paraId="128058D2">
      <w:pPr>
        <w:ind w:firstLine="640"/>
        <w:rPr>
          <w:rFonts w:hint="eastAsia"/>
          <w:szCs w:val="32"/>
        </w:rPr>
      </w:pPr>
      <w:r>
        <w:rPr>
          <w:rFonts w:hint="eastAsia" w:ascii="楷体_GB2312" w:eastAsia="楷体_GB2312"/>
          <w:szCs w:val="32"/>
        </w:rPr>
        <w:t>（十</w:t>
      </w:r>
      <w:r>
        <w:rPr>
          <w:rFonts w:hint="eastAsia" w:ascii="楷体_GB2312" w:eastAsia="楷体_GB2312"/>
          <w:szCs w:val="32"/>
          <w:lang w:eastAsia="zh-CN"/>
        </w:rPr>
        <w:t>六</w:t>
      </w:r>
      <w:r>
        <w:rPr>
          <w:rFonts w:hint="eastAsia" w:ascii="楷体_GB2312" w:eastAsia="楷体_GB2312"/>
          <w:szCs w:val="32"/>
        </w:rPr>
        <w:t>）推进品牌建设。</w:t>
      </w:r>
      <w:r>
        <w:rPr>
          <w:rFonts w:hint="eastAsia"/>
          <w:szCs w:val="32"/>
        </w:rPr>
        <w:t>加强</w:t>
      </w:r>
      <w:r>
        <w:rPr>
          <w:rFonts w:hint="eastAsia"/>
        </w:rPr>
        <w:t>理论研究，及时总结经验、改进工作，鼓励</w:t>
      </w:r>
      <w:r>
        <w:rPr>
          <w:rFonts w:hint="eastAsia" w:hAnsi="Times New Roman"/>
          <w:szCs w:val="32"/>
        </w:rPr>
        <w:t>各街道、各</w:t>
      </w:r>
      <w:r>
        <w:rPr>
          <w:rFonts w:hint="eastAsia"/>
          <w:szCs w:val="32"/>
        </w:rPr>
        <w:t>部门</w:t>
      </w:r>
      <w:r>
        <w:rPr>
          <w:rFonts w:hint="eastAsia"/>
        </w:rPr>
        <w:t>在国家、省级、市级主流媒体平台宣传推广本辖区、本领域政务公开亮点工作和创新</w:t>
      </w:r>
      <w:r>
        <w:rPr>
          <w:rFonts w:hint="eastAsia"/>
          <w:szCs w:val="32"/>
        </w:rPr>
        <w:t>举措。持续开展政策解读、政府开放、数字化转型等方面优秀案例评选活动。加强品牌建设，指导相关街道、部门做好典型经验提炼和特色专区建设，培育一批知名度高的基层政务公开品牌，持续提升“历诚公开”品牌影响力。</w:t>
      </w:r>
      <w:r>
        <w:rPr>
          <w:rFonts w:hint="eastAsia"/>
        </w:rPr>
        <w:t>（</w:t>
      </w:r>
      <w:r>
        <w:rPr>
          <w:rFonts w:hint="eastAsia" w:ascii="楷体_GB2312" w:eastAsia="楷体_GB2312"/>
        </w:rPr>
        <w:t>责任单位：各街道办事处、区政府各部门</w:t>
      </w:r>
      <w:r>
        <w:rPr>
          <w:rFonts w:hint="eastAsia"/>
        </w:rPr>
        <w:t>）</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0" w:footer="992" w:gutter="0"/>
      <w:pgNumType w:fmt="decimal"/>
      <w:cols w:space="0" w:num="1"/>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31006E4-DF39-43AB-A5EE-52CBFF6EFD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E278DDE8-87EE-41E2-8FA2-73CD2E89E7A4}"/>
  </w:font>
  <w:font w:name="方正小标宋简体">
    <w:panose1 w:val="03000509000000000000"/>
    <w:charset w:val="86"/>
    <w:family w:val="script"/>
    <w:pitch w:val="default"/>
    <w:sig w:usb0="00000001" w:usb1="080E0000" w:usb2="00000000" w:usb3="00000000" w:csb0="00040000" w:csb1="00000000"/>
    <w:embedRegular r:id="rId3" w:fontKey="{BC4B2142-1F2D-4164-A6A1-21A746C53A4E}"/>
  </w:font>
  <w:font w:name="楷体_GB2312">
    <w:panose1 w:val="02010609030101010101"/>
    <w:charset w:val="86"/>
    <w:family w:val="modern"/>
    <w:pitch w:val="default"/>
    <w:sig w:usb0="00000001" w:usb1="080E0000" w:usb2="00000000" w:usb3="00000000" w:csb0="00040000" w:csb1="00000000"/>
    <w:embedRegular r:id="rId4" w:fontKey="{88F6EA46-0606-482A-8C79-3EDE795A55D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0B184">
    <w:pPr>
      <w:pStyle w:val="8"/>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2CE54B">
                          <w:pPr>
                            <w:pStyle w:val="8"/>
                            <w:ind w:left="0" w:leftChars="0" w:firstLine="0" w:firstLineChars="0"/>
                            <w:rPr>
                              <w:rFonts w:hint="eastAsia" w:ascii="仿宋_GB2312" w:hAnsi="仿宋_GB2312" w:eastAsia="仿宋_GB2312" w:cs="仿宋_GB2312"/>
                              <w:sz w:val="24"/>
                              <w:szCs w:val="40"/>
                            </w:rPr>
                          </w:pPr>
                          <w:r>
                            <w:rPr>
                              <w:rFonts w:hint="eastAsia" w:ascii="仿宋_GB2312" w:hAnsi="仿宋_GB2312" w:eastAsia="仿宋_GB2312" w:cs="仿宋_GB2312"/>
                              <w:sz w:val="24"/>
                              <w:szCs w:val="40"/>
                            </w:rPr>
                            <w:t xml:space="preserve">— </w:t>
                          </w:r>
                          <w:r>
                            <w:rPr>
                              <w:rFonts w:hint="eastAsia" w:ascii="仿宋_GB2312" w:hAnsi="仿宋_GB2312" w:eastAsia="仿宋_GB2312" w:cs="仿宋_GB2312"/>
                              <w:sz w:val="24"/>
                              <w:szCs w:val="40"/>
                            </w:rPr>
                            <w:fldChar w:fldCharType="begin"/>
                          </w:r>
                          <w:r>
                            <w:rPr>
                              <w:rFonts w:hint="eastAsia" w:ascii="仿宋_GB2312" w:hAnsi="仿宋_GB2312" w:eastAsia="仿宋_GB2312" w:cs="仿宋_GB2312"/>
                              <w:sz w:val="24"/>
                              <w:szCs w:val="40"/>
                            </w:rPr>
                            <w:instrText xml:space="preserve"> PAGE  \* MERGEFORMAT </w:instrText>
                          </w:r>
                          <w:r>
                            <w:rPr>
                              <w:rFonts w:hint="eastAsia" w:ascii="仿宋_GB2312" w:hAnsi="仿宋_GB2312" w:eastAsia="仿宋_GB2312" w:cs="仿宋_GB2312"/>
                              <w:sz w:val="24"/>
                              <w:szCs w:val="40"/>
                            </w:rPr>
                            <w:fldChar w:fldCharType="separate"/>
                          </w:r>
                          <w:r>
                            <w:rPr>
                              <w:rFonts w:hint="eastAsia" w:ascii="仿宋_GB2312" w:hAnsi="仿宋_GB2312" w:eastAsia="仿宋_GB2312" w:cs="仿宋_GB2312"/>
                              <w:sz w:val="24"/>
                              <w:szCs w:val="40"/>
                            </w:rPr>
                            <w:t>1</w:t>
                          </w:r>
                          <w:r>
                            <w:rPr>
                              <w:rFonts w:hint="eastAsia" w:ascii="仿宋_GB2312" w:hAnsi="仿宋_GB2312" w:eastAsia="仿宋_GB2312" w:cs="仿宋_GB2312"/>
                              <w:sz w:val="24"/>
                              <w:szCs w:val="40"/>
                            </w:rPr>
                            <w:fldChar w:fldCharType="end"/>
                          </w:r>
                          <w:r>
                            <w:rPr>
                              <w:rFonts w:hint="eastAsia" w:ascii="仿宋_GB2312" w:hAnsi="仿宋_GB2312" w:eastAsia="仿宋_GB2312" w:cs="仿宋_GB2312"/>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2CE54B">
                    <w:pPr>
                      <w:pStyle w:val="8"/>
                      <w:ind w:left="0" w:leftChars="0" w:firstLine="0" w:firstLineChars="0"/>
                      <w:rPr>
                        <w:rFonts w:hint="eastAsia" w:ascii="仿宋_GB2312" w:hAnsi="仿宋_GB2312" w:eastAsia="仿宋_GB2312" w:cs="仿宋_GB2312"/>
                        <w:sz w:val="24"/>
                        <w:szCs w:val="40"/>
                      </w:rPr>
                    </w:pPr>
                    <w:r>
                      <w:rPr>
                        <w:rFonts w:hint="eastAsia" w:ascii="仿宋_GB2312" w:hAnsi="仿宋_GB2312" w:eastAsia="仿宋_GB2312" w:cs="仿宋_GB2312"/>
                        <w:sz w:val="24"/>
                        <w:szCs w:val="40"/>
                      </w:rPr>
                      <w:t xml:space="preserve">— </w:t>
                    </w:r>
                    <w:r>
                      <w:rPr>
                        <w:rFonts w:hint="eastAsia" w:ascii="仿宋_GB2312" w:hAnsi="仿宋_GB2312" w:eastAsia="仿宋_GB2312" w:cs="仿宋_GB2312"/>
                        <w:sz w:val="24"/>
                        <w:szCs w:val="40"/>
                      </w:rPr>
                      <w:fldChar w:fldCharType="begin"/>
                    </w:r>
                    <w:r>
                      <w:rPr>
                        <w:rFonts w:hint="eastAsia" w:ascii="仿宋_GB2312" w:hAnsi="仿宋_GB2312" w:eastAsia="仿宋_GB2312" w:cs="仿宋_GB2312"/>
                        <w:sz w:val="24"/>
                        <w:szCs w:val="40"/>
                      </w:rPr>
                      <w:instrText xml:space="preserve"> PAGE  \* MERGEFORMAT </w:instrText>
                    </w:r>
                    <w:r>
                      <w:rPr>
                        <w:rFonts w:hint="eastAsia" w:ascii="仿宋_GB2312" w:hAnsi="仿宋_GB2312" w:eastAsia="仿宋_GB2312" w:cs="仿宋_GB2312"/>
                        <w:sz w:val="24"/>
                        <w:szCs w:val="40"/>
                      </w:rPr>
                      <w:fldChar w:fldCharType="separate"/>
                    </w:r>
                    <w:r>
                      <w:rPr>
                        <w:rFonts w:hint="eastAsia" w:ascii="仿宋_GB2312" w:hAnsi="仿宋_GB2312" w:eastAsia="仿宋_GB2312" w:cs="仿宋_GB2312"/>
                        <w:sz w:val="24"/>
                        <w:szCs w:val="40"/>
                      </w:rPr>
                      <w:t>1</w:t>
                    </w:r>
                    <w:r>
                      <w:rPr>
                        <w:rFonts w:hint="eastAsia" w:ascii="仿宋_GB2312" w:hAnsi="仿宋_GB2312" w:eastAsia="仿宋_GB2312" w:cs="仿宋_GB2312"/>
                        <w:sz w:val="24"/>
                        <w:szCs w:val="40"/>
                      </w:rPr>
                      <w:fldChar w:fldCharType="end"/>
                    </w:r>
                    <w:r>
                      <w:rPr>
                        <w:rFonts w:hint="eastAsia" w:ascii="仿宋_GB2312" w:hAnsi="仿宋_GB2312" w:eastAsia="仿宋_GB2312" w:cs="仿宋_GB2312"/>
                        <w:sz w:val="24"/>
                        <w:szCs w:val="40"/>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F937B">
    <w:pPr>
      <w:pStyle w:val="8"/>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CF7F2">
    <w:pPr>
      <w:pStyle w:val="8"/>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CB8E3">
    <w:pPr>
      <w:pStyle w:val="9"/>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E4A30">
    <w:pPr>
      <w:pStyle w:val="9"/>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C7864">
    <w:pPr>
      <w:pStyle w:val="9"/>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60"/>
  <w:drawingGridVerticalSpacing w:val="439"/>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hZjQzZWM1YWNiODBkZDQ2ZTM4ZGUyNDIwODcyZTcifQ=="/>
  </w:docVars>
  <w:rsids>
    <w:rsidRoot w:val="00D54D91"/>
    <w:rsid w:val="000013EA"/>
    <w:rsid w:val="00004065"/>
    <w:rsid w:val="00010E67"/>
    <w:rsid w:val="000118C9"/>
    <w:rsid w:val="00030F6E"/>
    <w:rsid w:val="00040B31"/>
    <w:rsid w:val="00041277"/>
    <w:rsid w:val="00043175"/>
    <w:rsid w:val="000472C3"/>
    <w:rsid w:val="00052EE7"/>
    <w:rsid w:val="00056453"/>
    <w:rsid w:val="00075396"/>
    <w:rsid w:val="00075E8D"/>
    <w:rsid w:val="00076CD6"/>
    <w:rsid w:val="00080CC7"/>
    <w:rsid w:val="000827A8"/>
    <w:rsid w:val="00083931"/>
    <w:rsid w:val="00084819"/>
    <w:rsid w:val="000922C4"/>
    <w:rsid w:val="000968C8"/>
    <w:rsid w:val="000973F8"/>
    <w:rsid w:val="000A71B1"/>
    <w:rsid w:val="000C0681"/>
    <w:rsid w:val="000C3B83"/>
    <w:rsid w:val="000C50D3"/>
    <w:rsid w:val="000D273F"/>
    <w:rsid w:val="000D6B6C"/>
    <w:rsid w:val="000E6D15"/>
    <w:rsid w:val="000F273D"/>
    <w:rsid w:val="000F3B20"/>
    <w:rsid w:val="000F50F7"/>
    <w:rsid w:val="00105343"/>
    <w:rsid w:val="00113186"/>
    <w:rsid w:val="00114F56"/>
    <w:rsid w:val="001154BB"/>
    <w:rsid w:val="001161DA"/>
    <w:rsid w:val="00120A01"/>
    <w:rsid w:val="0012370B"/>
    <w:rsid w:val="00127CCE"/>
    <w:rsid w:val="0013325E"/>
    <w:rsid w:val="0013512D"/>
    <w:rsid w:val="00141763"/>
    <w:rsid w:val="001430EE"/>
    <w:rsid w:val="001516DA"/>
    <w:rsid w:val="00156989"/>
    <w:rsid w:val="00156EA2"/>
    <w:rsid w:val="00162C5E"/>
    <w:rsid w:val="00171563"/>
    <w:rsid w:val="00173077"/>
    <w:rsid w:val="00175DEF"/>
    <w:rsid w:val="00182279"/>
    <w:rsid w:val="0018684A"/>
    <w:rsid w:val="00190455"/>
    <w:rsid w:val="00192982"/>
    <w:rsid w:val="00192A3A"/>
    <w:rsid w:val="00195C40"/>
    <w:rsid w:val="001967B0"/>
    <w:rsid w:val="00197FEA"/>
    <w:rsid w:val="001A4867"/>
    <w:rsid w:val="001A5445"/>
    <w:rsid w:val="001B0A52"/>
    <w:rsid w:val="001B390A"/>
    <w:rsid w:val="001B5FEA"/>
    <w:rsid w:val="001C1AEA"/>
    <w:rsid w:val="001C4F78"/>
    <w:rsid w:val="001D0877"/>
    <w:rsid w:val="001D0D06"/>
    <w:rsid w:val="001D306C"/>
    <w:rsid w:val="001D31DB"/>
    <w:rsid w:val="001D4E5D"/>
    <w:rsid w:val="001D6F3E"/>
    <w:rsid w:val="001F070C"/>
    <w:rsid w:val="001F32DB"/>
    <w:rsid w:val="001F4328"/>
    <w:rsid w:val="001F6C72"/>
    <w:rsid w:val="001F7A71"/>
    <w:rsid w:val="00200F65"/>
    <w:rsid w:val="00204CF3"/>
    <w:rsid w:val="00206BA5"/>
    <w:rsid w:val="00207022"/>
    <w:rsid w:val="0021148D"/>
    <w:rsid w:val="00222914"/>
    <w:rsid w:val="0022409C"/>
    <w:rsid w:val="00225129"/>
    <w:rsid w:val="00225ACE"/>
    <w:rsid w:val="002278F9"/>
    <w:rsid w:val="00235C3E"/>
    <w:rsid w:val="00240442"/>
    <w:rsid w:val="002423E5"/>
    <w:rsid w:val="00251114"/>
    <w:rsid w:val="00255022"/>
    <w:rsid w:val="00260967"/>
    <w:rsid w:val="00260D21"/>
    <w:rsid w:val="00262D80"/>
    <w:rsid w:val="00293AE9"/>
    <w:rsid w:val="00294C7F"/>
    <w:rsid w:val="0029724A"/>
    <w:rsid w:val="002A0DC8"/>
    <w:rsid w:val="002A1122"/>
    <w:rsid w:val="002A4FCE"/>
    <w:rsid w:val="002B5256"/>
    <w:rsid w:val="002C069A"/>
    <w:rsid w:val="002C53A5"/>
    <w:rsid w:val="002D2237"/>
    <w:rsid w:val="002D488B"/>
    <w:rsid w:val="002D4A26"/>
    <w:rsid w:val="002D5320"/>
    <w:rsid w:val="002D5752"/>
    <w:rsid w:val="002D64F0"/>
    <w:rsid w:val="002D65AB"/>
    <w:rsid w:val="002E155E"/>
    <w:rsid w:val="002E7DF6"/>
    <w:rsid w:val="00312033"/>
    <w:rsid w:val="0031431F"/>
    <w:rsid w:val="00317230"/>
    <w:rsid w:val="00324434"/>
    <w:rsid w:val="0032530D"/>
    <w:rsid w:val="003255E2"/>
    <w:rsid w:val="00327DDC"/>
    <w:rsid w:val="00331C9D"/>
    <w:rsid w:val="003369AB"/>
    <w:rsid w:val="00340692"/>
    <w:rsid w:val="00343208"/>
    <w:rsid w:val="0034476F"/>
    <w:rsid w:val="00344C05"/>
    <w:rsid w:val="00346021"/>
    <w:rsid w:val="00346C9E"/>
    <w:rsid w:val="00351CF8"/>
    <w:rsid w:val="00355567"/>
    <w:rsid w:val="00357975"/>
    <w:rsid w:val="00366EDF"/>
    <w:rsid w:val="00374EA4"/>
    <w:rsid w:val="00380D01"/>
    <w:rsid w:val="00381D8D"/>
    <w:rsid w:val="00383D3C"/>
    <w:rsid w:val="0039103E"/>
    <w:rsid w:val="00391364"/>
    <w:rsid w:val="00394923"/>
    <w:rsid w:val="00395339"/>
    <w:rsid w:val="003A3422"/>
    <w:rsid w:val="003A3CF9"/>
    <w:rsid w:val="003A47C1"/>
    <w:rsid w:val="003A56B1"/>
    <w:rsid w:val="003B11DC"/>
    <w:rsid w:val="003B5120"/>
    <w:rsid w:val="003C38D8"/>
    <w:rsid w:val="003D4098"/>
    <w:rsid w:val="003D57D6"/>
    <w:rsid w:val="003E3906"/>
    <w:rsid w:val="003E7487"/>
    <w:rsid w:val="003F1993"/>
    <w:rsid w:val="003F1A68"/>
    <w:rsid w:val="003F23FF"/>
    <w:rsid w:val="003F6D9F"/>
    <w:rsid w:val="003F6F3B"/>
    <w:rsid w:val="00402274"/>
    <w:rsid w:val="00403702"/>
    <w:rsid w:val="00403AC5"/>
    <w:rsid w:val="004055C0"/>
    <w:rsid w:val="00406436"/>
    <w:rsid w:val="0040657C"/>
    <w:rsid w:val="004163CF"/>
    <w:rsid w:val="0041797E"/>
    <w:rsid w:val="00423219"/>
    <w:rsid w:val="0042464D"/>
    <w:rsid w:val="004320C4"/>
    <w:rsid w:val="0043257F"/>
    <w:rsid w:val="00433B7F"/>
    <w:rsid w:val="00437058"/>
    <w:rsid w:val="004424FE"/>
    <w:rsid w:val="00444948"/>
    <w:rsid w:val="00462513"/>
    <w:rsid w:val="00464B2A"/>
    <w:rsid w:val="00464FCD"/>
    <w:rsid w:val="004656A2"/>
    <w:rsid w:val="004700A2"/>
    <w:rsid w:val="00470C0A"/>
    <w:rsid w:val="00470C7E"/>
    <w:rsid w:val="00471A05"/>
    <w:rsid w:val="004724A2"/>
    <w:rsid w:val="00477CF3"/>
    <w:rsid w:val="004800B9"/>
    <w:rsid w:val="00480939"/>
    <w:rsid w:val="004867B2"/>
    <w:rsid w:val="00486942"/>
    <w:rsid w:val="00486BD3"/>
    <w:rsid w:val="00495CD0"/>
    <w:rsid w:val="004A0069"/>
    <w:rsid w:val="004B1DFF"/>
    <w:rsid w:val="004B5652"/>
    <w:rsid w:val="004B6FE2"/>
    <w:rsid w:val="004C07B2"/>
    <w:rsid w:val="004C3856"/>
    <w:rsid w:val="004C3E27"/>
    <w:rsid w:val="004C59C8"/>
    <w:rsid w:val="004C77C0"/>
    <w:rsid w:val="004C7FC5"/>
    <w:rsid w:val="004D3C69"/>
    <w:rsid w:val="004D6D33"/>
    <w:rsid w:val="004D7E87"/>
    <w:rsid w:val="004E204E"/>
    <w:rsid w:val="004E56DB"/>
    <w:rsid w:val="004E5E2D"/>
    <w:rsid w:val="004E6D64"/>
    <w:rsid w:val="004E7DCB"/>
    <w:rsid w:val="004F6245"/>
    <w:rsid w:val="004F6509"/>
    <w:rsid w:val="004F7425"/>
    <w:rsid w:val="00502416"/>
    <w:rsid w:val="00504CA1"/>
    <w:rsid w:val="00506C4E"/>
    <w:rsid w:val="0051022D"/>
    <w:rsid w:val="005108D4"/>
    <w:rsid w:val="00510F35"/>
    <w:rsid w:val="00514995"/>
    <w:rsid w:val="00517A9F"/>
    <w:rsid w:val="005213EC"/>
    <w:rsid w:val="00522982"/>
    <w:rsid w:val="005233A4"/>
    <w:rsid w:val="00526257"/>
    <w:rsid w:val="00531B5A"/>
    <w:rsid w:val="00536A4C"/>
    <w:rsid w:val="00536D5E"/>
    <w:rsid w:val="005371AE"/>
    <w:rsid w:val="0054090C"/>
    <w:rsid w:val="00540CEF"/>
    <w:rsid w:val="0054422C"/>
    <w:rsid w:val="005444A2"/>
    <w:rsid w:val="00545719"/>
    <w:rsid w:val="00555D6A"/>
    <w:rsid w:val="0055627E"/>
    <w:rsid w:val="0056667D"/>
    <w:rsid w:val="00570C31"/>
    <w:rsid w:val="00572C18"/>
    <w:rsid w:val="00585C42"/>
    <w:rsid w:val="0059202F"/>
    <w:rsid w:val="005956C6"/>
    <w:rsid w:val="00596764"/>
    <w:rsid w:val="00596A2F"/>
    <w:rsid w:val="005A0EC3"/>
    <w:rsid w:val="005A4084"/>
    <w:rsid w:val="005B2EAA"/>
    <w:rsid w:val="005B3BA7"/>
    <w:rsid w:val="005B5C01"/>
    <w:rsid w:val="005B7E80"/>
    <w:rsid w:val="005C52D7"/>
    <w:rsid w:val="005C7636"/>
    <w:rsid w:val="005D21B1"/>
    <w:rsid w:val="005D796C"/>
    <w:rsid w:val="005E1498"/>
    <w:rsid w:val="005E42BF"/>
    <w:rsid w:val="005F3409"/>
    <w:rsid w:val="005F3ACB"/>
    <w:rsid w:val="0060202B"/>
    <w:rsid w:val="00606272"/>
    <w:rsid w:val="006110B5"/>
    <w:rsid w:val="00612F55"/>
    <w:rsid w:val="006222A0"/>
    <w:rsid w:val="006239CB"/>
    <w:rsid w:val="00627BA0"/>
    <w:rsid w:val="0063257D"/>
    <w:rsid w:val="00636E3B"/>
    <w:rsid w:val="006374CF"/>
    <w:rsid w:val="00643693"/>
    <w:rsid w:val="00647631"/>
    <w:rsid w:val="0065585F"/>
    <w:rsid w:val="0065744B"/>
    <w:rsid w:val="0066049E"/>
    <w:rsid w:val="00661830"/>
    <w:rsid w:val="00665EE5"/>
    <w:rsid w:val="00667844"/>
    <w:rsid w:val="00681B2B"/>
    <w:rsid w:val="00682BE7"/>
    <w:rsid w:val="00685584"/>
    <w:rsid w:val="006862E3"/>
    <w:rsid w:val="00686F97"/>
    <w:rsid w:val="00687B33"/>
    <w:rsid w:val="006A3A96"/>
    <w:rsid w:val="006A41F2"/>
    <w:rsid w:val="006A4811"/>
    <w:rsid w:val="006A7FCD"/>
    <w:rsid w:val="006B0041"/>
    <w:rsid w:val="006B7119"/>
    <w:rsid w:val="006C2613"/>
    <w:rsid w:val="006D04E9"/>
    <w:rsid w:val="006D218F"/>
    <w:rsid w:val="006D45E4"/>
    <w:rsid w:val="006D778F"/>
    <w:rsid w:val="006D7A44"/>
    <w:rsid w:val="006E4039"/>
    <w:rsid w:val="006E6113"/>
    <w:rsid w:val="006F7845"/>
    <w:rsid w:val="00701371"/>
    <w:rsid w:val="007014E2"/>
    <w:rsid w:val="00703A83"/>
    <w:rsid w:val="00707FA9"/>
    <w:rsid w:val="007100F2"/>
    <w:rsid w:val="007111CF"/>
    <w:rsid w:val="00711278"/>
    <w:rsid w:val="00711B00"/>
    <w:rsid w:val="00711FA5"/>
    <w:rsid w:val="007174AB"/>
    <w:rsid w:val="00720552"/>
    <w:rsid w:val="00721655"/>
    <w:rsid w:val="00724C52"/>
    <w:rsid w:val="00725C44"/>
    <w:rsid w:val="00732601"/>
    <w:rsid w:val="00745D68"/>
    <w:rsid w:val="00751021"/>
    <w:rsid w:val="007515D0"/>
    <w:rsid w:val="00760CCD"/>
    <w:rsid w:val="00761029"/>
    <w:rsid w:val="00762ABE"/>
    <w:rsid w:val="007634E7"/>
    <w:rsid w:val="00770B13"/>
    <w:rsid w:val="00771B36"/>
    <w:rsid w:val="00771E94"/>
    <w:rsid w:val="00777BFD"/>
    <w:rsid w:val="00785455"/>
    <w:rsid w:val="00786D56"/>
    <w:rsid w:val="00792336"/>
    <w:rsid w:val="00793D03"/>
    <w:rsid w:val="00794CF1"/>
    <w:rsid w:val="00795C74"/>
    <w:rsid w:val="00796AE0"/>
    <w:rsid w:val="007B1E7B"/>
    <w:rsid w:val="007B2160"/>
    <w:rsid w:val="007B6C7F"/>
    <w:rsid w:val="007B7366"/>
    <w:rsid w:val="007B758F"/>
    <w:rsid w:val="007C0D32"/>
    <w:rsid w:val="007C0F29"/>
    <w:rsid w:val="007C2857"/>
    <w:rsid w:val="007C2B15"/>
    <w:rsid w:val="007C2FE4"/>
    <w:rsid w:val="007C3458"/>
    <w:rsid w:val="007D047E"/>
    <w:rsid w:val="007D059F"/>
    <w:rsid w:val="007D2E92"/>
    <w:rsid w:val="007D5B3C"/>
    <w:rsid w:val="007D5C5F"/>
    <w:rsid w:val="007E1A67"/>
    <w:rsid w:val="007E618F"/>
    <w:rsid w:val="007E682E"/>
    <w:rsid w:val="007F141E"/>
    <w:rsid w:val="007F3B54"/>
    <w:rsid w:val="0080553A"/>
    <w:rsid w:val="00806830"/>
    <w:rsid w:val="00817B4B"/>
    <w:rsid w:val="00821538"/>
    <w:rsid w:val="00825295"/>
    <w:rsid w:val="00825358"/>
    <w:rsid w:val="00825C4E"/>
    <w:rsid w:val="0083481E"/>
    <w:rsid w:val="00835562"/>
    <w:rsid w:val="00836D89"/>
    <w:rsid w:val="008418C1"/>
    <w:rsid w:val="0084555C"/>
    <w:rsid w:val="00846328"/>
    <w:rsid w:val="008465F4"/>
    <w:rsid w:val="00852785"/>
    <w:rsid w:val="00855EAA"/>
    <w:rsid w:val="0085629C"/>
    <w:rsid w:val="00863462"/>
    <w:rsid w:val="00865A1E"/>
    <w:rsid w:val="00865EE8"/>
    <w:rsid w:val="008676A9"/>
    <w:rsid w:val="008717D2"/>
    <w:rsid w:val="00874EAF"/>
    <w:rsid w:val="008765F8"/>
    <w:rsid w:val="00886180"/>
    <w:rsid w:val="008866A8"/>
    <w:rsid w:val="00890958"/>
    <w:rsid w:val="008A1DEE"/>
    <w:rsid w:val="008A76DB"/>
    <w:rsid w:val="008A77D2"/>
    <w:rsid w:val="008B3F52"/>
    <w:rsid w:val="008B41A6"/>
    <w:rsid w:val="008F24D8"/>
    <w:rsid w:val="008F4E0D"/>
    <w:rsid w:val="008F71D3"/>
    <w:rsid w:val="0090356A"/>
    <w:rsid w:val="00903D86"/>
    <w:rsid w:val="009057D6"/>
    <w:rsid w:val="00911E7F"/>
    <w:rsid w:val="00914AD6"/>
    <w:rsid w:val="0092086F"/>
    <w:rsid w:val="009255F4"/>
    <w:rsid w:val="0092636E"/>
    <w:rsid w:val="00931C1E"/>
    <w:rsid w:val="0093517E"/>
    <w:rsid w:val="0093741B"/>
    <w:rsid w:val="00950BE0"/>
    <w:rsid w:val="00950C42"/>
    <w:rsid w:val="00951548"/>
    <w:rsid w:val="0095278A"/>
    <w:rsid w:val="0095440C"/>
    <w:rsid w:val="009618B6"/>
    <w:rsid w:val="00961CCF"/>
    <w:rsid w:val="00963D59"/>
    <w:rsid w:val="00965149"/>
    <w:rsid w:val="00966E61"/>
    <w:rsid w:val="0097302F"/>
    <w:rsid w:val="0097337D"/>
    <w:rsid w:val="0097665C"/>
    <w:rsid w:val="00984533"/>
    <w:rsid w:val="00985094"/>
    <w:rsid w:val="00993E79"/>
    <w:rsid w:val="009A0682"/>
    <w:rsid w:val="009A0938"/>
    <w:rsid w:val="009A12B4"/>
    <w:rsid w:val="009A4750"/>
    <w:rsid w:val="009A5CA5"/>
    <w:rsid w:val="009B269C"/>
    <w:rsid w:val="009B51B9"/>
    <w:rsid w:val="009C5FBD"/>
    <w:rsid w:val="009D12B6"/>
    <w:rsid w:val="009D3415"/>
    <w:rsid w:val="009D398D"/>
    <w:rsid w:val="009D45B9"/>
    <w:rsid w:val="009D6430"/>
    <w:rsid w:val="009E23E8"/>
    <w:rsid w:val="009E3B01"/>
    <w:rsid w:val="009F1B67"/>
    <w:rsid w:val="009F1E6B"/>
    <w:rsid w:val="009F396F"/>
    <w:rsid w:val="009F621F"/>
    <w:rsid w:val="009F66DF"/>
    <w:rsid w:val="00A00E9E"/>
    <w:rsid w:val="00A07B71"/>
    <w:rsid w:val="00A162DA"/>
    <w:rsid w:val="00A17358"/>
    <w:rsid w:val="00A22005"/>
    <w:rsid w:val="00A22C40"/>
    <w:rsid w:val="00A2462E"/>
    <w:rsid w:val="00A26976"/>
    <w:rsid w:val="00A27B98"/>
    <w:rsid w:val="00A31802"/>
    <w:rsid w:val="00A31B69"/>
    <w:rsid w:val="00A31D51"/>
    <w:rsid w:val="00A32589"/>
    <w:rsid w:val="00A4275D"/>
    <w:rsid w:val="00A444F3"/>
    <w:rsid w:val="00A47216"/>
    <w:rsid w:val="00A5119A"/>
    <w:rsid w:val="00A60952"/>
    <w:rsid w:val="00A67A9A"/>
    <w:rsid w:val="00A726D2"/>
    <w:rsid w:val="00A823B9"/>
    <w:rsid w:val="00A848F9"/>
    <w:rsid w:val="00A84F75"/>
    <w:rsid w:val="00A84FA1"/>
    <w:rsid w:val="00A870CD"/>
    <w:rsid w:val="00A877FB"/>
    <w:rsid w:val="00A941BC"/>
    <w:rsid w:val="00AA0002"/>
    <w:rsid w:val="00AA07FA"/>
    <w:rsid w:val="00AA1BAE"/>
    <w:rsid w:val="00AA25E6"/>
    <w:rsid w:val="00AA36DD"/>
    <w:rsid w:val="00AA43B5"/>
    <w:rsid w:val="00AA5258"/>
    <w:rsid w:val="00AC1706"/>
    <w:rsid w:val="00AC182C"/>
    <w:rsid w:val="00AC5DA9"/>
    <w:rsid w:val="00AD64E7"/>
    <w:rsid w:val="00AE0D27"/>
    <w:rsid w:val="00AE6D25"/>
    <w:rsid w:val="00AF3292"/>
    <w:rsid w:val="00AF5929"/>
    <w:rsid w:val="00B00417"/>
    <w:rsid w:val="00B01036"/>
    <w:rsid w:val="00B04C2A"/>
    <w:rsid w:val="00B04F08"/>
    <w:rsid w:val="00B05635"/>
    <w:rsid w:val="00B066B6"/>
    <w:rsid w:val="00B0671A"/>
    <w:rsid w:val="00B102CF"/>
    <w:rsid w:val="00B112F9"/>
    <w:rsid w:val="00B14E8D"/>
    <w:rsid w:val="00B27D7D"/>
    <w:rsid w:val="00B369FA"/>
    <w:rsid w:val="00B405C9"/>
    <w:rsid w:val="00B43FDB"/>
    <w:rsid w:val="00B4676F"/>
    <w:rsid w:val="00B46C45"/>
    <w:rsid w:val="00B51B40"/>
    <w:rsid w:val="00B61E78"/>
    <w:rsid w:val="00B636BC"/>
    <w:rsid w:val="00B6493A"/>
    <w:rsid w:val="00B66AFE"/>
    <w:rsid w:val="00B729DA"/>
    <w:rsid w:val="00B774F3"/>
    <w:rsid w:val="00B80A59"/>
    <w:rsid w:val="00B8265C"/>
    <w:rsid w:val="00B82A53"/>
    <w:rsid w:val="00B938DF"/>
    <w:rsid w:val="00BA44EC"/>
    <w:rsid w:val="00BA604D"/>
    <w:rsid w:val="00BB225B"/>
    <w:rsid w:val="00BC0BD9"/>
    <w:rsid w:val="00BC0D19"/>
    <w:rsid w:val="00BC0F10"/>
    <w:rsid w:val="00BC257B"/>
    <w:rsid w:val="00BD2BF1"/>
    <w:rsid w:val="00BD348F"/>
    <w:rsid w:val="00BD3BA3"/>
    <w:rsid w:val="00BD5DD4"/>
    <w:rsid w:val="00BE1812"/>
    <w:rsid w:val="00BE35E1"/>
    <w:rsid w:val="00BE3707"/>
    <w:rsid w:val="00BE4178"/>
    <w:rsid w:val="00BE427E"/>
    <w:rsid w:val="00BE454E"/>
    <w:rsid w:val="00BF1353"/>
    <w:rsid w:val="00BF320E"/>
    <w:rsid w:val="00BF3726"/>
    <w:rsid w:val="00BF41B1"/>
    <w:rsid w:val="00BF58CA"/>
    <w:rsid w:val="00C03637"/>
    <w:rsid w:val="00C0469A"/>
    <w:rsid w:val="00C05BBB"/>
    <w:rsid w:val="00C12059"/>
    <w:rsid w:val="00C123A3"/>
    <w:rsid w:val="00C25E8B"/>
    <w:rsid w:val="00C2725B"/>
    <w:rsid w:val="00C36201"/>
    <w:rsid w:val="00C36ACD"/>
    <w:rsid w:val="00C43E8D"/>
    <w:rsid w:val="00C465F6"/>
    <w:rsid w:val="00C46674"/>
    <w:rsid w:val="00C51BC3"/>
    <w:rsid w:val="00C52BB7"/>
    <w:rsid w:val="00C6311C"/>
    <w:rsid w:val="00C64AF1"/>
    <w:rsid w:val="00C76F08"/>
    <w:rsid w:val="00C80B19"/>
    <w:rsid w:val="00C94B12"/>
    <w:rsid w:val="00C97119"/>
    <w:rsid w:val="00CA45B5"/>
    <w:rsid w:val="00CA472A"/>
    <w:rsid w:val="00CB20D4"/>
    <w:rsid w:val="00CB7DB6"/>
    <w:rsid w:val="00CC0343"/>
    <w:rsid w:val="00CC0CE2"/>
    <w:rsid w:val="00CD1AA6"/>
    <w:rsid w:val="00CD3A5E"/>
    <w:rsid w:val="00CD68EB"/>
    <w:rsid w:val="00CE0CD4"/>
    <w:rsid w:val="00CE3D33"/>
    <w:rsid w:val="00CF40AF"/>
    <w:rsid w:val="00CF5E4B"/>
    <w:rsid w:val="00D00961"/>
    <w:rsid w:val="00D06D16"/>
    <w:rsid w:val="00D1039B"/>
    <w:rsid w:val="00D120F1"/>
    <w:rsid w:val="00D17FDC"/>
    <w:rsid w:val="00D21E69"/>
    <w:rsid w:val="00D230A3"/>
    <w:rsid w:val="00D2601E"/>
    <w:rsid w:val="00D27DAA"/>
    <w:rsid w:val="00D305C9"/>
    <w:rsid w:val="00D3499F"/>
    <w:rsid w:val="00D3637A"/>
    <w:rsid w:val="00D37DD8"/>
    <w:rsid w:val="00D4134A"/>
    <w:rsid w:val="00D42AAD"/>
    <w:rsid w:val="00D46867"/>
    <w:rsid w:val="00D52F3B"/>
    <w:rsid w:val="00D54D91"/>
    <w:rsid w:val="00D567F4"/>
    <w:rsid w:val="00D70FFF"/>
    <w:rsid w:val="00D7562A"/>
    <w:rsid w:val="00D81AD9"/>
    <w:rsid w:val="00D83CBE"/>
    <w:rsid w:val="00D84EE8"/>
    <w:rsid w:val="00DA3DF9"/>
    <w:rsid w:val="00DA3F79"/>
    <w:rsid w:val="00DB1AEA"/>
    <w:rsid w:val="00DB253D"/>
    <w:rsid w:val="00DB47D1"/>
    <w:rsid w:val="00DC0DDA"/>
    <w:rsid w:val="00DC27A3"/>
    <w:rsid w:val="00DC652A"/>
    <w:rsid w:val="00DD1614"/>
    <w:rsid w:val="00DD1A86"/>
    <w:rsid w:val="00DD3C66"/>
    <w:rsid w:val="00DD40AB"/>
    <w:rsid w:val="00DD4874"/>
    <w:rsid w:val="00DE2041"/>
    <w:rsid w:val="00DE63EA"/>
    <w:rsid w:val="00DE6AFC"/>
    <w:rsid w:val="00DF3B53"/>
    <w:rsid w:val="00DF3C3C"/>
    <w:rsid w:val="00DF4CE4"/>
    <w:rsid w:val="00DF6C53"/>
    <w:rsid w:val="00E01540"/>
    <w:rsid w:val="00E04F31"/>
    <w:rsid w:val="00E10379"/>
    <w:rsid w:val="00E23954"/>
    <w:rsid w:val="00E3218B"/>
    <w:rsid w:val="00E359E4"/>
    <w:rsid w:val="00E371D4"/>
    <w:rsid w:val="00E426CC"/>
    <w:rsid w:val="00E434E9"/>
    <w:rsid w:val="00E43F7E"/>
    <w:rsid w:val="00E479F6"/>
    <w:rsid w:val="00E5037B"/>
    <w:rsid w:val="00E515B2"/>
    <w:rsid w:val="00E52DE6"/>
    <w:rsid w:val="00E6326D"/>
    <w:rsid w:val="00E67986"/>
    <w:rsid w:val="00E73194"/>
    <w:rsid w:val="00E80E0F"/>
    <w:rsid w:val="00E8174B"/>
    <w:rsid w:val="00E84AD4"/>
    <w:rsid w:val="00E948A7"/>
    <w:rsid w:val="00E94BFD"/>
    <w:rsid w:val="00E94C60"/>
    <w:rsid w:val="00EA2175"/>
    <w:rsid w:val="00EA43DE"/>
    <w:rsid w:val="00EA50BF"/>
    <w:rsid w:val="00EB4838"/>
    <w:rsid w:val="00EB59DD"/>
    <w:rsid w:val="00EC1EBC"/>
    <w:rsid w:val="00EC2B4B"/>
    <w:rsid w:val="00EC694A"/>
    <w:rsid w:val="00EC767C"/>
    <w:rsid w:val="00ED0353"/>
    <w:rsid w:val="00ED4F27"/>
    <w:rsid w:val="00ED5BFE"/>
    <w:rsid w:val="00ED63BF"/>
    <w:rsid w:val="00ED6922"/>
    <w:rsid w:val="00EE0620"/>
    <w:rsid w:val="00EE32A1"/>
    <w:rsid w:val="00EE4293"/>
    <w:rsid w:val="00EE4714"/>
    <w:rsid w:val="00EF0626"/>
    <w:rsid w:val="00EF115B"/>
    <w:rsid w:val="00EF1B4C"/>
    <w:rsid w:val="00EF34D8"/>
    <w:rsid w:val="00EF3539"/>
    <w:rsid w:val="00EF3EF2"/>
    <w:rsid w:val="00EF516A"/>
    <w:rsid w:val="00EF69E0"/>
    <w:rsid w:val="00F020EE"/>
    <w:rsid w:val="00F037C4"/>
    <w:rsid w:val="00F1319A"/>
    <w:rsid w:val="00F13BFE"/>
    <w:rsid w:val="00F26BA5"/>
    <w:rsid w:val="00F31BF8"/>
    <w:rsid w:val="00F3335E"/>
    <w:rsid w:val="00F33530"/>
    <w:rsid w:val="00F40D47"/>
    <w:rsid w:val="00F43EBE"/>
    <w:rsid w:val="00F54598"/>
    <w:rsid w:val="00F573A6"/>
    <w:rsid w:val="00F6108C"/>
    <w:rsid w:val="00F62A71"/>
    <w:rsid w:val="00F70EF1"/>
    <w:rsid w:val="00F71E15"/>
    <w:rsid w:val="00F75874"/>
    <w:rsid w:val="00F8008D"/>
    <w:rsid w:val="00F915B2"/>
    <w:rsid w:val="00F917E2"/>
    <w:rsid w:val="00F9454F"/>
    <w:rsid w:val="00F9547E"/>
    <w:rsid w:val="00F95549"/>
    <w:rsid w:val="00F970F4"/>
    <w:rsid w:val="00FA5441"/>
    <w:rsid w:val="00FA669C"/>
    <w:rsid w:val="00FB7B4A"/>
    <w:rsid w:val="00FC40FC"/>
    <w:rsid w:val="00FC78CF"/>
    <w:rsid w:val="00FD22A0"/>
    <w:rsid w:val="00FD27F5"/>
    <w:rsid w:val="00FD28ED"/>
    <w:rsid w:val="00FE04A0"/>
    <w:rsid w:val="00FE2065"/>
    <w:rsid w:val="00FE46A3"/>
    <w:rsid w:val="00FE616F"/>
    <w:rsid w:val="00FE6EBA"/>
    <w:rsid w:val="04530D15"/>
    <w:rsid w:val="05F5211F"/>
    <w:rsid w:val="07D80E7E"/>
    <w:rsid w:val="0B490C36"/>
    <w:rsid w:val="0B68370D"/>
    <w:rsid w:val="0FC65AA0"/>
    <w:rsid w:val="10635C58"/>
    <w:rsid w:val="133319F8"/>
    <w:rsid w:val="13FA243C"/>
    <w:rsid w:val="159266A5"/>
    <w:rsid w:val="1CB87339"/>
    <w:rsid w:val="1D067FAF"/>
    <w:rsid w:val="1D9A07EC"/>
    <w:rsid w:val="1F7B2F88"/>
    <w:rsid w:val="2492257C"/>
    <w:rsid w:val="27FF3828"/>
    <w:rsid w:val="29B238F6"/>
    <w:rsid w:val="2B0F6139"/>
    <w:rsid w:val="2E9D1A1F"/>
    <w:rsid w:val="2F2C408B"/>
    <w:rsid w:val="30E16A06"/>
    <w:rsid w:val="327249BB"/>
    <w:rsid w:val="32E04E37"/>
    <w:rsid w:val="33D97E69"/>
    <w:rsid w:val="35A92FB7"/>
    <w:rsid w:val="3643781B"/>
    <w:rsid w:val="3AAB3FD3"/>
    <w:rsid w:val="3E603844"/>
    <w:rsid w:val="3FA72BC9"/>
    <w:rsid w:val="3FA98E8A"/>
    <w:rsid w:val="3FB76B78"/>
    <w:rsid w:val="3FC74BFC"/>
    <w:rsid w:val="3FDB4476"/>
    <w:rsid w:val="40580C05"/>
    <w:rsid w:val="44F71432"/>
    <w:rsid w:val="45796DB6"/>
    <w:rsid w:val="459B31D0"/>
    <w:rsid w:val="4735222F"/>
    <w:rsid w:val="48285669"/>
    <w:rsid w:val="4B7F2C4C"/>
    <w:rsid w:val="4D7FBE25"/>
    <w:rsid w:val="4DD21C81"/>
    <w:rsid w:val="4F4A709F"/>
    <w:rsid w:val="4FE211F8"/>
    <w:rsid w:val="5047158B"/>
    <w:rsid w:val="508B3E41"/>
    <w:rsid w:val="50B11232"/>
    <w:rsid w:val="51215390"/>
    <w:rsid w:val="526D3847"/>
    <w:rsid w:val="567A06B3"/>
    <w:rsid w:val="56B9473D"/>
    <w:rsid w:val="576158FB"/>
    <w:rsid w:val="5801522C"/>
    <w:rsid w:val="5A715D01"/>
    <w:rsid w:val="5CEA6CFB"/>
    <w:rsid w:val="5D09719F"/>
    <w:rsid w:val="5F2C41B9"/>
    <w:rsid w:val="5F7904D1"/>
    <w:rsid w:val="666B4194"/>
    <w:rsid w:val="68A568E8"/>
    <w:rsid w:val="6AD34284"/>
    <w:rsid w:val="6AF77756"/>
    <w:rsid w:val="6B064494"/>
    <w:rsid w:val="6BA51E03"/>
    <w:rsid w:val="6BEFFBE8"/>
    <w:rsid w:val="6C0E7930"/>
    <w:rsid w:val="6DFFCDF5"/>
    <w:rsid w:val="6E5F00A3"/>
    <w:rsid w:val="6EDB0A56"/>
    <w:rsid w:val="6EEA18DC"/>
    <w:rsid w:val="6F5F5C3F"/>
    <w:rsid w:val="73BFE605"/>
    <w:rsid w:val="73DD7FA9"/>
    <w:rsid w:val="74391B0F"/>
    <w:rsid w:val="77FB0A15"/>
    <w:rsid w:val="798902DE"/>
    <w:rsid w:val="7B197943"/>
    <w:rsid w:val="7CCF12DD"/>
    <w:rsid w:val="7CE2559E"/>
    <w:rsid w:val="7D4F211A"/>
    <w:rsid w:val="7E9F26E2"/>
    <w:rsid w:val="7F2350C1"/>
    <w:rsid w:val="7FA206DC"/>
    <w:rsid w:val="7FDEF1DA"/>
    <w:rsid w:val="B5B35511"/>
    <w:rsid w:val="B9FC1E99"/>
    <w:rsid w:val="BAFF1A06"/>
    <w:rsid w:val="DF7D37C7"/>
    <w:rsid w:val="EFF31872"/>
    <w:rsid w:val="FEBA1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仿宋_GB2312" w:hAnsi="仿宋_GB2312" w:eastAsia="仿宋_GB2312" w:cs="仿宋_GB2312"/>
      <w:kern w:val="2"/>
      <w:sz w:val="32"/>
      <w:szCs w:val="24"/>
      <w:lang w:val="en-US" w:eastAsia="zh-CN" w:bidi="ar-SA"/>
    </w:rPr>
  </w:style>
  <w:style w:type="paragraph" w:styleId="2">
    <w:name w:val="heading 1"/>
    <w:basedOn w:val="1"/>
    <w:next w:val="1"/>
    <w:qFormat/>
    <w:uiPriority w:val="0"/>
    <w:pPr>
      <w:ind w:firstLine="0" w:firstLineChars="0"/>
      <w:jc w:val="left"/>
      <w:outlineLvl w:val="0"/>
    </w:pPr>
    <w:rPr>
      <w:rFonts w:hint="eastAsia" w:ascii="宋体" w:hAnsi="宋体" w:eastAsia="方正小标宋简体" w:cs="Times New Roman"/>
      <w:bCs/>
      <w:kern w:val="44"/>
      <w:sz w:val="44"/>
      <w:szCs w:val="48"/>
    </w:rPr>
  </w:style>
  <w:style w:type="paragraph" w:styleId="3">
    <w:name w:val="heading 2"/>
    <w:basedOn w:val="1"/>
    <w:next w:val="1"/>
    <w:semiHidden/>
    <w:unhideWhenUsed/>
    <w:qFormat/>
    <w:uiPriority w:val="0"/>
    <w:pPr>
      <w:keepNext/>
      <w:keepLines/>
      <w:ind w:firstLine="420"/>
      <w:outlineLvl w:val="1"/>
    </w:pPr>
    <w:rPr>
      <w:rFonts w:ascii="Arial" w:hAnsi="Arial" w:eastAsia="黑体"/>
    </w:rPr>
  </w:style>
  <w:style w:type="paragraph" w:styleId="4">
    <w:name w:val="heading 3"/>
    <w:basedOn w:val="1"/>
    <w:next w:val="1"/>
    <w:semiHidden/>
    <w:unhideWhenUsed/>
    <w:qFormat/>
    <w:uiPriority w:val="0"/>
    <w:pPr>
      <w:keepNext/>
      <w:keepLines/>
      <w:ind w:firstLine="420"/>
      <w:outlineLvl w:val="2"/>
    </w:pPr>
    <w:rPr>
      <w:rFonts w:eastAsia="楷体_GB2312" w:asciiTheme="minorHAnsi" w:hAnsiTheme="minorHAnsi"/>
    </w:rPr>
  </w:style>
  <w:style w:type="paragraph" w:styleId="5">
    <w:name w:val="heading 4"/>
    <w:basedOn w:val="1"/>
    <w:next w:val="1"/>
    <w:semiHidden/>
    <w:unhideWhenUsed/>
    <w:qFormat/>
    <w:uiPriority w:val="0"/>
    <w:pPr>
      <w:keepNext/>
      <w:keepLines/>
      <w:outlineLvl w:val="3"/>
    </w:pPr>
    <w:rPr>
      <w:rFonts w:ascii="Arial" w:hAnsi="Arial"/>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17"/>
    <w:qFormat/>
    <w:uiPriority w:val="0"/>
    <w:pPr>
      <w:jc w:val="left"/>
    </w:pPr>
  </w:style>
  <w:style w:type="paragraph" w:styleId="7">
    <w:name w:val="Body Text"/>
    <w:basedOn w:val="1"/>
    <w:link w:val="15"/>
    <w:unhideWhenUsed/>
    <w:qFormat/>
    <w:uiPriority w:val="99"/>
    <w:pPr>
      <w:spacing w:after="120" w:line="240" w:lineRule="auto"/>
      <w:ind w:firstLine="0" w:firstLineChars="0"/>
    </w:pPr>
    <w:rPr>
      <w:rFonts w:asciiTheme="minorHAnsi" w:hAnsiTheme="minorHAnsi" w:eastAsiaTheme="minorEastAsia" w:cstheme="minorBidi"/>
      <w:sz w:val="21"/>
      <w:szCs w:val="22"/>
    </w:rPr>
  </w:style>
  <w:style w:type="paragraph" w:styleId="8">
    <w:name w:val="footer"/>
    <w:basedOn w:val="1"/>
    <w:link w:val="16"/>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annotation subject"/>
    <w:basedOn w:val="6"/>
    <w:next w:val="6"/>
    <w:link w:val="18"/>
    <w:qFormat/>
    <w:uiPriority w:val="0"/>
    <w:rPr>
      <w:b/>
      <w:bCs/>
    </w:rPr>
  </w:style>
  <w:style w:type="character" w:styleId="13">
    <w:name w:val="Emphasis"/>
    <w:basedOn w:val="12"/>
    <w:qFormat/>
    <w:uiPriority w:val="20"/>
    <w:rPr>
      <w:i/>
      <w:iCs/>
    </w:rPr>
  </w:style>
  <w:style w:type="character" w:styleId="14">
    <w:name w:val="annotation reference"/>
    <w:basedOn w:val="12"/>
    <w:qFormat/>
    <w:uiPriority w:val="0"/>
    <w:rPr>
      <w:sz w:val="21"/>
      <w:szCs w:val="21"/>
    </w:rPr>
  </w:style>
  <w:style w:type="character" w:customStyle="1" w:styleId="15">
    <w:name w:val="正文文本 字符"/>
    <w:basedOn w:val="12"/>
    <w:link w:val="7"/>
    <w:qFormat/>
    <w:uiPriority w:val="99"/>
    <w:rPr>
      <w:rFonts w:asciiTheme="minorHAnsi" w:hAnsiTheme="minorHAnsi" w:eastAsiaTheme="minorEastAsia" w:cstheme="minorBidi"/>
      <w:kern w:val="2"/>
      <w:sz w:val="21"/>
      <w:szCs w:val="22"/>
    </w:rPr>
  </w:style>
  <w:style w:type="character" w:customStyle="1" w:styleId="16">
    <w:name w:val="页脚 字符"/>
    <w:basedOn w:val="12"/>
    <w:link w:val="8"/>
    <w:qFormat/>
    <w:uiPriority w:val="99"/>
    <w:rPr>
      <w:rFonts w:ascii="仿宋_GB2312" w:hAnsi="仿宋_GB2312" w:eastAsia="仿宋_GB2312" w:cs="仿宋_GB2312"/>
      <w:kern w:val="2"/>
      <w:sz w:val="18"/>
      <w:szCs w:val="24"/>
    </w:rPr>
  </w:style>
  <w:style w:type="character" w:customStyle="1" w:styleId="17">
    <w:name w:val="批注文字 字符"/>
    <w:basedOn w:val="12"/>
    <w:link w:val="6"/>
    <w:qFormat/>
    <w:uiPriority w:val="0"/>
    <w:rPr>
      <w:rFonts w:ascii="仿宋_GB2312" w:hAnsi="仿宋_GB2312" w:eastAsia="仿宋_GB2312" w:cs="仿宋_GB2312"/>
      <w:kern w:val="2"/>
      <w:sz w:val="32"/>
      <w:szCs w:val="24"/>
    </w:rPr>
  </w:style>
  <w:style w:type="character" w:customStyle="1" w:styleId="18">
    <w:name w:val="批注主题 字符"/>
    <w:basedOn w:val="17"/>
    <w:link w:val="10"/>
    <w:qFormat/>
    <w:uiPriority w:val="0"/>
    <w:rPr>
      <w:rFonts w:ascii="仿宋_GB2312" w:hAnsi="仿宋_GB2312" w:eastAsia="仿宋_GB2312" w:cs="仿宋_GB2312"/>
      <w:b/>
      <w:bCs/>
      <w:kern w:val="2"/>
      <w:sz w:val="32"/>
      <w:szCs w:val="24"/>
    </w:rPr>
  </w:style>
  <w:style w:type="paragraph" w:customStyle="1" w:styleId="19">
    <w:name w:val="修订1"/>
    <w:hidden/>
    <w:unhideWhenUsed/>
    <w:qFormat/>
    <w:uiPriority w:val="99"/>
    <w:rPr>
      <w:rFonts w:ascii="仿宋_GB2312" w:hAnsi="仿宋_GB2312" w:eastAsia="仿宋_GB2312" w:cs="仿宋_GB2312"/>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DB19A-7437-452F-BB72-F60084B1BFA7}">
  <ds:schemaRefs/>
</ds:datastoreItem>
</file>

<file path=docProps/app.xml><?xml version="1.0" encoding="utf-8"?>
<Properties xmlns="http://schemas.openxmlformats.org/officeDocument/2006/extended-properties" xmlns:vt="http://schemas.openxmlformats.org/officeDocument/2006/docPropsVTypes">
  <Template>Normal</Template>
  <Pages>8</Pages>
  <Words>4111</Words>
  <Characters>4144</Characters>
  <Lines>83</Lines>
  <Paragraphs>24</Paragraphs>
  <TotalTime>235</TotalTime>
  <ScaleCrop>false</ScaleCrop>
  <LinksUpToDate>false</LinksUpToDate>
  <CharactersWithSpaces>4171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2025-06-14T19:30:00Z</dcterms:created>
  <dc:creator>56417</dc:creator>
  <cp:lastModifiedBy>小鱼儿</cp:lastModifiedBy>
  <cp:lastPrinted>2025-07-04T11:42:00Z</cp:lastPrinted>
  <dcterms:modified xsi:type="dcterms:W3CDTF">2025-07-10T01:15:33Z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9B6B008B61C34E8793F9B2AED2B3AA8F_13</vt:lpwstr>
  </property>
  <property fmtid="{D5CDD505-2E9C-101B-9397-08002B2CF9AE}" pid="4" name="KSOTemplateDocerSaveRecord">
    <vt:lpwstr>eyJoZGlkIjoiNGU5YTk2NWU3OTRhNTU0YjZlNWE0ODExMjY4YzM0MTgiLCJ1c2VySWQiOiI1MjMzMjg0MTgifQ==</vt:lpwstr>
  </property>
</Properties>
</file>