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123BEE"/>
    <w:p w14:paraId="0C9754DF">
      <w:r>
        <mc:AlternateContent>
          <mc:Choice Requires="wps">
            <w:drawing>
              <wp:anchor distT="0" distB="0" distL="114300" distR="114300" simplePos="0" relativeHeight="251659264" behindDoc="0" locked="0" layoutInCell="1" allowOverlap="1">
                <wp:simplePos x="0" y="0"/>
                <wp:positionH relativeFrom="column">
                  <wp:posOffset>17145</wp:posOffset>
                </wp:positionH>
                <wp:positionV relativeFrom="paragraph">
                  <wp:posOffset>76200</wp:posOffset>
                </wp:positionV>
                <wp:extent cx="1435735" cy="857250"/>
                <wp:effectExtent l="4445" t="5080" r="7620" b="13970"/>
                <wp:wrapNone/>
                <wp:docPr id="5" name="文本框 2"/>
                <wp:cNvGraphicFramePr/>
                <a:graphic xmlns:a="http://schemas.openxmlformats.org/drawingml/2006/main">
                  <a:graphicData uri="http://schemas.microsoft.com/office/word/2010/wordprocessingShape">
                    <wps:wsp>
                      <wps:cNvSpPr txBox="1"/>
                      <wps:spPr>
                        <a:xfrm>
                          <a:off x="0" y="0"/>
                          <a:ext cx="1435735" cy="85725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9DFDEB2">
                            <w:pPr>
                              <w:spacing w:line="600" w:lineRule="exact"/>
                              <w:jc w:val="distribute"/>
                              <w:rPr>
                                <w:rFonts w:ascii="方正小标宋简体" w:eastAsia="方正小标宋简体"/>
                                <w:color w:val="FF0000"/>
                                <w:w w:val="66"/>
                                <w:sz w:val="52"/>
                                <w:szCs w:val="52"/>
                              </w:rPr>
                            </w:pPr>
                            <w:r>
                              <w:rPr>
                                <w:rFonts w:hint="eastAsia" w:ascii="方正小标宋简体" w:eastAsia="方正小标宋简体"/>
                                <w:color w:val="FF0000"/>
                                <w:w w:val="66"/>
                                <w:sz w:val="52"/>
                                <w:szCs w:val="52"/>
                              </w:rPr>
                              <w:t>济南市历城区</w:t>
                            </w:r>
                          </w:p>
                          <w:p w14:paraId="76E5F4A9">
                            <w:pPr>
                              <w:spacing w:line="600" w:lineRule="exact"/>
                              <w:jc w:val="distribute"/>
                              <w:rPr>
                                <w:rFonts w:ascii="方正小标宋简体" w:eastAsia="方正小标宋简体"/>
                                <w:color w:val="FF0000"/>
                                <w:w w:val="66"/>
                                <w:sz w:val="52"/>
                                <w:szCs w:val="52"/>
                              </w:rPr>
                            </w:pPr>
                            <w:r>
                              <w:rPr>
                                <w:rFonts w:hint="eastAsia" w:ascii="方正小标宋简体" w:eastAsia="方正小标宋简体"/>
                                <w:color w:val="FF0000"/>
                                <w:w w:val="66"/>
                                <w:sz w:val="52"/>
                                <w:szCs w:val="52"/>
                              </w:rPr>
                              <w:t>人民政府</w:t>
                            </w:r>
                          </w:p>
                        </w:txbxContent>
                      </wps:txbx>
                      <wps:bodyPr lIns="0" tIns="0" rIns="0" bIns="0" anchor="ctr" anchorCtr="0" upright="1"/>
                    </wps:wsp>
                  </a:graphicData>
                </a:graphic>
              </wp:anchor>
            </w:drawing>
          </mc:Choice>
          <mc:Fallback>
            <w:pict>
              <v:shape id="文本框 2" o:spid="_x0000_s1026" o:spt="202" type="#_x0000_t202" style="position:absolute;left:0pt;margin-left:1.35pt;margin-top:6pt;height:67.5pt;width:113.05pt;z-index:251659264;v-text-anchor:middle;mso-width-relative:page;mso-height-relative:page;" fillcolor="#FFFFFF" filled="t" stroked="t" coordsize="21600,21600" o:gfxdata="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7E&#10;UJHWAAAACAEAAA8AAAAAAAAAAQAgAAAAIgAAAGRycy9kb3ducmV2LnhtbFBLAQIUABQAAAAIAIdO&#10;4kCgydakJQIAAHUEAAAOAAAAAAAAAAEAIAAAACUBAABkcnMvZTJvRG9jLnhtbFBLBQYAAAAABgAG&#10;AFkBAAC8BQAAAAA=&#10;">
                <v:fill on="t" focussize="0,0"/>
                <v:stroke color="#FFFFFF" joinstyle="miter"/>
                <v:imagedata o:title=""/>
                <o:lock v:ext="edit" aspectratio="f"/>
                <v:textbox inset="0mm,0mm,0mm,0mm">
                  <w:txbxContent>
                    <w:p w14:paraId="29DFDEB2">
                      <w:pPr>
                        <w:spacing w:line="600" w:lineRule="exact"/>
                        <w:jc w:val="distribute"/>
                        <w:rPr>
                          <w:rFonts w:ascii="方正小标宋简体" w:eastAsia="方正小标宋简体"/>
                          <w:color w:val="FF0000"/>
                          <w:w w:val="66"/>
                          <w:sz w:val="52"/>
                          <w:szCs w:val="52"/>
                        </w:rPr>
                      </w:pPr>
                      <w:r>
                        <w:rPr>
                          <w:rFonts w:hint="eastAsia" w:ascii="方正小标宋简体" w:eastAsia="方正小标宋简体"/>
                          <w:color w:val="FF0000"/>
                          <w:w w:val="66"/>
                          <w:sz w:val="52"/>
                          <w:szCs w:val="52"/>
                        </w:rPr>
                        <w:t>济南市历城区</w:t>
                      </w:r>
                    </w:p>
                    <w:p w14:paraId="76E5F4A9">
                      <w:pPr>
                        <w:spacing w:line="600" w:lineRule="exact"/>
                        <w:jc w:val="distribute"/>
                        <w:rPr>
                          <w:rFonts w:ascii="方正小标宋简体" w:eastAsia="方正小标宋简体"/>
                          <w:color w:val="FF0000"/>
                          <w:w w:val="66"/>
                          <w:sz w:val="52"/>
                          <w:szCs w:val="52"/>
                        </w:rPr>
                      </w:pPr>
                      <w:r>
                        <w:rPr>
                          <w:rFonts w:hint="eastAsia" w:ascii="方正小标宋简体" w:eastAsia="方正小标宋简体"/>
                          <w:color w:val="FF0000"/>
                          <w:w w:val="66"/>
                          <w:sz w:val="52"/>
                          <w:szCs w:val="52"/>
                        </w:rPr>
                        <w:t>人民政府</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1414780</wp:posOffset>
                </wp:positionH>
                <wp:positionV relativeFrom="paragraph">
                  <wp:posOffset>-117475</wp:posOffset>
                </wp:positionV>
                <wp:extent cx="4206875" cy="1060450"/>
                <wp:effectExtent l="4445" t="4445" r="17780" b="20955"/>
                <wp:wrapNone/>
                <wp:docPr id="8" name="文本框 4"/>
                <wp:cNvGraphicFramePr/>
                <a:graphic xmlns:a="http://schemas.openxmlformats.org/drawingml/2006/main">
                  <a:graphicData uri="http://schemas.microsoft.com/office/word/2010/wordprocessingShape">
                    <wps:wsp>
                      <wps:cNvSpPr txBox="1"/>
                      <wps:spPr>
                        <a:xfrm>
                          <a:off x="0" y="0"/>
                          <a:ext cx="4206875" cy="106045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7AE9AD6E">
                            <w:pPr>
                              <w:jc w:val="distribute"/>
                              <w:rPr>
                                <w:rFonts w:ascii="方正小标宋简体" w:eastAsia="方正小标宋简体"/>
                                <w:color w:val="FF0000"/>
                                <w:w w:val="59"/>
                                <w:sz w:val="114"/>
                                <w:szCs w:val="114"/>
                              </w:rPr>
                            </w:pPr>
                            <w:r>
                              <w:rPr>
                                <w:rFonts w:hint="eastAsia" w:ascii="方正小标宋简体" w:eastAsia="方正小标宋简体"/>
                                <w:color w:val="FF0000"/>
                                <w:w w:val="59"/>
                                <w:sz w:val="114"/>
                                <w:szCs w:val="114"/>
                              </w:rPr>
                              <w:t>唐王街道办事处文件</w:t>
                            </w:r>
                          </w:p>
                          <w:p w14:paraId="6E617B11">
                            <w:pPr>
                              <w:rPr>
                                <w:rFonts w:ascii="方正小标宋简体" w:eastAsia="方正小标宋简体"/>
                                <w:color w:val="FF0000"/>
                                <w:w w:val="60"/>
                                <w:sz w:val="110"/>
                                <w:szCs w:val="110"/>
                              </w:rPr>
                            </w:pPr>
                          </w:p>
                          <w:p w14:paraId="75FFC271">
                            <w:pPr>
                              <w:rPr>
                                <w:rFonts w:ascii="方正小标宋简体" w:eastAsia="方正小标宋简体"/>
                                <w:color w:val="FF0000"/>
                                <w:w w:val="60"/>
                                <w:sz w:val="110"/>
                                <w:szCs w:val="110"/>
                              </w:rPr>
                            </w:pPr>
                          </w:p>
                        </w:txbxContent>
                      </wps:txbx>
                      <wps:bodyPr upright="1"/>
                    </wps:wsp>
                  </a:graphicData>
                </a:graphic>
              </wp:anchor>
            </w:drawing>
          </mc:Choice>
          <mc:Fallback>
            <w:pict>
              <v:shape id="文本框 4" o:spid="_x0000_s1026" o:spt="202" type="#_x0000_t202" style="position:absolute;left:0pt;margin-left:111.4pt;margin-top:-9.25pt;height:83.5pt;width:331.25pt;z-index:251660288;mso-width-relative:page;mso-height-relative:page;" fillcolor="#FFFFFF" filled="t" stroked="t" coordsize="21600,21600" o:gfxdata="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pFtVt2AAAAAsBAAAPAAAAAAAAAAEAIAAAACIA&#10;AABkcnMvZG93bnJldi54bWxQSwECFAAUAAAACACHTuJAPy0JIwkCAAA3BAAADgAAAAAAAAABACAA&#10;AAAnAQAAZHJzL2Uyb0RvYy54bWxQSwUGAAAAAAYABgBZAQAAogUAAAAA&#10;">
                <v:fill on="t" focussize="0,0"/>
                <v:stroke color="#FFFFFF" joinstyle="miter"/>
                <v:imagedata o:title=""/>
                <o:lock v:ext="edit" aspectratio="f"/>
                <v:textbox>
                  <w:txbxContent>
                    <w:p w14:paraId="7AE9AD6E">
                      <w:pPr>
                        <w:jc w:val="distribute"/>
                        <w:rPr>
                          <w:rFonts w:ascii="方正小标宋简体" w:eastAsia="方正小标宋简体"/>
                          <w:color w:val="FF0000"/>
                          <w:w w:val="59"/>
                          <w:sz w:val="114"/>
                          <w:szCs w:val="114"/>
                        </w:rPr>
                      </w:pPr>
                      <w:r>
                        <w:rPr>
                          <w:rFonts w:hint="eastAsia" w:ascii="方正小标宋简体" w:eastAsia="方正小标宋简体"/>
                          <w:color w:val="FF0000"/>
                          <w:w w:val="59"/>
                          <w:sz w:val="114"/>
                          <w:szCs w:val="114"/>
                        </w:rPr>
                        <w:t>唐王街道办事处文件</w:t>
                      </w:r>
                    </w:p>
                    <w:p w14:paraId="6E617B11">
                      <w:pPr>
                        <w:rPr>
                          <w:rFonts w:ascii="方正小标宋简体" w:eastAsia="方正小标宋简体"/>
                          <w:color w:val="FF0000"/>
                          <w:w w:val="60"/>
                          <w:sz w:val="110"/>
                          <w:szCs w:val="110"/>
                        </w:rPr>
                      </w:pPr>
                    </w:p>
                    <w:p w14:paraId="75FFC271">
                      <w:pPr>
                        <w:rPr>
                          <w:rFonts w:ascii="方正小标宋简体" w:eastAsia="方正小标宋简体"/>
                          <w:color w:val="FF0000"/>
                          <w:w w:val="60"/>
                          <w:sz w:val="110"/>
                          <w:szCs w:val="110"/>
                        </w:rPr>
                      </w:pPr>
                    </w:p>
                  </w:txbxContent>
                </v:textbox>
              </v:shape>
            </w:pict>
          </mc:Fallback>
        </mc:AlternateContent>
      </w:r>
    </w:p>
    <w:p w14:paraId="1159F8B8"/>
    <w:p w14:paraId="1F0FA1EC"/>
    <w:p w14:paraId="3C672C4F">
      <w:pPr>
        <w:keepNext w:val="0"/>
        <w:keepLines w:val="0"/>
        <w:pageBreakBefore w:val="0"/>
        <w:widowControl/>
        <w:kinsoku/>
        <w:wordWrap/>
        <w:overflowPunct/>
        <w:topLinePunct w:val="0"/>
        <w:autoSpaceDE/>
        <w:autoSpaceDN/>
        <w:bidi w:val="0"/>
        <w:adjustRightInd w:val="0"/>
        <w:snapToGrid w:val="0"/>
        <w:spacing w:after="0" w:line="540" w:lineRule="exact"/>
        <w:ind w:firstLine="540"/>
        <w:jc w:val="center"/>
        <w:textAlignment w:val="auto"/>
        <w:rPr>
          <w:rFonts w:ascii="黑体" w:eastAsia="黑体"/>
          <w:sz w:val="36"/>
          <w:szCs w:val="36"/>
        </w:rPr>
      </w:pPr>
      <w:r>
        <w:rPr>
          <w:rFonts w:hint="eastAsia" w:ascii="方正小标宋简体" w:eastAsia="方正小标宋简体"/>
          <w:sz w:val="44"/>
          <w:szCs w:val="44"/>
        </w:rPr>
        <w:t xml:space="preserve"> </w:t>
      </w:r>
      <w:r>
        <w:rPr>
          <w:rFonts w:hint="eastAsia" w:ascii="仿宋" w:hAnsi="仿宋" w:eastAsia="仿宋" w:cs="仿宋"/>
          <w:b/>
          <w:sz w:val="44"/>
          <w:szCs w:val="44"/>
          <w:lang w:val="en-US" w:eastAsia="zh-CN"/>
        </w:rPr>
        <w:t xml:space="preserve"> </w:t>
      </w:r>
      <w:r>
        <w:rPr>
          <w:rFonts w:hint="eastAsia"/>
          <w:b/>
          <w:sz w:val="36"/>
          <w:szCs w:val="36"/>
        </w:rPr>
        <w:t xml:space="preserve"> </w:t>
      </w:r>
    </w:p>
    <w:p w14:paraId="1120C54A">
      <w:pPr>
        <w:keepNext w:val="0"/>
        <w:keepLines w:val="0"/>
        <w:pageBreakBefore w:val="0"/>
        <w:widowControl/>
        <w:kinsoku/>
        <w:wordWrap/>
        <w:overflowPunct/>
        <w:topLinePunct w:val="0"/>
        <w:autoSpaceDE/>
        <w:autoSpaceDN/>
        <w:bidi w:val="0"/>
        <w:adjustRightInd w:val="0"/>
        <w:snapToGrid w:val="0"/>
        <w:spacing w:after="0" w:line="540" w:lineRule="exact"/>
        <w:jc w:val="center"/>
        <w:textAlignment w:val="auto"/>
        <w:rPr>
          <w:rFonts w:ascii="黑体" w:eastAsia="黑体"/>
          <w:sz w:val="36"/>
          <w:szCs w:val="36"/>
        </w:rPr>
      </w:pPr>
      <w:r>
        <w:rPr>
          <w:rFonts w:hint="eastAsia" w:ascii="仿宋_GB2312" w:eastAsia="仿宋_GB2312"/>
          <w:sz w:val="32"/>
          <w:szCs w:val="32"/>
        </w:rPr>
        <w:t>济历城唐办发〔202</w:t>
      </w:r>
      <w:r>
        <w:rPr>
          <w:rFonts w:hint="eastAsia" w:ascii="仿宋_GB2312" w:eastAsia="仿宋_GB2312"/>
          <w:sz w:val="32"/>
          <w:szCs w:val="32"/>
          <w:lang w:val="en-US" w:eastAsia="zh-CN"/>
        </w:rPr>
        <w:t>5</w:t>
      </w:r>
      <w:r>
        <w:rPr>
          <w:rFonts w:hint="eastAsia" w:ascii="仿宋_GB2312" w:eastAsia="仿宋_GB2312"/>
          <w:sz w:val="32"/>
          <w:szCs w:val="32"/>
        </w:rPr>
        <w:t>〕</w:t>
      </w:r>
      <w:r>
        <w:rPr>
          <w:rFonts w:hint="eastAsia" w:ascii="仿宋_GB2312" w:eastAsia="仿宋_GB2312"/>
          <w:sz w:val="32"/>
          <w:szCs w:val="32"/>
          <w:lang w:val="en-US" w:eastAsia="zh-CN"/>
        </w:rPr>
        <w:t>8</w:t>
      </w:r>
      <w:r>
        <w:rPr>
          <w:rFonts w:hint="eastAsia" w:ascii="仿宋_GB2312" w:eastAsia="仿宋_GB2312"/>
          <w:sz w:val="32"/>
          <w:szCs w:val="32"/>
        </w:rPr>
        <w:t>号</w:t>
      </w:r>
    </w:p>
    <w:p w14:paraId="2FE3334F">
      <w:pPr>
        <w:keepNext w:val="0"/>
        <w:keepLines w:val="0"/>
        <w:pageBreakBefore w:val="0"/>
        <w:widowControl/>
        <w:kinsoku/>
        <w:wordWrap/>
        <w:overflowPunct/>
        <w:topLinePunct w:val="0"/>
        <w:autoSpaceDE/>
        <w:autoSpaceDN/>
        <w:bidi w:val="0"/>
        <w:adjustRightInd w:val="0"/>
        <w:snapToGrid w:val="0"/>
        <w:spacing w:after="0" w:line="440" w:lineRule="exact"/>
        <w:ind w:firstLine="540"/>
        <w:jc w:val="center"/>
        <w:textAlignment w:val="auto"/>
        <w:rPr>
          <w:rFonts w:ascii="黑体" w:eastAsia="黑体"/>
          <w:sz w:val="36"/>
          <w:szCs w:val="36"/>
        </w:rPr>
      </w:pPr>
      <w:r>
        <w:rPr>
          <w:sz w:val="36"/>
          <w:szCs w:val="36"/>
        </w:rPr>
        <mc:AlternateContent>
          <mc:Choice Requires="wps">
            <w:drawing>
              <wp:anchor distT="0" distB="0" distL="114300" distR="114300" simplePos="0" relativeHeight="251661312" behindDoc="0" locked="0" layoutInCell="1" allowOverlap="1">
                <wp:simplePos x="0" y="0"/>
                <wp:positionH relativeFrom="column">
                  <wp:posOffset>33020</wp:posOffset>
                </wp:positionH>
                <wp:positionV relativeFrom="paragraph">
                  <wp:posOffset>41275</wp:posOffset>
                </wp:positionV>
                <wp:extent cx="5603875" cy="1905"/>
                <wp:effectExtent l="0" t="0" r="0" b="0"/>
                <wp:wrapNone/>
                <wp:docPr id="9" name="自选图形 6"/>
                <wp:cNvGraphicFramePr/>
                <a:graphic xmlns:a="http://schemas.openxmlformats.org/drawingml/2006/main">
                  <a:graphicData uri="http://schemas.microsoft.com/office/word/2010/wordprocessingShape">
                    <wps:wsp>
                      <wps:cNvCnPr/>
                      <wps:spPr>
                        <a:xfrm flipV="1">
                          <a:off x="0" y="0"/>
                          <a:ext cx="5603875" cy="1905"/>
                        </a:xfrm>
                        <a:prstGeom prst="straightConnector1">
                          <a:avLst/>
                        </a:prstGeom>
                        <a:ln w="19050" cap="flat" cmpd="sng">
                          <a:solidFill>
                            <a:srgbClr val="FF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flip:y;margin-left:2.6pt;margin-top:3.25pt;height:0.15pt;width:441.25pt;z-index:251661312;mso-width-relative:page;mso-height-relative:page;" filled="f" stroked="t" coordsize="21600,21600" o:gfxdata="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h3ezs1AAAAAUBAAAPAAAAAAAAAAEAIAAAACIAAABkcnMvZG93bnJldi54&#10;bWxQSwECFAAUAAAACACHTuJAuffxs/4BAADxAwAADgAAAAAAAAABACAAAAAjAQAAZHJzL2Uyb0Rv&#10;Yy54bWxQSwUGAAAAAAYABgBZAQAAkwUAAAAA&#10;">
                <v:fill on="f" focussize="0,0"/>
                <v:stroke weight="1.5pt" color="#FF0000" joinstyle="round"/>
                <v:imagedata o:title=""/>
                <o:lock v:ext="edit" aspectratio="f"/>
              </v:shape>
            </w:pict>
          </mc:Fallback>
        </mc:AlternateContent>
      </w:r>
    </w:p>
    <w:p w14:paraId="45A51677">
      <w:pPr>
        <w:pStyle w:val="2"/>
        <w:rPr>
          <w:rFonts w:hint="eastAsia"/>
        </w:rPr>
      </w:pPr>
    </w:p>
    <w:p w14:paraId="38E03257">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4"/>
          <w:szCs w:val="44"/>
          <w:lang w:eastAsia="zh-CN"/>
        </w:rPr>
      </w:pPr>
      <w:r>
        <w:rPr>
          <w:rFonts w:hint="eastAsia" w:ascii="方正小标宋简体" w:hAnsi="方正小标宋简体" w:eastAsia="方正小标宋简体" w:cs="方正小标宋简体"/>
          <w:color w:val="auto"/>
          <w:sz w:val="44"/>
          <w:szCs w:val="44"/>
          <w:lang w:eastAsia="zh-CN"/>
        </w:rPr>
        <w:t>济南市历城区人民政府唐王街道办事处</w:t>
      </w:r>
    </w:p>
    <w:p w14:paraId="3C13AAF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4"/>
          <w:szCs w:val="44"/>
          <w:lang w:eastAsia="zh-CN"/>
        </w:rPr>
      </w:pPr>
      <w:r>
        <w:rPr>
          <w:rFonts w:hint="eastAsia" w:ascii="方正小标宋简体" w:hAnsi="方正小标宋简体" w:eastAsia="方正小标宋简体" w:cs="方正小标宋简体"/>
          <w:color w:val="auto"/>
          <w:sz w:val="44"/>
          <w:szCs w:val="44"/>
          <w:lang w:eastAsia="zh-CN"/>
        </w:rPr>
        <w:t>关于印发《唐王街道防灭火与疏散应急预案》的</w:t>
      </w:r>
    </w:p>
    <w:p w14:paraId="02AB91D6">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4"/>
          <w:szCs w:val="44"/>
          <w:lang w:eastAsia="zh-CN"/>
        </w:rPr>
      </w:pPr>
      <w:r>
        <w:rPr>
          <w:rFonts w:hint="eastAsia" w:ascii="方正小标宋简体" w:hAnsi="方正小标宋简体" w:eastAsia="方正小标宋简体" w:cs="方正小标宋简体"/>
          <w:color w:val="auto"/>
          <w:sz w:val="44"/>
          <w:szCs w:val="44"/>
          <w:lang w:eastAsia="zh-CN"/>
        </w:rPr>
        <w:t>通</w:t>
      </w:r>
      <w:r>
        <w:rPr>
          <w:rFonts w:hint="eastAsia" w:ascii="方正小标宋简体" w:hAnsi="方正小标宋简体" w:eastAsia="方正小标宋简体" w:cs="方正小标宋简体"/>
          <w:color w:val="auto"/>
          <w:sz w:val="44"/>
          <w:szCs w:val="44"/>
          <w:lang w:val="en-US" w:eastAsia="zh-CN"/>
        </w:rPr>
        <w:t xml:space="preserve">    </w:t>
      </w:r>
      <w:r>
        <w:rPr>
          <w:rFonts w:hint="eastAsia" w:ascii="方正小标宋简体" w:hAnsi="方正小标宋简体" w:eastAsia="方正小标宋简体" w:cs="方正小标宋简体"/>
          <w:color w:val="auto"/>
          <w:sz w:val="44"/>
          <w:szCs w:val="44"/>
          <w:lang w:eastAsia="zh-CN"/>
        </w:rPr>
        <w:t>知</w:t>
      </w:r>
    </w:p>
    <w:p w14:paraId="0318C753">
      <w:pPr>
        <w:pStyle w:val="2"/>
        <w:rPr>
          <w:rFonts w:hint="eastAsia"/>
          <w:color w:val="auto"/>
          <w:lang w:eastAsia="zh-CN"/>
        </w:rPr>
      </w:pPr>
    </w:p>
    <w:p w14:paraId="2B8A8BA6">
      <w:pP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各管理区、村，各相关部门：</w:t>
      </w:r>
    </w:p>
    <w:p w14:paraId="1073AB13">
      <w:pPr>
        <w:ind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现将《唐王街道防灭火与疏散应急预案》印发给你们，请结合实际，认真组织实施。</w:t>
      </w:r>
    </w:p>
    <w:p w14:paraId="58E5DE85">
      <w:pPr>
        <w:rPr>
          <w:rFonts w:hint="eastAsia" w:ascii="仿宋_GB2312" w:hAnsi="仿宋_GB2312" w:eastAsia="仿宋_GB2312" w:cs="仿宋_GB2312"/>
          <w:color w:val="auto"/>
          <w:sz w:val="32"/>
          <w:szCs w:val="32"/>
          <w:lang w:eastAsia="zh-CN"/>
        </w:rPr>
      </w:pPr>
    </w:p>
    <w:p w14:paraId="0478BF71">
      <w:pPr>
        <w:rPr>
          <w:rFonts w:hint="eastAsia" w:ascii="仿宋_GB2312" w:hAnsi="仿宋_GB2312" w:eastAsia="仿宋_GB2312" w:cs="仿宋_GB2312"/>
          <w:color w:val="auto"/>
          <w:sz w:val="32"/>
          <w:szCs w:val="32"/>
          <w:lang w:eastAsia="zh-CN"/>
        </w:rPr>
      </w:pPr>
    </w:p>
    <w:p w14:paraId="7E8AC210">
      <w:pPr>
        <w:ind w:firstLine="320" w:firstLineChars="100"/>
        <w:jc w:val="right"/>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济南市历城区人民政府唐王街道办事处</w:t>
      </w:r>
    </w:p>
    <w:p w14:paraId="486933AA">
      <w:pPr>
        <w:overflowPunct w:val="0"/>
        <w:topLinePunct/>
        <w:adjustRightInd w:val="0"/>
        <w:snapToGrid w:val="0"/>
        <w:spacing w:line="360" w:lineRule="auto"/>
        <w:ind w:firstLine="5120" w:firstLineChars="1600"/>
        <w:textAlignment w:val="top"/>
        <w:rPr>
          <w:color w:val="auto"/>
        </w:rPr>
      </w:pPr>
      <w:r>
        <w:rPr>
          <w:rFonts w:hint="eastAsia" w:ascii="仿宋_GB2312" w:hAnsi="仿宋_GB2312" w:eastAsia="仿宋_GB2312" w:cs="仿宋_GB2312"/>
          <w:color w:val="auto"/>
          <w:sz w:val="32"/>
          <w:szCs w:val="32"/>
          <w:lang w:val="en-US" w:eastAsia="zh-CN"/>
        </w:rPr>
        <w:t>2025年8月15日</w:t>
      </w:r>
    </w:p>
    <w:p w14:paraId="2CAA3F0A">
      <w:pPr>
        <w:overflowPunct w:val="0"/>
        <w:topLinePunct/>
        <w:adjustRightInd w:val="0"/>
        <w:snapToGrid w:val="0"/>
        <w:spacing w:line="360" w:lineRule="auto"/>
        <w:jc w:val="center"/>
        <w:textAlignment w:val="top"/>
        <w:rPr>
          <w:b/>
          <w:bCs/>
          <w:color w:val="auto"/>
        </w:rPr>
      </w:pPr>
    </w:p>
    <w:p w14:paraId="457E38B0">
      <w:pPr>
        <w:overflowPunct w:val="0"/>
        <w:topLinePunct/>
        <w:adjustRightInd w:val="0"/>
        <w:snapToGrid w:val="0"/>
        <w:spacing w:line="360" w:lineRule="auto"/>
        <w:jc w:val="center"/>
        <w:textAlignment w:val="top"/>
        <w:rPr>
          <w:b/>
          <w:bCs/>
          <w:color w:val="auto"/>
        </w:rPr>
      </w:pPr>
    </w:p>
    <w:p w14:paraId="687C3C0F">
      <w:pPr>
        <w:overflowPunct w:val="0"/>
        <w:topLinePunct/>
        <w:adjustRightInd w:val="0"/>
        <w:snapToGrid w:val="0"/>
        <w:spacing w:line="360" w:lineRule="auto"/>
        <w:jc w:val="center"/>
        <w:textAlignment w:val="top"/>
        <w:rPr>
          <w:b/>
          <w:bCs/>
          <w:color w:val="auto"/>
        </w:rPr>
      </w:pPr>
    </w:p>
    <w:p w14:paraId="6A25D906">
      <w:pPr>
        <w:pStyle w:val="2"/>
      </w:pPr>
    </w:p>
    <w:p w14:paraId="10699509">
      <w:pPr>
        <w:overflowPunct w:val="0"/>
        <w:topLinePunct/>
        <w:adjustRightInd w:val="0"/>
        <w:snapToGrid w:val="0"/>
        <w:spacing w:before="312" w:beforeLines="100" w:line="360" w:lineRule="auto"/>
        <w:jc w:val="center"/>
        <w:textAlignment w:val="top"/>
        <w:rPr>
          <w:rFonts w:hint="eastAsia" w:ascii="方正小标宋简体" w:hAnsi="方正小标宋简体" w:eastAsia="方正小标宋简体" w:cs="方正小标宋简体"/>
          <w:b w:val="0"/>
          <w:bCs w:val="0"/>
          <w:color w:val="auto"/>
          <w:w w:val="95"/>
          <w:sz w:val="44"/>
          <w:szCs w:val="44"/>
        </w:rPr>
      </w:pPr>
      <w:bookmarkStart w:id="0" w:name="_Hlk153924666"/>
      <w:bookmarkStart w:id="1" w:name="_Hlk153874303"/>
      <w:r>
        <w:rPr>
          <w:rFonts w:hint="eastAsia" w:ascii="方正小标宋简体" w:hAnsi="方正小标宋简体" w:eastAsia="方正小标宋简体" w:cs="方正小标宋简体"/>
          <w:b w:val="0"/>
          <w:bCs w:val="0"/>
          <w:color w:val="auto"/>
          <w:sz w:val="44"/>
          <w:szCs w:val="44"/>
        </w:rPr>
        <w:t>唐王街道</w:t>
      </w:r>
      <w:bookmarkEnd w:id="0"/>
      <w:r>
        <w:rPr>
          <w:rFonts w:hint="eastAsia" w:ascii="方正小标宋简体" w:hAnsi="方正小标宋简体" w:eastAsia="方正小标宋简体" w:cs="方正小标宋简体"/>
          <w:b w:val="0"/>
          <w:bCs w:val="0"/>
          <w:color w:val="auto"/>
          <w:w w:val="95"/>
          <w:sz w:val="44"/>
          <w:szCs w:val="44"/>
        </w:rPr>
        <w:t>防灭火与疏散应急预案</w:t>
      </w:r>
    </w:p>
    <w:bookmarkEnd w:id="1"/>
    <w:p w14:paraId="2D96DCCA">
      <w:pPr>
        <w:overflowPunct w:val="0"/>
        <w:topLinePunct/>
        <w:adjustRightInd w:val="0"/>
        <w:snapToGrid w:val="0"/>
        <w:spacing w:after="312" w:afterLines="100" w:line="360" w:lineRule="auto"/>
        <w:jc w:val="center"/>
        <w:textAlignment w:val="top"/>
        <w:rPr>
          <w:b/>
          <w:bCs/>
          <w:color w:val="auto"/>
          <w:sz w:val="36"/>
          <w:szCs w:val="36"/>
        </w:rPr>
      </w:pPr>
      <w:r>
        <w:rPr>
          <w:rFonts w:hint="eastAsia" w:ascii="黑体" w:hAnsi="黑体" w:eastAsia="黑体" w:cs="黑体"/>
          <w:b w:val="0"/>
          <w:bCs w:val="0"/>
          <w:color w:val="auto"/>
          <w:sz w:val="36"/>
          <w:szCs w:val="36"/>
        </w:rPr>
        <w:t>目</w:t>
      </w:r>
      <w:r>
        <w:rPr>
          <w:rFonts w:hint="eastAsia" w:ascii="黑体" w:hAnsi="黑体" w:eastAsia="黑体" w:cs="黑体"/>
          <w:b w:val="0"/>
          <w:bCs w:val="0"/>
          <w:color w:val="auto"/>
          <w:sz w:val="36"/>
          <w:szCs w:val="36"/>
          <w:lang w:val="en-US" w:eastAsia="zh-CN"/>
        </w:rPr>
        <w:t xml:space="preserve"> </w:t>
      </w:r>
      <w:r>
        <w:rPr>
          <w:rFonts w:hint="eastAsia" w:ascii="黑体" w:hAnsi="黑体" w:eastAsia="黑体" w:cs="黑体"/>
          <w:b w:val="0"/>
          <w:bCs w:val="0"/>
          <w:color w:val="auto"/>
          <w:sz w:val="36"/>
          <w:szCs w:val="36"/>
        </w:rPr>
        <w:t>录</w:t>
      </w:r>
    </w:p>
    <w:p w14:paraId="7E118924">
      <w:pPr>
        <w:pStyle w:val="14"/>
        <w:keepNext w:val="0"/>
        <w:keepLines w:val="0"/>
        <w:pageBreakBefore w:val="0"/>
        <w:widowControl w:val="0"/>
        <w:tabs>
          <w:tab w:val="right" w:leader="dot" w:pos="9060"/>
        </w:tabs>
        <w:kinsoku/>
        <w:wordWrap/>
        <w:overflowPunct w:val="0"/>
        <w:topLinePunct/>
        <w:autoSpaceDE/>
        <w:autoSpaceDN/>
        <w:bidi w:val="0"/>
        <w:adjustRightInd w:val="0"/>
        <w:snapToGrid w:val="0"/>
        <w:spacing w:before="0" w:after="0" w:line="360" w:lineRule="auto"/>
        <w:ind w:left="0"/>
        <w:textAlignment w:val="top"/>
        <w:rPr>
          <w:rFonts w:hint="eastAsia" w:ascii="黑体" w:hAnsi="黑体" w:eastAsia="黑体" w:cs="黑体"/>
          <w:b w:val="0"/>
          <w:bCs w:val="0"/>
          <w:caps w:val="0"/>
          <w:color w:val="auto"/>
          <w:sz w:val="28"/>
          <w:szCs w:val="28"/>
        </w:rPr>
      </w:pPr>
      <w:r>
        <w:rPr>
          <w:rFonts w:ascii="Times New Roman" w:eastAsia="宋体"/>
          <w:b w:val="0"/>
          <w:bCs w:val="0"/>
          <w:caps w:val="0"/>
          <w:color w:val="auto"/>
          <w:sz w:val="28"/>
          <w:szCs w:val="28"/>
        </w:rPr>
        <w:fldChar w:fldCharType="begin"/>
      </w:r>
      <w:r>
        <w:rPr>
          <w:rFonts w:ascii="Times New Roman" w:eastAsia="宋体"/>
          <w:b w:val="0"/>
          <w:bCs w:val="0"/>
          <w:caps w:val="0"/>
          <w:color w:val="auto"/>
          <w:sz w:val="28"/>
          <w:szCs w:val="28"/>
        </w:rPr>
        <w:instrText xml:space="preserve"> TOC \o "1-3" \h \z \u </w:instrText>
      </w:r>
      <w:r>
        <w:rPr>
          <w:rFonts w:ascii="Times New Roman" w:eastAsia="宋体"/>
          <w:b w:val="0"/>
          <w:bCs w:val="0"/>
          <w:caps w:val="0"/>
          <w:color w:val="auto"/>
          <w:sz w:val="28"/>
          <w:szCs w:val="28"/>
        </w:rPr>
        <w:fldChar w:fldCharType="separate"/>
      </w:r>
      <w:r>
        <w:rPr>
          <w:rFonts w:hint="eastAsia" w:ascii="黑体" w:hAnsi="黑体" w:eastAsia="黑体" w:cs="黑体"/>
          <w:color w:val="auto"/>
        </w:rPr>
        <w:fldChar w:fldCharType="begin"/>
      </w:r>
      <w:r>
        <w:rPr>
          <w:rFonts w:hint="eastAsia" w:ascii="黑体" w:hAnsi="黑体" w:eastAsia="黑体" w:cs="黑体"/>
          <w:color w:val="auto"/>
        </w:rPr>
        <w:instrText xml:space="preserve"> HYPERLINK \l "_Toc155861768" </w:instrText>
      </w:r>
      <w:r>
        <w:rPr>
          <w:rFonts w:hint="eastAsia" w:ascii="黑体" w:hAnsi="黑体" w:eastAsia="黑体" w:cs="黑体"/>
          <w:color w:val="auto"/>
        </w:rPr>
        <w:fldChar w:fldCharType="separate"/>
      </w:r>
      <w:r>
        <w:rPr>
          <w:rStyle w:val="22"/>
          <w:rFonts w:hint="eastAsia" w:ascii="黑体" w:hAnsi="黑体" w:eastAsia="黑体" w:cs="黑体"/>
          <w:b w:val="0"/>
          <w:bCs w:val="0"/>
          <w:color w:val="auto"/>
          <w:sz w:val="28"/>
          <w:szCs w:val="28"/>
        </w:rPr>
        <w:t>1  总则</w:t>
      </w:r>
      <w:r>
        <w:rPr>
          <w:rFonts w:hint="eastAsia" w:ascii="黑体" w:hAnsi="黑体" w:eastAsia="黑体" w:cs="黑体"/>
          <w:b w:val="0"/>
          <w:bCs w:val="0"/>
          <w:color w:val="auto"/>
          <w:sz w:val="28"/>
          <w:szCs w:val="28"/>
        </w:rPr>
        <w:fldChar w:fldCharType="end"/>
      </w:r>
    </w:p>
    <w:p w14:paraId="2E80B0FF">
      <w:pPr>
        <w:pStyle w:val="17"/>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smallCap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"_Toc155861769"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color w:val="auto"/>
          <w:sz w:val="28"/>
          <w:szCs w:val="28"/>
        </w:rPr>
        <w:t>1.1  编制目的</w:t>
      </w:r>
      <w:r>
        <w:rPr>
          <w:rFonts w:hint="eastAsia" w:ascii="仿宋_GB2312" w:hAnsi="仿宋_GB2312" w:eastAsia="仿宋_GB2312" w:cs="仿宋_GB2312"/>
          <w:color w:val="auto"/>
          <w:sz w:val="28"/>
          <w:szCs w:val="28"/>
        </w:rPr>
        <w:fldChar w:fldCharType="end"/>
      </w:r>
    </w:p>
    <w:p w14:paraId="03B45030">
      <w:pPr>
        <w:pStyle w:val="17"/>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smallCap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"_Toc155861770"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color w:val="auto"/>
          <w:sz w:val="28"/>
          <w:szCs w:val="28"/>
        </w:rPr>
        <w:t>1.2  编制依据</w:t>
      </w:r>
      <w:r>
        <w:rPr>
          <w:rFonts w:hint="eastAsia" w:ascii="仿宋_GB2312" w:hAnsi="仿宋_GB2312" w:eastAsia="仿宋_GB2312" w:cs="仿宋_GB2312"/>
          <w:color w:val="auto"/>
          <w:sz w:val="28"/>
          <w:szCs w:val="28"/>
        </w:rPr>
        <w:fldChar w:fldCharType="end"/>
      </w:r>
    </w:p>
    <w:p w14:paraId="6D68BC55">
      <w:pPr>
        <w:pStyle w:val="17"/>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smallCap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"_Toc155861771"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color w:val="auto"/>
          <w:sz w:val="28"/>
          <w:szCs w:val="28"/>
        </w:rPr>
        <w:t>1.3  适用范围</w:t>
      </w:r>
      <w:r>
        <w:rPr>
          <w:rFonts w:hint="eastAsia" w:ascii="仿宋_GB2312" w:hAnsi="仿宋_GB2312" w:eastAsia="仿宋_GB2312" w:cs="仿宋_GB2312"/>
          <w:color w:val="auto"/>
          <w:sz w:val="28"/>
          <w:szCs w:val="28"/>
        </w:rPr>
        <w:fldChar w:fldCharType="end"/>
      </w:r>
    </w:p>
    <w:p w14:paraId="12593718">
      <w:pPr>
        <w:pStyle w:val="17"/>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smallCap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"_Toc155861772"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color w:val="auto"/>
          <w:sz w:val="28"/>
          <w:szCs w:val="28"/>
        </w:rPr>
        <w:t>1.4  工作原则</w:t>
      </w:r>
      <w:r>
        <w:rPr>
          <w:rFonts w:hint="eastAsia" w:ascii="仿宋_GB2312" w:hAnsi="仿宋_GB2312" w:eastAsia="仿宋_GB2312" w:cs="仿宋_GB2312"/>
          <w:color w:val="auto"/>
          <w:sz w:val="28"/>
          <w:szCs w:val="28"/>
        </w:rPr>
        <w:fldChar w:fldCharType="end"/>
      </w:r>
    </w:p>
    <w:p w14:paraId="6AE87DBF">
      <w:pPr>
        <w:pStyle w:val="14"/>
        <w:keepNext w:val="0"/>
        <w:keepLines w:val="0"/>
        <w:pageBreakBefore w:val="0"/>
        <w:widowControl w:val="0"/>
        <w:tabs>
          <w:tab w:val="right" w:leader="dot" w:pos="9060"/>
        </w:tabs>
        <w:kinsoku/>
        <w:wordWrap/>
        <w:overflowPunct w:val="0"/>
        <w:topLinePunct/>
        <w:autoSpaceDE/>
        <w:autoSpaceDN/>
        <w:bidi w:val="0"/>
        <w:adjustRightInd w:val="0"/>
        <w:snapToGrid w:val="0"/>
        <w:spacing w:before="0" w:after="0" w:line="360" w:lineRule="auto"/>
        <w:ind w:left="0"/>
        <w:textAlignment w:val="top"/>
        <w:rPr>
          <w:rFonts w:hint="eastAsia" w:ascii="黑体" w:hAnsi="黑体" w:eastAsia="黑体" w:cs="黑体"/>
          <w:b w:val="0"/>
          <w:bCs w:val="0"/>
          <w:caps w:val="0"/>
          <w:color w:val="auto"/>
          <w:sz w:val="28"/>
          <w:szCs w:val="28"/>
        </w:rPr>
      </w:pPr>
      <w:r>
        <w:rPr>
          <w:rFonts w:hint="eastAsia" w:ascii="黑体" w:hAnsi="黑体" w:eastAsia="黑体" w:cs="黑体"/>
          <w:color w:val="auto"/>
        </w:rPr>
        <w:fldChar w:fldCharType="begin"/>
      </w:r>
      <w:r>
        <w:rPr>
          <w:rFonts w:hint="eastAsia" w:ascii="黑体" w:hAnsi="黑体" w:eastAsia="黑体" w:cs="黑体"/>
          <w:color w:val="auto"/>
        </w:rPr>
        <w:instrText xml:space="preserve"> HYPERLINK \l "_Toc155861773" </w:instrText>
      </w:r>
      <w:r>
        <w:rPr>
          <w:rFonts w:hint="eastAsia" w:ascii="黑体" w:hAnsi="黑体" w:eastAsia="黑体" w:cs="黑体"/>
          <w:color w:val="auto"/>
        </w:rPr>
        <w:fldChar w:fldCharType="separate"/>
      </w:r>
      <w:r>
        <w:rPr>
          <w:rStyle w:val="22"/>
          <w:rFonts w:hint="eastAsia" w:ascii="黑体" w:hAnsi="黑体" w:eastAsia="黑体" w:cs="黑体"/>
          <w:b w:val="0"/>
          <w:bCs w:val="0"/>
          <w:color w:val="auto"/>
          <w:sz w:val="28"/>
          <w:szCs w:val="28"/>
        </w:rPr>
        <w:t>2  应急组织体系</w:t>
      </w:r>
      <w:r>
        <w:rPr>
          <w:rFonts w:hint="eastAsia" w:ascii="黑体" w:hAnsi="黑体" w:eastAsia="黑体" w:cs="黑体"/>
          <w:b w:val="0"/>
          <w:bCs w:val="0"/>
          <w:color w:val="auto"/>
          <w:sz w:val="28"/>
          <w:szCs w:val="28"/>
        </w:rPr>
        <w:fldChar w:fldCharType="end"/>
      </w:r>
    </w:p>
    <w:p w14:paraId="5D615BFC">
      <w:pPr>
        <w:pStyle w:val="17"/>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smallCap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"_Toc155861774"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color w:val="auto"/>
          <w:sz w:val="28"/>
          <w:szCs w:val="28"/>
        </w:rPr>
        <w:t>2.1  组织机构</w:t>
      </w:r>
      <w:r>
        <w:rPr>
          <w:rFonts w:hint="eastAsia" w:ascii="仿宋_GB2312" w:hAnsi="仿宋_GB2312" w:eastAsia="仿宋_GB2312" w:cs="仿宋_GB2312"/>
          <w:color w:val="auto"/>
          <w:sz w:val="28"/>
          <w:szCs w:val="28"/>
        </w:rPr>
        <w:fldChar w:fldCharType="end"/>
      </w:r>
    </w:p>
    <w:p w14:paraId="5FF91270">
      <w:pPr>
        <w:pStyle w:val="10"/>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i w:val="0"/>
          <w:iC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"_Toc155861775"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i w:val="0"/>
          <w:iCs w:val="0"/>
          <w:color w:val="auto"/>
          <w:sz w:val="28"/>
          <w:szCs w:val="28"/>
        </w:rPr>
        <w:t>2.1.1  街道应急组织组成</w:t>
      </w:r>
      <w:r>
        <w:rPr>
          <w:rFonts w:hint="eastAsia" w:ascii="仿宋_GB2312" w:hAnsi="仿宋_GB2312" w:eastAsia="仿宋_GB2312" w:cs="仿宋_GB2312"/>
          <w:i w:val="0"/>
          <w:iCs w:val="0"/>
          <w:color w:val="auto"/>
          <w:sz w:val="28"/>
          <w:szCs w:val="28"/>
        </w:rPr>
        <w:fldChar w:fldCharType="end"/>
      </w:r>
    </w:p>
    <w:p w14:paraId="39CCA11C">
      <w:pPr>
        <w:pStyle w:val="10"/>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i w:val="0"/>
          <w:iC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"_Toc155861776"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i w:val="0"/>
          <w:iCs w:val="0"/>
          <w:color w:val="auto"/>
          <w:sz w:val="28"/>
          <w:szCs w:val="28"/>
        </w:rPr>
        <w:t>2.1.2  各机构设置及职责</w:t>
      </w:r>
      <w:r>
        <w:rPr>
          <w:rFonts w:hint="eastAsia" w:ascii="仿宋_GB2312" w:hAnsi="仿宋_GB2312" w:eastAsia="仿宋_GB2312" w:cs="仿宋_GB2312"/>
          <w:i w:val="0"/>
          <w:iCs w:val="0"/>
          <w:color w:val="auto"/>
          <w:sz w:val="28"/>
          <w:szCs w:val="28"/>
        </w:rPr>
        <w:fldChar w:fldCharType="end"/>
      </w:r>
    </w:p>
    <w:p w14:paraId="54AD3E8D">
      <w:pPr>
        <w:pStyle w:val="17"/>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smallCap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"_Toc155861777"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color w:val="auto"/>
          <w:sz w:val="28"/>
          <w:szCs w:val="28"/>
        </w:rPr>
        <w:t>2.2  成员单位</w:t>
      </w:r>
      <w:r>
        <w:rPr>
          <w:rFonts w:hint="eastAsia" w:ascii="仿宋_GB2312" w:hAnsi="仿宋_GB2312" w:eastAsia="仿宋_GB2312" w:cs="仿宋_GB2312"/>
          <w:color w:val="auto"/>
          <w:sz w:val="28"/>
          <w:szCs w:val="28"/>
        </w:rPr>
        <w:fldChar w:fldCharType="end"/>
      </w:r>
    </w:p>
    <w:p w14:paraId="35144C5D">
      <w:pPr>
        <w:pStyle w:val="10"/>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i w:val="0"/>
          <w:iC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"_Toc155861778"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i w:val="0"/>
          <w:iCs w:val="0"/>
          <w:color w:val="auto"/>
          <w:sz w:val="28"/>
          <w:szCs w:val="28"/>
        </w:rPr>
        <w:t>2.2.1  主要成员单位</w:t>
      </w:r>
      <w:r>
        <w:rPr>
          <w:rFonts w:hint="eastAsia" w:ascii="仿宋_GB2312" w:hAnsi="仿宋_GB2312" w:eastAsia="仿宋_GB2312" w:cs="仿宋_GB2312"/>
          <w:i w:val="0"/>
          <w:iCs w:val="0"/>
          <w:color w:val="auto"/>
          <w:sz w:val="28"/>
          <w:szCs w:val="28"/>
        </w:rPr>
        <w:fldChar w:fldCharType="end"/>
      </w:r>
    </w:p>
    <w:p w14:paraId="2EAEC87E">
      <w:pPr>
        <w:pStyle w:val="10"/>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i w:val="0"/>
          <w:iC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"_Toc155861779"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i w:val="0"/>
          <w:iCs w:val="0"/>
          <w:color w:val="auto"/>
          <w:sz w:val="28"/>
          <w:szCs w:val="28"/>
        </w:rPr>
        <w:t>2.2.2  成员单位职责</w:t>
      </w:r>
      <w:r>
        <w:rPr>
          <w:rFonts w:hint="eastAsia" w:ascii="仿宋_GB2312" w:hAnsi="仿宋_GB2312" w:eastAsia="仿宋_GB2312" w:cs="仿宋_GB2312"/>
          <w:i w:val="0"/>
          <w:iCs w:val="0"/>
          <w:color w:val="auto"/>
          <w:sz w:val="28"/>
          <w:szCs w:val="28"/>
        </w:rPr>
        <w:fldChar w:fldCharType="end"/>
      </w:r>
    </w:p>
    <w:p w14:paraId="46A23DA4">
      <w:pPr>
        <w:pStyle w:val="17"/>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smallCap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"_Toc155861780"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color w:val="auto"/>
          <w:sz w:val="28"/>
          <w:szCs w:val="28"/>
        </w:rPr>
        <w:t>2.3  应急工作组</w:t>
      </w:r>
      <w:r>
        <w:rPr>
          <w:rFonts w:hint="eastAsia" w:ascii="仿宋_GB2312" w:hAnsi="仿宋_GB2312" w:eastAsia="仿宋_GB2312" w:cs="仿宋_GB2312"/>
          <w:color w:val="auto"/>
          <w:sz w:val="28"/>
          <w:szCs w:val="28"/>
        </w:rPr>
        <w:fldChar w:fldCharType="end"/>
      </w:r>
    </w:p>
    <w:p w14:paraId="7EF60445">
      <w:pPr>
        <w:pStyle w:val="14"/>
        <w:keepNext w:val="0"/>
        <w:keepLines w:val="0"/>
        <w:pageBreakBefore w:val="0"/>
        <w:widowControl w:val="0"/>
        <w:tabs>
          <w:tab w:val="right" w:leader="dot" w:pos="9060"/>
        </w:tabs>
        <w:kinsoku/>
        <w:wordWrap/>
        <w:overflowPunct w:val="0"/>
        <w:topLinePunct/>
        <w:autoSpaceDE/>
        <w:autoSpaceDN/>
        <w:bidi w:val="0"/>
        <w:adjustRightInd w:val="0"/>
        <w:snapToGrid w:val="0"/>
        <w:spacing w:before="0" w:after="0" w:line="360" w:lineRule="auto"/>
        <w:ind w:left="0"/>
        <w:textAlignment w:val="top"/>
        <w:rPr>
          <w:rFonts w:hint="eastAsia" w:ascii="黑体" w:hAnsi="黑体" w:eastAsia="黑体" w:cs="黑体"/>
          <w:b w:val="0"/>
          <w:bCs w:val="0"/>
          <w:caps w:val="0"/>
          <w:color w:val="auto"/>
          <w:sz w:val="28"/>
          <w:szCs w:val="28"/>
        </w:rPr>
      </w:pPr>
      <w:r>
        <w:rPr>
          <w:rStyle w:val="22"/>
          <w:rFonts w:hint="eastAsia" w:ascii="黑体" w:hAnsi="黑体" w:eastAsia="黑体" w:cs="黑体"/>
          <w:b w:val="0"/>
          <w:bCs w:val="0"/>
          <w:color w:val="auto"/>
          <w:sz w:val="28"/>
          <w:szCs w:val="28"/>
        </w:rPr>
        <w:t>3  风险分</w:t>
      </w:r>
      <w:r>
        <w:rPr>
          <w:rFonts w:hint="eastAsia" w:ascii="黑体" w:hAnsi="黑体" w:eastAsia="黑体" w:cs="黑体"/>
          <w:color w:val="auto"/>
        </w:rPr>
        <w:fldChar w:fldCharType="begin"/>
      </w:r>
      <w:r>
        <w:rPr>
          <w:rFonts w:hint="eastAsia" w:ascii="黑体" w:hAnsi="黑体" w:eastAsia="黑体" w:cs="黑体"/>
          <w:color w:val="auto"/>
        </w:rPr>
        <w:instrText xml:space="preserve"> HYPERLINK \l "_Toc155861781" </w:instrText>
      </w:r>
      <w:r>
        <w:rPr>
          <w:rFonts w:hint="eastAsia" w:ascii="黑体" w:hAnsi="黑体" w:eastAsia="黑体" w:cs="黑体"/>
          <w:color w:val="auto"/>
        </w:rPr>
        <w:fldChar w:fldCharType="separate"/>
      </w:r>
      <w:r>
        <w:rPr>
          <w:rStyle w:val="22"/>
          <w:rFonts w:hint="eastAsia" w:ascii="黑体" w:hAnsi="黑体" w:eastAsia="黑体" w:cs="黑体"/>
          <w:b w:val="0"/>
          <w:bCs w:val="0"/>
          <w:color w:val="auto"/>
          <w:sz w:val="28"/>
          <w:szCs w:val="28"/>
        </w:rPr>
        <w:t>析</w:t>
      </w:r>
      <w:r>
        <w:rPr>
          <w:rFonts w:hint="eastAsia" w:ascii="黑体" w:hAnsi="黑体" w:eastAsia="黑体" w:cs="黑体"/>
          <w:b w:val="0"/>
          <w:bCs w:val="0"/>
          <w:color w:val="auto"/>
          <w:sz w:val="28"/>
          <w:szCs w:val="28"/>
        </w:rPr>
        <w:fldChar w:fldCharType="end"/>
      </w:r>
    </w:p>
    <w:p w14:paraId="0DB9465D">
      <w:pPr>
        <w:pStyle w:val="17"/>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smallCap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"_Toc155861782"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color w:val="auto"/>
          <w:sz w:val="28"/>
          <w:szCs w:val="28"/>
        </w:rPr>
        <w:t>3.1  风险分析</w:t>
      </w:r>
      <w:r>
        <w:rPr>
          <w:rFonts w:hint="eastAsia" w:ascii="仿宋_GB2312" w:hAnsi="仿宋_GB2312" w:eastAsia="仿宋_GB2312" w:cs="仿宋_GB2312"/>
          <w:color w:val="auto"/>
          <w:sz w:val="28"/>
          <w:szCs w:val="28"/>
        </w:rPr>
        <w:fldChar w:fldCharType="end"/>
      </w:r>
    </w:p>
    <w:p w14:paraId="4C7F0FC6">
      <w:pPr>
        <w:pStyle w:val="17"/>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smallCap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"_Toc155861783"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color w:val="auto"/>
          <w:sz w:val="28"/>
          <w:szCs w:val="28"/>
        </w:rPr>
        <w:t>3.2  事故分级</w:t>
      </w:r>
      <w:r>
        <w:rPr>
          <w:rFonts w:hint="eastAsia" w:ascii="仿宋_GB2312" w:hAnsi="仿宋_GB2312" w:eastAsia="仿宋_GB2312" w:cs="仿宋_GB2312"/>
          <w:color w:val="auto"/>
          <w:sz w:val="28"/>
          <w:szCs w:val="28"/>
        </w:rPr>
        <w:fldChar w:fldCharType="end"/>
      </w:r>
    </w:p>
    <w:p w14:paraId="446004A1">
      <w:pPr>
        <w:pStyle w:val="14"/>
        <w:keepNext w:val="0"/>
        <w:keepLines w:val="0"/>
        <w:pageBreakBefore w:val="0"/>
        <w:widowControl w:val="0"/>
        <w:tabs>
          <w:tab w:val="right" w:leader="dot" w:pos="9060"/>
        </w:tabs>
        <w:kinsoku/>
        <w:wordWrap/>
        <w:overflowPunct w:val="0"/>
        <w:topLinePunct/>
        <w:autoSpaceDE/>
        <w:autoSpaceDN/>
        <w:bidi w:val="0"/>
        <w:adjustRightInd w:val="0"/>
        <w:snapToGrid w:val="0"/>
        <w:spacing w:before="0" w:after="0" w:line="360" w:lineRule="auto"/>
        <w:ind w:left="0"/>
        <w:textAlignment w:val="top"/>
        <w:rPr>
          <w:rFonts w:hint="eastAsia" w:ascii="黑体" w:hAnsi="黑体" w:eastAsia="黑体" w:cs="黑体"/>
          <w:b w:val="0"/>
          <w:bCs w:val="0"/>
          <w:caps w:val="0"/>
          <w:color w:val="auto"/>
          <w:sz w:val="28"/>
          <w:szCs w:val="28"/>
        </w:rPr>
      </w:pPr>
      <w:r>
        <w:rPr>
          <w:rFonts w:hint="eastAsia" w:ascii="黑体" w:hAnsi="黑体" w:eastAsia="黑体" w:cs="黑体"/>
          <w:color w:val="auto"/>
        </w:rPr>
        <w:fldChar w:fldCharType="begin"/>
      </w:r>
      <w:r>
        <w:rPr>
          <w:rFonts w:hint="eastAsia" w:ascii="黑体" w:hAnsi="黑体" w:eastAsia="黑体" w:cs="黑体"/>
          <w:color w:val="auto"/>
        </w:rPr>
        <w:instrText xml:space="preserve"> HYPERLINK \l "_Toc155861784" </w:instrText>
      </w:r>
      <w:r>
        <w:rPr>
          <w:rFonts w:hint="eastAsia" w:ascii="黑体" w:hAnsi="黑体" w:eastAsia="黑体" w:cs="黑体"/>
          <w:color w:val="auto"/>
        </w:rPr>
        <w:fldChar w:fldCharType="separate"/>
      </w:r>
      <w:r>
        <w:rPr>
          <w:rStyle w:val="22"/>
          <w:rFonts w:hint="eastAsia" w:ascii="黑体" w:hAnsi="黑体" w:eastAsia="黑体" w:cs="黑体"/>
          <w:b w:val="0"/>
          <w:bCs w:val="0"/>
          <w:color w:val="auto"/>
          <w:sz w:val="28"/>
          <w:szCs w:val="28"/>
        </w:rPr>
        <w:t>4  应急响应</w:t>
      </w:r>
      <w:r>
        <w:rPr>
          <w:rFonts w:hint="eastAsia" w:ascii="黑体" w:hAnsi="黑体" w:eastAsia="黑体" w:cs="黑体"/>
          <w:b w:val="0"/>
          <w:bCs w:val="0"/>
          <w:color w:val="auto"/>
          <w:sz w:val="28"/>
          <w:szCs w:val="28"/>
        </w:rPr>
        <w:fldChar w:fldCharType="end"/>
      </w:r>
    </w:p>
    <w:p w14:paraId="0C269C60">
      <w:pPr>
        <w:pStyle w:val="17"/>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smallCap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"_Toc155861785"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color w:val="auto"/>
          <w:sz w:val="28"/>
          <w:szCs w:val="28"/>
        </w:rPr>
        <w:t>4.1  信息报告</w:t>
      </w:r>
      <w:r>
        <w:rPr>
          <w:rFonts w:hint="eastAsia" w:ascii="仿宋_GB2312" w:hAnsi="仿宋_GB2312" w:eastAsia="仿宋_GB2312" w:cs="仿宋_GB2312"/>
          <w:color w:val="auto"/>
          <w:sz w:val="28"/>
          <w:szCs w:val="28"/>
        </w:rPr>
        <w:fldChar w:fldCharType="end"/>
      </w:r>
    </w:p>
    <w:p w14:paraId="3F740708">
      <w:pPr>
        <w:pStyle w:val="10"/>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i w:val="0"/>
          <w:iC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"_Toc155861786"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i w:val="0"/>
          <w:iCs w:val="0"/>
          <w:color w:val="auto"/>
          <w:sz w:val="28"/>
          <w:szCs w:val="28"/>
        </w:rPr>
        <w:t>4.1.1  应急值守电话</w:t>
      </w:r>
      <w:r>
        <w:rPr>
          <w:rFonts w:hint="eastAsia" w:ascii="仿宋_GB2312" w:hAnsi="仿宋_GB2312" w:eastAsia="仿宋_GB2312" w:cs="仿宋_GB2312"/>
          <w:i w:val="0"/>
          <w:iCs w:val="0"/>
          <w:color w:val="auto"/>
          <w:sz w:val="28"/>
          <w:szCs w:val="28"/>
        </w:rPr>
        <w:fldChar w:fldCharType="end"/>
      </w:r>
    </w:p>
    <w:p w14:paraId="1468D141">
      <w:pPr>
        <w:pStyle w:val="10"/>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i w:val="0"/>
          <w:iC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"_Toc155861787"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i w:val="0"/>
          <w:iCs w:val="0"/>
          <w:color w:val="auto"/>
          <w:sz w:val="28"/>
          <w:szCs w:val="28"/>
        </w:rPr>
        <w:t>4.1.2  事故信息报警</w:t>
      </w:r>
      <w:r>
        <w:rPr>
          <w:rFonts w:hint="eastAsia" w:ascii="仿宋_GB2312" w:hAnsi="仿宋_GB2312" w:eastAsia="仿宋_GB2312" w:cs="仿宋_GB2312"/>
          <w:i w:val="0"/>
          <w:iCs w:val="0"/>
          <w:color w:val="auto"/>
          <w:sz w:val="28"/>
          <w:szCs w:val="28"/>
        </w:rPr>
        <w:fldChar w:fldCharType="end"/>
      </w:r>
    </w:p>
    <w:p w14:paraId="2B6F48F9">
      <w:pPr>
        <w:pStyle w:val="10"/>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i w:val="0"/>
          <w:iC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"_Toc155861788"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i w:val="0"/>
          <w:iCs w:val="0"/>
          <w:color w:val="auto"/>
          <w:sz w:val="28"/>
          <w:szCs w:val="28"/>
        </w:rPr>
        <w:t>4.1.3  事故信息接警</w:t>
      </w:r>
      <w:r>
        <w:rPr>
          <w:rFonts w:hint="eastAsia" w:ascii="仿宋_GB2312" w:hAnsi="仿宋_GB2312" w:eastAsia="仿宋_GB2312" w:cs="仿宋_GB2312"/>
          <w:i w:val="0"/>
          <w:iCs w:val="0"/>
          <w:color w:val="auto"/>
          <w:sz w:val="28"/>
          <w:szCs w:val="28"/>
        </w:rPr>
        <w:fldChar w:fldCharType="end"/>
      </w:r>
    </w:p>
    <w:p w14:paraId="5C0905B0">
      <w:pPr>
        <w:pStyle w:val="10"/>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i w:val="0"/>
          <w:iC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"_Toc155861789"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i w:val="0"/>
          <w:iCs w:val="0"/>
          <w:color w:val="auto"/>
          <w:sz w:val="28"/>
          <w:szCs w:val="28"/>
        </w:rPr>
        <w:t>4.1.4  事故信息处置</w:t>
      </w:r>
      <w:r>
        <w:rPr>
          <w:rFonts w:hint="eastAsia" w:ascii="仿宋_GB2312" w:hAnsi="仿宋_GB2312" w:eastAsia="仿宋_GB2312" w:cs="仿宋_GB2312"/>
          <w:i w:val="0"/>
          <w:iCs w:val="0"/>
          <w:color w:val="auto"/>
          <w:sz w:val="28"/>
          <w:szCs w:val="28"/>
        </w:rPr>
        <w:fldChar w:fldCharType="end"/>
      </w:r>
    </w:p>
    <w:p w14:paraId="251F6FF8">
      <w:pPr>
        <w:pStyle w:val="10"/>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i w:val="0"/>
          <w:iC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"_Toc155861790"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i w:val="0"/>
          <w:iCs w:val="0"/>
          <w:color w:val="auto"/>
          <w:sz w:val="28"/>
          <w:szCs w:val="28"/>
        </w:rPr>
        <w:t>4.1.5  事故信息通报</w:t>
      </w:r>
      <w:r>
        <w:rPr>
          <w:rFonts w:hint="eastAsia" w:ascii="仿宋_GB2312" w:hAnsi="仿宋_GB2312" w:eastAsia="仿宋_GB2312" w:cs="仿宋_GB2312"/>
          <w:i w:val="0"/>
          <w:iCs w:val="0"/>
          <w:color w:val="auto"/>
          <w:sz w:val="28"/>
          <w:szCs w:val="28"/>
        </w:rPr>
        <w:fldChar w:fldCharType="end"/>
      </w:r>
    </w:p>
    <w:p w14:paraId="71FFC266">
      <w:pPr>
        <w:pStyle w:val="10"/>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i w:val="0"/>
          <w:iC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"_Toc155861791"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i w:val="0"/>
          <w:iCs w:val="0"/>
          <w:color w:val="auto"/>
          <w:sz w:val="28"/>
          <w:szCs w:val="28"/>
        </w:rPr>
        <w:t>4.1.6  事故信息上报</w:t>
      </w:r>
      <w:r>
        <w:rPr>
          <w:rFonts w:hint="eastAsia" w:ascii="仿宋_GB2312" w:hAnsi="仿宋_GB2312" w:eastAsia="仿宋_GB2312" w:cs="仿宋_GB2312"/>
          <w:i w:val="0"/>
          <w:iCs w:val="0"/>
          <w:color w:val="auto"/>
          <w:sz w:val="28"/>
          <w:szCs w:val="28"/>
        </w:rPr>
        <w:fldChar w:fldCharType="end"/>
      </w:r>
    </w:p>
    <w:p w14:paraId="60E66081">
      <w:pPr>
        <w:pStyle w:val="10"/>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i w:val="0"/>
          <w:iC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"_Toc155861792"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i w:val="0"/>
          <w:iCs w:val="0"/>
          <w:color w:val="auto"/>
          <w:sz w:val="28"/>
          <w:szCs w:val="28"/>
        </w:rPr>
        <w:t>4.1.7  事故补报续报</w:t>
      </w:r>
      <w:r>
        <w:rPr>
          <w:rFonts w:hint="eastAsia" w:ascii="仿宋_GB2312" w:hAnsi="仿宋_GB2312" w:eastAsia="仿宋_GB2312" w:cs="仿宋_GB2312"/>
          <w:i w:val="0"/>
          <w:iCs w:val="0"/>
          <w:color w:val="auto"/>
          <w:sz w:val="28"/>
          <w:szCs w:val="28"/>
        </w:rPr>
        <w:fldChar w:fldCharType="end"/>
      </w:r>
    </w:p>
    <w:p w14:paraId="596F689D">
      <w:pPr>
        <w:pStyle w:val="17"/>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smallCap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"_Toc155861793"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color w:val="auto"/>
          <w:sz w:val="28"/>
          <w:szCs w:val="28"/>
        </w:rPr>
        <w:t>4.2  预警</w:t>
      </w:r>
      <w:r>
        <w:rPr>
          <w:rFonts w:hint="eastAsia" w:ascii="仿宋_GB2312" w:hAnsi="仿宋_GB2312" w:eastAsia="仿宋_GB2312" w:cs="仿宋_GB2312"/>
          <w:color w:val="auto"/>
          <w:sz w:val="28"/>
          <w:szCs w:val="28"/>
        </w:rPr>
        <w:fldChar w:fldCharType="end"/>
      </w:r>
    </w:p>
    <w:p w14:paraId="4B7DBCF9">
      <w:pPr>
        <w:pStyle w:val="10"/>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i w:val="0"/>
          <w:iC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"_Toc155861794"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i w:val="0"/>
          <w:iCs w:val="0"/>
          <w:color w:val="auto"/>
          <w:sz w:val="28"/>
          <w:szCs w:val="28"/>
        </w:rPr>
        <w:t>4.2.1  预警级别划分</w:t>
      </w:r>
      <w:r>
        <w:rPr>
          <w:rFonts w:hint="eastAsia" w:ascii="仿宋_GB2312" w:hAnsi="仿宋_GB2312" w:eastAsia="仿宋_GB2312" w:cs="仿宋_GB2312"/>
          <w:i w:val="0"/>
          <w:iCs w:val="0"/>
          <w:color w:val="auto"/>
          <w:sz w:val="28"/>
          <w:szCs w:val="28"/>
        </w:rPr>
        <w:fldChar w:fldCharType="end"/>
      </w:r>
    </w:p>
    <w:p w14:paraId="5CEB38B8">
      <w:pPr>
        <w:pStyle w:val="10"/>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i w:val="0"/>
          <w:iC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"_Toc155861795"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i w:val="0"/>
          <w:iCs w:val="0"/>
          <w:color w:val="auto"/>
          <w:sz w:val="28"/>
          <w:szCs w:val="28"/>
        </w:rPr>
        <w:t>4.2.2  预警启动条件</w:t>
      </w:r>
      <w:r>
        <w:rPr>
          <w:rFonts w:hint="eastAsia" w:ascii="仿宋_GB2312" w:hAnsi="仿宋_GB2312" w:eastAsia="仿宋_GB2312" w:cs="仿宋_GB2312"/>
          <w:i w:val="0"/>
          <w:iCs w:val="0"/>
          <w:color w:val="auto"/>
          <w:sz w:val="28"/>
          <w:szCs w:val="28"/>
        </w:rPr>
        <w:fldChar w:fldCharType="end"/>
      </w:r>
    </w:p>
    <w:p w14:paraId="11377C99">
      <w:pPr>
        <w:pStyle w:val="10"/>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i w:val="0"/>
          <w:iC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"_Toc155861796"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i w:val="0"/>
          <w:iCs w:val="0"/>
          <w:color w:val="auto"/>
          <w:sz w:val="28"/>
          <w:szCs w:val="28"/>
        </w:rPr>
        <w:t>4.2.3  预警启动流程</w:t>
      </w:r>
      <w:r>
        <w:rPr>
          <w:rFonts w:hint="eastAsia" w:ascii="仿宋_GB2312" w:hAnsi="仿宋_GB2312" w:eastAsia="仿宋_GB2312" w:cs="仿宋_GB2312"/>
          <w:i w:val="0"/>
          <w:iCs w:val="0"/>
          <w:color w:val="auto"/>
          <w:sz w:val="28"/>
          <w:szCs w:val="28"/>
        </w:rPr>
        <w:fldChar w:fldCharType="end"/>
      </w:r>
    </w:p>
    <w:p w14:paraId="63FF804F">
      <w:pPr>
        <w:pStyle w:val="10"/>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i w:val="0"/>
          <w:iC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"_Toc155861797"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i w:val="0"/>
          <w:iCs w:val="0"/>
          <w:color w:val="auto"/>
          <w:sz w:val="28"/>
          <w:szCs w:val="28"/>
        </w:rPr>
        <w:t>4.2.4  预警信息发布</w:t>
      </w:r>
      <w:r>
        <w:rPr>
          <w:rFonts w:hint="eastAsia" w:ascii="仿宋_GB2312" w:hAnsi="仿宋_GB2312" w:eastAsia="仿宋_GB2312" w:cs="仿宋_GB2312"/>
          <w:i w:val="0"/>
          <w:iCs w:val="0"/>
          <w:color w:val="auto"/>
          <w:sz w:val="28"/>
          <w:szCs w:val="28"/>
        </w:rPr>
        <w:fldChar w:fldCharType="end"/>
      </w:r>
    </w:p>
    <w:p w14:paraId="3EAB869D">
      <w:pPr>
        <w:pStyle w:val="10"/>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i w:val="0"/>
          <w:iC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"_Toc155861798"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i w:val="0"/>
          <w:iCs w:val="0"/>
          <w:color w:val="auto"/>
          <w:sz w:val="28"/>
          <w:szCs w:val="28"/>
        </w:rPr>
        <w:t>4.2.5  预警响应措施</w:t>
      </w:r>
      <w:r>
        <w:rPr>
          <w:rFonts w:hint="eastAsia" w:ascii="仿宋_GB2312" w:hAnsi="仿宋_GB2312" w:eastAsia="仿宋_GB2312" w:cs="仿宋_GB2312"/>
          <w:i w:val="0"/>
          <w:iCs w:val="0"/>
          <w:color w:val="auto"/>
          <w:sz w:val="28"/>
          <w:szCs w:val="28"/>
        </w:rPr>
        <w:fldChar w:fldCharType="end"/>
      </w:r>
    </w:p>
    <w:p w14:paraId="27104C16">
      <w:pPr>
        <w:pStyle w:val="10"/>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i w:val="0"/>
          <w:iC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"_Toc155861799"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i w:val="0"/>
          <w:iCs w:val="0"/>
          <w:color w:val="auto"/>
          <w:sz w:val="28"/>
          <w:szCs w:val="28"/>
        </w:rPr>
        <w:t>4.2.6  预警信息解除</w:t>
      </w:r>
      <w:r>
        <w:rPr>
          <w:rFonts w:hint="eastAsia" w:ascii="仿宋_GB2312" w:hAnsi="仿宋_GB2312" w:eastAsia="仿宋_GB2312" w:cs="仿宋_GB2312"/>
          <w:i w:val="0"/>
          <w:iCs w:val="0"/>
          <w:color w:val="auto"/>
          <w:sz w:val="28"/>
          <w:szCs w:val="28"/>
        </w:rPr>
        <w:fldChar w:fldCharType="end"/>
      </w:r>
    </w:p>
    <w:p w14:paraId="73C802D0">
      <w:pPr>
        <w:pStyle w:val="17"/>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smallCap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"_Toc155861800"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color w:val="auto"/>
          <w:sz w:val="28"/>
          <w:szCs w:val="28"/>
        </w:rPr>
        <w:t>4.3  应急处置</w:t>
      </w:r>
      <w:r>
        <w:rPr>
          <w:rFonts w:hint="eastAsia" w:ascii="仿宋_GB2312" w:hAnsi="仿宋_GB2312" w:eastAsia="仿宋_GB2312" w:cs="仿宋_GB2312"/>
          <w:color w:val="auto"/>
          <w:sz w:val="28"/>
          <w:szCs w:val="28"/>
        </w:rPr>
        <w:fldChar w:fldCharType="end"/>
      </w:r>
    </w:p>
    <w:p w14:paraId="4FDDC333">
      <w:pPr>
        <w:pStyle w:val="10"/>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i w:val="0"/>
          <w:iC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"_Toc155861801"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i w:val="0"/>
          <w:iCs w:val="0"/>
          <w:color w:val="auto"/>
          <w:sz w:val="28"/>
          <w:szCs w:val="28"/>
        </w:rPr>
        <w:t>4.3.1  响应级别划分</w:t>
      </w:r>
      <w:r>
        <w:rPr>
          <w:rFonts w:hint="eastAsia" w:ascii="仿宋_GB2312" w:hAnsi="仿宋_GB2312" w:eastAsia="仿宋_GB2312" w:cs="仿宋_GB2312"/>
          <w:i w:val="0"/>
          <w:iCs w:val="0"/>
          <w:color w:val="auto"/>
          <w:sz w:val="28"/>
          <w:szCs w:val="28"/>
        </w:rPr>
        <w:fldChar w:fldCharType="end"/>
      </w:r>
    </w:p>
    <w:p w14:paraId="5B98A35F">
      <w:pPr>
        <w:pStyle w:val="10"/>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i w:val="0"/>
          <w:iC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"_Toc155861802"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i w:val="0"/>
          <w:iCs w:val="0"/>
          <w:color w:val="auto"/>
          <w:sz w:val="28"/>
          <w:szCs w:val="28"/>
        </w:rPr>
        <w:t>4.3.2  响应启动条件</w:t>
      </w:r>
      <w:r>
        <w:rPr>
          <w:rFonts w:hint="eastAsia" w:ascii="仿宋_GB2312" w:hAnsi="仿宋_GB2312" w:eastAsia="仿宋_GB2312" w:cs="仿宋_GB2312"/>
          <w:i w:val="0"/>
          <w:iCs w:val="0"/>
          <w:color w:val="auto"/>
          <w:sz w:val="28"/>
          <w:szCs w:val="28"/>
        </w:rPr>
        <w:fldChar w:fldCharType="end"/>
      </w:r>
    </w:p>
    <w:p w14:paraId="770F071D">
      <w:pPr>
        <w:pStyle w:val="10"/>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i w:val="0"/>
          <w:iC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"_Toc155861803"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i w:val="0"/>
          <w:iCs w:val="0"/>
          <w:color w:val="auto"/>
          <w:sz w:val="28"/>
          <w:szCs w:val="28"/>
        </w:rPr>
        <w:t>4.3.3  应急响应启动</w:t>
      </w:r>
      <w:r>
        <w:rPr>
          <w:rFonts w:hint="eastAsia" w:ascii="仿宋_GB2312" w:hAnsi="仿宋_GB2312" w:eastAsia="仿宋_GB2312" w:cs="仿宋_GB2312"/>
          <w:i w:val="0"/>
          <w:iCs w:val="0"/>
          <w:color w:val="auto"/>
          <w:sz w:val="28"/>
          <w:szCs w:val="28"/>
        </w:rPr>
        <w:fldChar w:fldCharType="end"/>
      </w:r>
    </w:p>
    <w:p w14:paraId="1E3CD0DA">
      <w:pPr>
        <w:pStyle w:val="10"/>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i w:val="0"/>
          <w:iC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"_Toc155861804"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i w:val="0"/>
          <w:iCs w:val="0"/>
          <w:color w:val="auto"/>
          <w:sz w:val="28"/>
          <w:szCs w:val="28"/>
        </w:rPr>
        <w:t>4.3.4  应急响应流程</w:t>
      </w:r>
      <w:r>
        <w:rPr>
          <w:rFonts w:hint="eastAsia" w:ascii="仿宋_GB2312" w:hAnsi="仿宋_GB2312" w:eastAsia="仿宋_GB2312" w:cs="仿宋_GB2312"/>
          <w:i w:val="0"/>
          <w:iCs w:val="0"/>
          <w:color w:val="auto"/>
          <w:sz w:val="28"/>
          <w:szCs w:val="28"/>
        </w:rPr>
        <w:fldChar w:fldCharType="end"/>
      </w:r>
    </w:p>
    <w:p w14:paraId="3C5A5743">
      <w:pPr>
        <w:pStyle w:val="10"/>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i w:val="0"/>
          <w:iC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"_Toc155861805"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i w:val="0"/>
          <w:iCs w:val="0"/>
          <w:color w:val="auto"/>
          <w:sz w:val="28"/>
          <w:szCs w:val="28"/>
        </w:rPr>
        <w:t>4.3.5  应急处置措施</w:t>
      </w:r>
      <w:r>
        <w:rPr>
          <w:rFonts w:hint="eastAsia" w:ascii="仿宋_GB2312" w:hAnsi="仿宋_GB2312" w:eastAsia="仿宋_GB2312" w:cs="仿宋_GB2312"/>
          <w:i w:val="0"/>
          <w:iCs w:val="0"/>
          <w:color w:val="auto"/>
          <w:sz w:val="28"/>
          <w:szCs w:val="28"/>
        </w:rPr>
        <w:fldChar w:fldCharType="end"/>
      </w:r>
    </w:p>
    <w:p w14:paraId="4CE69338">
      <w:pPr>
        <w:pStyle w:val="10"/>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i w:val="0"/>
          <w:iC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"_Toc155861806"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i w:val="0"/>
          <w:iCs w:val="0"/>
          <w:color w:val="auto"/>
          <w:sz w:val="28"/>
          <w:szCs w:val="28"/>
        </w:rPr>
        <w:t>4.3.6  应急处置结束</w:t>
      </w:r>
      <w:r>
        <w:rPr>
          <w:rFonts w:hint="eastAsia" w:ascii="仿宋_GB2312" w:hAnsi="仿宋_GB2312" w:eastAsia="仿宋_GB2312" w:cs="仿宋_GB2312"/>
          <w:i w:val="0"/>
          <w:iCs w:val="0"/>
          <w:color w:val="auto"/>
          <w:sz w:val="28"/>
          <w:szCs w:val="28"/>
        </w:rPr>
        <w:fldChar w:fldCharType="end"/>
      </w:r>
    </w:p>
    <w:p w14:paraId="6F890E46">
      <w:pPr>
        <w:pStyle w:val="14"/>
        <w:keepNext w:val="0"/>
        <w:keepLines w:val="0"/>
        <w:pageBreakBefore w:val="0"/>
        <w:widowControl w:val="0"/>
        <w:tabs>
          <w:tab w:val="right" w:leader="dot" w:pos="9060"/>
        </w:tabs>
        <w:kinsoku/>
        <w:wordWrap/>
        <w:overflowPunct w:val="0"/>
        <w:topLinePunct/>
        <w:autoSpaceDE/>
        <w:autoSpaceDN/>
        <w:bidi w:val="0"/>
        <w:adjustRightInd w:val="0"/>
        <w:snapToGrid w:val="0"/>
        <w:spacing w:before="0" w:after="0" w:line="360" w:lineRule="auto"/>
        <w:ind w:left="0"/>
        <w:textAlignment w:val="top"/>
        <w:rPr>
          <w:rFonts w:hint="eastAsia" w:ascii="黑体" w:hAnsi="黑体" w:eastAsia="黑体" w:cs="黑体"/>
          <w:b w:val="0"/>
          <w:bCs w:val="0"/>
          <w:caps w:val="0"/>
          <w:color w:val="auto"/>
          <w:sz w:val="28"/>
          <w:szCs w:val="28"/>
        </w:rPr>
      </w:pPr>
      <w:r>
        <w:rPr>
          <w:rFonts w:hint="eastAsia" w:ascii="黑体" w:hAnsi="黑体" w:eastAsia="黑体" w:cs="黑体"/>
          <w:color w:val="auto"/>
        </w:rPr>
        <w:fldChar w:fldCharType="begin"/>
      </w:r>
      <w:r>
        <w:rPr>
          <w:rFonts w:hint="eastAsia" w:ascii="黑体" w:hAnsi="黑体" w:eastAsia="黑体" w:cs="黑体"/>
          <w:color w:val="auto"/>
        </w:rPr>
        <w:instrText xml:space="preserve"> HYPERLINK \l "_Toc155861807" </w:instrText>
      </w:r>
      <w:r>
        <w:rPr>
          <w:rFonts w:hint="eastAsia" w:ascii="黑体" w:hAnsi="黑体" w:eastAsia="黑体" w:cs="黑体"/>
          <w:color w:val="auto"/>
        </w:rPr>
        <w:fldChar w:fldCharType="separate"/>
      </w:r>
      <w:r>
        <w:rPr>
          <w:rStyle w:val="22"/>
          <w:rFonts w:hint="eastAsia" w:ascii="黑体" w:hAnsi="黑体" w:eastAsia="黑体" w:cs="黑体"/>
          <w:b w:val="0"/>
          <w:bCs w:val="0"/>
          <w:color w:val="auto"/>
          <w:sz w:val="28"/>
          <w:szCs w:val="28"/>
        </w:rPr>
        <w:t>5  后期处置</w:t>
      </w:r>
      <w:r>
        <w:rPr>
          <w:rFonts w:hint="eastAsia" w:ascii="黑体" w:hAnsi="黑体" w:eastAsia="黑体" w:cs="黑体"/>
          <w:b w:val="0"/>
          <w:bCs w:val="0"/>
          <w:color w:val="auto"/>
          <w:sz w:val="28"/>
          <w:szCs w:val="28"/>
        </w:rPr>
        <w:fldChar w:fldCharType="end"/>
      </w:r>
    </w:p>
    <w:p w14:paraId="075BEB33">
      <w:pPr>
        <w:pStyle w:val="17"/>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smallCap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"_Toc155861808"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color w:val="auto"/>
          <w:sz w:val="28"/>
          <w:szCs w:val="28"/>
        </w:rPr>
        <w:t>5.1  善后处理</w:t>
      </w:r>
      <w:r>
        <w:rPr>
          <w:rFonts w:hint="eastAsia" w:ascii="仿宋_GB2312" w:hAnsi="仿宋_GB2312" w:eastAsia="仿宋_GB2312" w:cs="仿宋_GB2312"/>
          <w:color w:val="auto"/>
          <w:sz w:val="28"/>
          <w:szCs w:val="28"/>
        </w:rPr>
        <w:fldChar w:fldCharType="end"/>
      </w:r>
    </w:p>
    <w:p w14:paraId="2A5F5146">
      <w:pPr>
        <w:pStyle w:val="17"/>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smallCap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"_Toc155861809"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color w:val="auto"/>
          <w:sz w:val="28"/>
          <w:szCs w:val="28"/>
        </w:rPr>
        <w:t>5.2  社会救助</w:t>
      </w:r>
      <w:r>
        <w:rPr>
          <w:rFonts w:hint="eastAsia" w:ascii="仿宋_GB2312" w:hAnsi="仿宋_GB2312" w:eastAsia="仿宋_GB2312" w:cs="仿宋_GB2312"/>
          <w:color w:val="auto"/>
          <w:sz w:val="28"/>
          <w:szCs w:val="28"/>
        </w:rPr>
        <w:fldChar w:fldCharType="end"/>
      </w:r>
    </w:p>
    <w:p w14:paraId="14DE9BEF">
      <w:pPr>
        <w:pStyle w:val="17"/>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smallCap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"_Toc155861810"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color w:val="auto"/>
          <w:sz w:val="28"/>
          <w:szCs w:val="28"/>
        </w:rPr>
        <w:t>5.3  保险理赔</w:t>
      </w:r>
      <w:r>
        <w:rPr>
          <w:rFonts w:hint="eastAsia" w:ascii="仿宋_GB2312" w:hAnsi="仿宋_GB2312" w:eastAsia="仿宋_GB2312" w:cs="仿宋_GB2312"/>
          <w:color w:val="auto"/>
          <w:sz w:val="28"/>
          <w:szCs w:val="28"/>
        </w:rPr>
        <w:fldChar w:fldCharType="end"/>
      </w:r>
    </w:p>
    <w:p w14:paraId="10F6F83D">
      <w:pPr>
        <w:pStyle w:val="17"/>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smallCap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"_Toc155861811"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color w:val="auto"/>
          <w:sz w:val="28"/>
          <w:szCs w:val="28"/>
        </w:rPr>
        <w:t>5.4  评估总结</w:t>
      </w:r>
      <w:r>
        <w:rPr>
          <w:rFonts w:hint="eastAsia" w:ascii="仿宋_GB2312" w:hAnsi="仿宋_GB2312" w:eastAsia="仿宋_GB2312" w:cs="仿宋_GB2312"/>
          <w:color w:val="auto"/>
          <w:sz w:val="28"/>
          <w:szCs w:val="28"/>
        </w:rPr>
        <w:fldChar w:fldCharType="end"/>
      </w:r>
    </w:p>
    <w:p w14:paraId="418641B3">
      <w:pPr>
        <w:pStyle w:val="14"/>
        <w:keepNext w:val="0"/>
        <w:keepLines w:val="0"/>
        <w:pageBreakBefore w:val="0"/>
        <w:widowControl w:val="0"/>
        <w:tabs>
          <w:tab w:val="right" w:leader="dot" w:pos="9060"/>
        </w:tabs>
        <w:kinsoku/>
        <w:wordWrap/>
        <w:overflowPunct w:val="0"/>
        <w:topLinePunct/>
        <w:autoSpaceDE/>
        <w:autoSpaceDN/>
        <w:bidi w:val="0"/>
        <w:adjustRightInd w:val="0"/>
        <w:snapToGrid w:val="0"/>
        <w:spacing w:before="0" w:after="0" w:line="360" w:lineRule="auto"/>
        <w:ind w:left="0"/>
        <w:textAlignment w:val="top"/>
        <w:rPr>
          <w:rFonts w:hint="eastAsia" w:ascii="黑体" w:hAnsi="黑体" w:eastAsia="黑体" w:cs="黑体"/>
          <w:b w:val="0"/>
          <w:bCs w:val="0"/>
          <w:caps w:val="0"/>
          <w:color w:val="auto"/>
          <w:sz w:val="28"/>
          <w:szCs w:val="28"/>
        </w:rPr>
      </w:pPr>
      <w:r>
        <w:rPr>
          <w:rFonts w:hint="eastAsia" w:ascii="黑体" w:hAnsi="黑体" w:eastAsia="黑体" w:cs="黑体"/>
          <w:color w:val="auto"/>
        </w:rPr>
        <w:fldChar w:fldCharType="begin"/>
      </w:r>
      <w:r>
        <w:rPr>
          <w:rFonts w:hint="eastAsia" w:ascii="黑体" w:hAnsi="黑体" w:eastAsia="黑体" w:cs="黑体"/>
          <w:color w:val="auto"/>
        </w:rPr>
        <w:instrText xml:space="preserve"> HYPERLINK \l "_Toc155861812" </w:instrText>
      </w:r>
      <w:r>
        <w:rPr>
          <w:rFonts w:hint="eastAsia" w:ascii="黑体" w:hAnsi="黑体" w:eastAsia="黑体" w:cs="黑体"/>
          <w:color w:val="auto"/>
        </w:rPr>
        <w:fldChar w:fldCharType="separate"/>
      </w:r>
      <w:r>
        <w:rPr>
          <w:rStyle w:val="22"/>
          <w:rFonts w:hint="eastAsia" w:ascii="黑体" w:hAnsi="黑体" w:eastAsia="黑体" w:cs="黑体"/>
          <w:b w:val="0"/>
          <w:bCs w:val="0"/>
          <w:color w:val="auto"/>
          <w:sz w:val="28"/>
          <w:szCs w:val="28"/>
        </w:rPr>
        <w:t>6  应急保障</w:t>
      </w:r>
      <w:r>
        <w:rPr>
          <w:rFonts w:hint="eastAsia" w:ascii="黑体" w:hAnsi="黑体" w:eastAsia="黑体" w:cs="黑体"/>
          <w:b w:val="0"/>
          <w:bCs w:val="0"/>
          <w:color w:val="auto"/>
          <w:sz w:val="28"/>
          <w:szCs w:val="28"/>
        </w:rPr>
        <w:fldChar w:fldCharType="end"/>
      </w:r>
    </w:p>
    <w:p w14:paraId="7EA2674E">
      <w:pPr>
        <w:pStyle w:val="17"/>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smallCap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"_Toc155861813"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color w:val="auto"/>
          <w:sz w:val="28"/>
          <w:szCs w:val="28"/>
        </w:rPr>
        <w:t>6.1  通讯保障</w:t>
      </w:r>
      <w:r>
        <w:rPr>
          <w:rFonts w:hint="eastAsia" w:ascii="仿宋_GB2312" w:hAnsi="仿宋_GB2312" w:eastAsia="仿宋_GB2312" w:cs="仿宋_GB2312"/>
          <w:color w:val="auto"/>
          <w:sz w:val="28"/>
          <w:szCs w:val="28"/>
        </w:rPr>
        <w:fldChar w:fldCharType="end"/>
      </w:r>
    </w:p>
    <w:p w14:paraId="683A1348">
      <w:pPr>
        <w:pStyle w:val="17"/>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smallCap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"_Toc155861814"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color w:val="auto"/>
          <w:sz w:val="28"/>
          <w:szCs w:val="28"/>
        </w:rPr>
        <w:t>6.2  队伍保障</w:t>
      </w:r>
      <w:r>
        <w:rPr>
          <w:rFonts w:hint="eastAsia" w:ascii="仿宋_GB2312" w:hAnsi="仿宋_GB2312" w:eastAsia="仿宋_GB2312" w:cs="仿宋_GB2312"/>
          <w:color w:val="auto"/>
          <w:sz w:val="28"/>
          <w:szCs w:val="28"/>
        </w:rPr>
        <w:fldChar w:fldCharType="end"/>
      </w:r>
    </w:p>
    <w:p w14:paraId="4E8AA9DC">
      <w:pPr>
        <w:pStyle w:val="17"/>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smallCap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"_Toc155861815"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color w:val="auto"/>
          <w:sz w:val="28"/>
          <w:szCs w:val="28"/>
        </w:rPr>
        <w:t>6.3  物资保障</w:t>
      </w:r>
      <w:r>
        <w:rPr>
          <w:rFonts w:hint="eastAsia" w:ascii="仿宋_GB2312" w:hAnsi="仿宋_GB2312" w:eastAsia="仿宋_GB2312" w:cs="仿宋_GB2312"/>
          <w:color w:val="auto"/>
          <w:sz w:val="28"/>
          <w:szCs w:val="28"/>
        </w:rPr>
        <w:fldChar w:fldCharType="end"/>
      </w:r>
    </w:p>
    <w:p w14:paraId="6BB3FD1C">
      <w:pPr>
        <w:pStyle w:val="17"/>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smallCap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"_Toc155861816"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color w:val="auto"/>
          <w:sz w:val="28"/>
          <w:szCs w:val="28"/>
        </w:rPr>
        <w:t>6.4  资金保障</w:t>
      </w:r>
      <w:r>
        <w:rPr>
          <w:rFonts w:hint="eastAsia" w:ascii="仿宋_GB2312" w:hAnsi="仿宋_GB2312" w:eastAsia="仿宋_GB2312" w:cs="仿宋_GB2312"/>
          <w:color w:val="auto"/>
          <w:sz w:val="28"/>
          <w:szCs w:val="28"/>
        </w:rPr>
        <w:fldChar w:fldCharType="end"/>
      </w:r>
    </w:p>
    <w:p w14:paraId="139A58F5">
      <w:pPr>
        <w:pStyle w:val="17"/>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smallCap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"_Toc155861817"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color w:val="auto"/>
          <w:sz w:val="28"/>
          <w:szCs w:val="28"/>
        </w:rPr>
        <w:t>6.5  治安保障</w:t>
      </w:r>
      <w:r>
        <w:rPr>
          <w:rFonts w:hint="eastAsia" w:ascii="仿宋_GB2312" w:hAnsi="仿宋_GB2312" w:eastAsia="仿宋_GB2312" w:cs="仿宋_GB2312"/>
          <w:color w:val="auto"/>
          <w:sz w:val="28"/>
          <w:szCs w:val="28"/>
        </w:rPr>
        <w:fldChar w:fldCharType="end"/>
      </w:r>
    </w:p>
    <w:p w14:paraId="59FD1EB4">
      <w:pPr>
        <w:pStyle w:val="17"/>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smallCap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"_Toc155861818"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color w:val="auto"/>
          <w:sz w:val="28"/>
          <w:szCs w:val="28"/>
        </w:rPr>
        <w:t>6.6  医疗保障</w:t>
      </w:r>
      <w:r>
        <w:rPr>
          <w:rFonts w:hint="eastAsia" w:ascii="仿宋_GB2312" w:hAnsi="仿宋_GB2312" w:eastAsia="仿宋_GB2312" w:cs="仿宋_GB2312"/>
          <w:color w:val="auto"/>
          <w:sz w:val="28"/>
          <w:szCs w:val="28"/>
        </w:rPr>
        <w:fldChar w:fldCharType="end"/>
      </w:r>
    </w:p>
    <w:p w14:paraId="715E7BEE">
      <w:pPr>
        <w:pStyle w:val="17"/>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smallCap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"_Toc155861819"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color w:val="auto"/>
          <w:sz w:val="28"/>
          <w:szCs w:val="28"/>
        </w:rPr>
        <w:t>6.7  交通保障</w:t>
      </w:r>
      <w:r>
        <w:rPr>
          <w:rFonts w:hint="eastAsia" w:ascii="仿宋_GB2312" w:hAnsi="仿宋_GB2312" w:eastAsia="仿宋_GB2312" w:cs="仿宋_GB2312"/>
          <w:color w:val="auto"/>
          <w:sz w:val="28"/>
          <w:szCs w:val="28"/>
        </w:rPr>
        <w:fldChar w:fldCharType="end"/>
      </w:r>
    </w:p>
    <w:p w14:paraId="551F1767">
      <w:pPr>
        <w:pStyle w:val="14"/>
        <w:keepNext w:val="0"/>
        <w:keepLines w:val="0"/>
        <w:pageBreakBefore w:val="0"/>
        <w:widowControl w:val="0"/>
        <w:tabs>
          <w:tab w:val="right" w:leader="dot" w:pos="9060"/>
        </w:tabs>
        <w:kinsoku/>
        <w:wordWrap/>
        <w:overflowPunct w:val="0"/>
        <w:topLinePunct/>
        <w:autoSpaceDE/>
        <w:autoSpaceDN/>
        <w:bidi w:val="0"/>
        <w:adjustRightInd w:val="0"/>
        <w:snapToGrid w:val="0"/>
        <w:spacing w:before="0" w:after="0" w:line="360" w:lineRule="auto"/>
        <w:ind w:left="0"/>
        <w:textAlignment w:val="top"/>
        <w:rPr>
          <w:rFonts w:hint="eastAsia" w:ascii="黑体" w:hAnsi="黑体" w:eastAsia="黑体" w:cs="黑体"/>
          <w:b w:val="0"/>
          <w:bCs w:val="0"/>
          <w:caps w:val="0"/>
          <w:color w:val="auto"/>
          <w:sz w:val="28"/>
          <w:szCs w:val="28"/>
        </w:rPr>
      </w:pPr>
      <w:r>
        <w:rPr>
          <w:rFonts w:hint="eastAsia" w:ascii="黑体" w:hAnsi="黑体" w:eastAsia="黑体" w:cs="黑体"/>
          <w:color w:val="auto"/>
        </w:rPr>
        <w:fldChar w:fldCharType="begin"/>
      </w:r>
      <w:r>
        <w:rPr>
          <w:rFonts w:hint="eastAsia" w:ascii="黑体" w:hAnsi="黑体" w:eastAsia="黑体" w:cs="黑体"/>
          <w:color w:val="auto"/>
        </w:rPr>
        <w:instrText xml:space="preserve"> HYPERLINK \l "_Toc155861820" </w:instrText>
      </w:r>
      <w:r>
        <w:rPr>
          <w:rFonts w:hint="eastAsia" w:ascii="黑体" w:hAnsi="黑体" w:eastAsia="黑体" w:cs="黑体"/>
          <w:color w:val="auto"/>
        </w:rPr>
        <w:fldChar w:fldCharType="separate"/>
      </w:r>
      <w:r>
        <w:rPr>
          <w:rStyle w:val="22"/>
          <w:rFonts w:hint="eastAsia" w:ascii="黑体" w:hAnsi="黑体" w:eastAsia="黑体" w:cs="黑体"/>
          <w:b w:val="0"/>
          <w:bCs w:val="0"/>
          <w:color w:val="auto"/>
          <w:sz w:val="28"/>
          <w:szCs w:val="28"/>
        </w:rPr>
        <w:t>7  预案管理</w:t>
      </w:r>
      <w:r>
        <w:rPr>
          <w:rFonts w:hint="eastAsia" w:ascii="黑体" w:hAnsi="黑体" w:eastAsia="黑体" w:cs="黑体"/>
          <w:b w:val="0"/>
          <w:bCs w:val="0"/>
          <w:color w:val="auto"/>
          <w:sz w:val="28"/>
          <w:szCs w:val="28"/>
        </w:rPr>
        <w:fldChar w:fldCharType="end"/>
      </w:r>
    </w:p>
    <w:p w14:paraId="30C30A68">
      <w:pPr>
        <w:pStyle w:val="17"/>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smallCap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"_Toc155861821"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color w:val="auto"/>
          <w:sz w:val="28"/>
          <w:szCs w:val="28"/>
        </w:rPr>
        <w:t>7.1  发布实施</w:t>
      </w:r>
      <w:r>
        <w:rPr>
          <w:rFonts w:hint="eastAsia" w:ascii="仿宋_GB2312" w:hAnsi="仿宋_GB2312" w:eastAsia="仿宋_GB2312" w:cs="仿宋_GB2312"/>
          <w:color w:val="auto"/>
          <w:sz w:val="28"/>
          <w:szCs w:val="28"/>
        </w:rPr>
        <w:fldChar w:fldCharType="end"/>
      </w:r>
    </w:p>
    <w:p w14:paraId="2E768013">
      <w:pPr>
        <w:pStyle w:val="17"/>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smallCap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"_Toc155861822"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color w:val="auto"/>
          <w:sz w:val="28"/>
          <w:szCs w:val="28"/>
        </w:rPr>
        <w:t>7.2  宣教培训</w:t>
      </w:r>
      <w:r>
        <w:rPr>
          <w:rFonts w:hint="eastAsia" w:ascii="仿宋_GB2312" w:hAnsi="仿宋_GB2312" w:eastAsia="仿宋_GB2312" w:cs="仿宋_GB2312"/>
          <w:color w:val="auto"/>
          <w:sz w:val="28"/>
          <w:szCs w:val="28"/>
        </w:rPr>
        <w:fldChar w:fldCharType="end"/>
      </w:r>
    </w:p>
    <w:p w14:paraId="0497DC69">
      <w:pPr>
        <w:pStyle w:val="17"/>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smallCap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"_Toc155861823"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color w:val="auto"/>
          <w:sz w:val="28"/>
          <w:szCs w:val="28"/>
        </w:rPr>
        <w:t>7.3  预案演练</w:t>
      </w:r>
      <w:r>
        <w:rPr>
          <w:rFonts w:hint="eastAsia" w:ascii="仿宋_GB2312" w:hAnsi="仿宋_GB2312" w:eastAsia="仿宋_GB2312" w:cs="仿宋_GB2312"/>
          <w:color w:val="auto"/>
          <w:sz w:val="28"/>
          <w:szCs w:val="28"/>
        </w:rPr>
        <w:fldChar w:fldCharType="end"/>
      </w:r>
    </w:p>
    <w:p w14:paraId="613C522F">
      <w:pPr>
        <w:pStyle w:val="17"/>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smallCap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"_Toc155861824"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color w:val="auto"/>
          <w:sz w:val="28"/>
          <w:szCs w:val="28"/>
        </w:rPr>
        <w:t>7.4  预案衔接</w:t>
      </w:r>
      <w:r>
        <w:rPr>
          <w:rFonts w:hint="eastAsia" w:ascii="仿宋_GB2312" w:hAnsi="仿宋_GB2312" w:eastAsia="仿宋_GB2312" w:cs="仿宋_GB2312"/>
          <w:color w:val="auto"/>
          <w:sz w:val="28"/>
          <w:szCs w:val="28"/>
        </w:rPr>
        <w:fldChar w:fldCharType="end"/>
      </w:r>
    </w:p>
    <w:p w14:paraId="3F2074B7">
      <w:pPr>
        <w:pStyle w:val="14"/>
        <w:keepNext w:val="0"/>
        <w:keepLines w:val="0"/>
        <w:pageBreakBefore w:val="0"/>
        <w:widowControl w:val="0"/>
        <w:tabs>
          <w:tab w:val="right" w:leader="dot" w:pos="9060"/>
        </w:tabs>
        <w:kinsoku/>
        <w:wordWrap/>
        <w:overflowPunct w:val="0"/>
        <w:topLinePunct/>
        <w:autoSpaceDE/>
        <w:autoSpaceDN/>
        <w:bidi w:val="0"/>
        <w:adjustRightInd w:val="0"/>
        <w:snapToGrid w:val="0"/>
        <w:spacing w:before="0" w:after="0" w:line="360" w:lineRule="auto"/>
        <w:ind w:left="0"/>
        <w:textAlignment w:val="top"/>
        <w:rPr>
          <w:rFonts w:hint="eastAsia" w:ascii="黑体" w:hAnsi="黑体" w:eastAsia="黑体" w:cs="黑体"/>
          <w:b w:val="0"/>
          <w:bCs w:val="0"/>
          <w:caps w:val="0"/>
          <w:color w:val="auto"/>
          <w:sz w:val="28"/>
          <w:szCs w:val="28"/>
        </w:rPr>
      </w:pPr>
      <w:r>
        <w:rPr>
          <w:rFonts w:hint="eastAsia" w:ascii="黑体" w:hAnsi="黑体" w:eastAsia="黑体" w:cs="黑体"/>
          <w:color w:val="auto"/>
        </w:rPr>
        <w:fldChar w:fldCharType="begin"/>
      </w:r>
      <w:r>
        <w:rPr>
          <w:rFonts w:hint="eastAsia" w:ascii="黑体" w:hAnsi="黑体" w:eastAsia="黑体" w:cs="黑体"/>
          <w:color w:val="auto"/>
        </w:rPr>
        <w:instrText xml:space="preserve"> HYPERLINK \l "_Toc155861825" </w:instrText>
      </w:r>
      <w:r>
        <w:rPr>
          <w:rFonts w:hint="eastAsia" w:ascii="黑体" w:hAnsi="黑体" w:eastAsia="黑体" w:cs="黑体"/>
          <w:color w:val="auto"/>
        </w:rPr>
        <w:fldChar w:fldCharType="separate"/>
      </w:r>
      <w:r>
        <w:rPr>
          <w:rStyle w:val="22"/>
          <w:rFonts w:hint="eastAsia" w:ascii="黑体" w:hAnsi="黑体" w:eastAsia="黑体" w:cs="黑体"/>
          <w:b w:val="0"/>
          <w:bCs w:val="0"/>
          <w:color w:val="auto"/>
          <w:sz w:val="28"/>
          <w:szCs w:val="28"/>
        </w:rPr>
        <w:t>8  附件</w:t>
      </w:r>
      <w:r>
        <w:rPr>
          <w:rFonts w:hint="eastAsia" w:ascii="黑体" w:hAnsi="黑体" w:eastAsia="黑体" w:cs="黑体"/>
          <w:b w:val="0"/>
          <w:bCs w:val="0"/>
          <w:color w:val="auto"/>
          <w:sz w:val="28"/>
          <w:szCs w:val="28"/>
        </w:rPr>
        <w:fldChar w:fldCharType="end"/>
      </w:r>
    </w:p>
    <w:p w14:paraId="5C7586CA">
      <w:pPr>
        <w:pStyle w:val="17"/>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smallCap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"_Toc155861826"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color w:val="auto"/>
          <w:sz w:val="28"/>
          <w:szCs w:val="28"/>
        </w:rPr>
        <w:t>8.1  本应急预案格式化文本说明</w:t>
      </w:r>
      <w:r>
        <w:rPr>
          <w:rFonts w:hint="eastAsia" w:ascii="仿宋_GB2312" w:hAnsi="仿宋_GB2312" w:eastAsia="仿宋_GB2312" w:cs="仿宋_GB2312"/>
          <w:color w:val="auto"/>
          <w:sz w:val="28"/>
          <w:szCs w:val="28"/>
        </w:rPr>
        <w:fldChar w:fldCharType="end"/>
      </w:r>
    </w:p>
    <w:p w14:paraId="7DA2FAC4">
      <w:pPr>
        <w:pStyle w:val="17"/>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smallCap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"_Toc155861827"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color w:val="auto"/>
          <w:sz w:val="28"/>
          <w:szCs w:val="28"/>
        </w:rPr>
        <w:t>8.2  应急物资台账</w:t>
      </w:r>
      <w:r>
        <w:rPr>
          <w:rFonts w:hint="eastAsia" w:ascii="仿宋_GB2312" w:hAnsi="仿宋_GB2312" w:eastAsia="仿宋_GB2312" w:cs="仿宋_GB2312"/>
          <w:color w:val="auto"/>
          <w:sz w:val="28"/>
          <w:szCs w:val="28"/>
        </w:rPr>
        <w:fldChar w:fldCharType="end"/>
      </w:r>
    </w:p>
    <w:p w14:paraId="540906B6">
      <w:pPr>
        <w:pStyle w:val="17"/>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hint="eastAsia" w:ascii="仿宋_GB2312" w:hAnsi="仿宋_GB2312" w:eastAsia="仿宋_GB2312" w:cs="仿宋_GB2312"/>
          <w:smallCap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"_Toc155861828"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color w:val="auto"/>
          <w:sz w:val="28"/>
          <w:szCs w:val="28"/>
        </w:rPr>
        <w:t>8.3  外部救援电话</w:t>
      </w:r>
      <w:r>
        <w:rPr>
          <w:rFonts w:hint="eastAsia" w:ascii="仿宋_GB2312" w:hAnsi="仿宋_GB2312" w:eastAsia="仿宋_GB2312" w:cs="仿宋_GB2312"/>
          <w:color w:val="auto"/>
          <w:sz w:val="28"/>
          <w:szCs w:val="28"/>
        </w:rPr>
        <w:fldChar w:fldCharType="end"/>
      </w:r>
    </w:p>
    <w:p w14:paraId="21D9BAC7">
      <w:pPr>
        <w:pStyle w:val="17"/>
        <w:keepNext w:val="0"/>
        <w:keepLines w:val="0"/>
        <w:pageBreakBefore w:val="0"/>
        <w:widowControl w:val="0"/>
        <w:tabs>
          <w:tab w:val="right" w:leader="dot" w:pos="9060"/>
        </w:tabs>
        <w:kinsoku/>
        <w:wordWrap/>
        <w:overflowPunct w:val="0"/>
        <w:topLinePunct/>
        <w:autoSpaceDE/>
        <w:autoSpaceDN/>
        <w:bidi w:val="0"/>
        <w:adjustRightInd w:val="0"/>
        <w:snapToGrid w:val="0"/>
        <w:spacing w:line="360" w:lineRule="auto"/>
        <w:ind w:left="0"/>
        <w:textAlignment w:val="top"/>
        <w:rPr>
          <w:rFonts w:ascii="Times New Roman" w:eastAsia="宋体"/>
          <w:smallCaps w:val="0"/>
          <w:color w:val="auto"/>
          <w:sz w:val="28"/>
          <w:szCs w:val="28"/>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"_Toc155861829" </w:instrText>
      </w:r>
      <w:r>
        <w:rPr>
          <w:rFonts w:hint="eastAsia" w:ascii="仿宋_GB2312" w:hAnsi="仿宋_GB2312" w:eastAsia="仿宋_GB2312" w:cs="仿宋_GB2312"/>
          <w:color w:val="auto"/>
        </w:rPr>
        <w:fldChar w:fldCharType="separate"/>
      </w:r>
      <w:r>
        <w:rPr>
          <w:rStyle w:val="22"/>
          <w:rFonts w:hint="eastAsia" w:ascii="仿宋_GB2312" w:hAnsi="仿宋_GB2312" w:eastAsia="仿宋_GB2312" w:cs="仿宋_GB2312"/>
          <w:color w:val="auto"/>
          <w:sz w:val="28"/>
          <w:szCs w:val="28"/>
        </w:rPr>
        <w:t>8.4  本街道应急指挥部人员电话</w:t>
      </w:r>
      <w:r>
        <w:rPr>
          <w:rFonts w:hint="eastAsia" w:ascii="仿宋_GB2312" w:hAnsi="仿宋_GB2312" w:eastAsia="仿宋_GB2312" w:cs="仿宋_GB2312"/>
          <w:color w:val="auto"/>
          <w:sz w:val="28"/>
          <w:szCs w:val="28"/>
        </w:rPr>
        <w:fldChar w:fldCharType="end"/>
      </w:r>
    </w:p>
    <w:p w14:paraId="11026238">
      <w:pPr>
        <w:overflowPunct w:val="0"/>
        <w:topLinePunct/>
        <w:adjustRightInd w:val="0"/>
        <w:snapToGrid w:val="0"/>
        <w:spacing w:line="360" w:lineRule="auto"/>
        <w:textAlignment w:val="top"/>
        <w:rPr>
          <w:color w:val="auto"/>
        </w:rPr>
      </w:pPr>
      <w:r>
        <w:rPr>
          <w:caps/>
          <w:color w:val="auto"/>
        </w:rPr>
        <w:fldChar w:fldCharType="end"/>
      </w:r>
    </w:p>
    <w:p w14:paraId="6B618FC0">
      <w:pPr>
        <w:overflowPunct w:val="0"/>
        <w:topLinePunct/>
        <w:adjustRightInd w:val="0"/>
        <w:snapToGrid w:val="0"/>
        <w:spacing w:line="360" w:lineRule="auto"/>
        <w:textAlignment w:val="top"/>
        <w:rPr>
          <w:color w:val="auto"/>
        </w:rPr>
      </w:pPr>
    </w:p>
    <w:p w14:paraId="49C3AE70">
      <w:pPr>
        <w:overflowPunct w:val="0"/>
        <w:topLinePunct/>
        <w:adjustRightInd w:val="0"/>
        <w:snapToGrid w:val="0"/>
        <w:spacing w:line="360" w:lineRule="auto"/>
        <w:textAlignment w:val="top"/>
        <w:rPr>
          <w:rFonts w:ascii="宋体" w:hAnsi="宋体"/>
          <w:color w:val="auto"/>
        </w:rPr>
      </w:pPr>
    </w:p>
    <w:p w14:paraId="5CE3CD44">
      <w:pPr>
        <w:overflowPunct w:val="0"/>
        <w:topLinePunct/>
        <w:adjustRightInd w:val="0"/>
        <w:snapToGrid w:val="0"/>
        <w:spacing w:line="360" w:lineRule="auto"/>
        <w:textAlignment w:val="top"/>
        <w:rPr>
          <w:rFonts w:ascii="宋体" w:hAnsi="宋体"/>
          <w:color w:val="auto"/>
        </w:rPr>
        <w:sectPr>
          <w:footerReference r:id="rId3" w:type="default"/>
          <w:pgSz w:w="11906" w:h="16838"/>
          <w:pgMar w:top="1440" w:right="1418" w:bottom="1440" w:left="1418" w:header="851" w:footer="992" w:gutter="0"/>
          <w:pgNumType w:fmt="decimal" w:start="1"/>
          <w:cols w:space="425" w:num="1"/>
          <w:docGrid w:type="lines" w:linePitch="312" w:charSpace="0"/>
        </w:sectPr>
      </w:pPr>
    </w:p>
    <w:p w14:paraId="47B0AB7B">
      <w:pPr>
        <w:pStyle w:val="3"/>
        <w:overflowPunct w:val="0"/>
        <w:topLinePunct/>
        <w:adjustRightInd w:val="0"/>
        <w:snapToGrid w:val="0"/>
        <w:spacing w:before="0" w:after="156" w:afterLines="50" w:line="360" w:lineRule="auto"/>
        <w:jc w:val="center"/>
        <w:textAlignment w:val="top"/>
        <w:rPr>
          <w:rFonts w:hint="eastAsia" w:ascii="方正小标宋简体" w:hAnsi="方正小标宋简体" w:eastAsia="方正小标宋简体" w:cs="方正小标宋简体"/>
          <w:b w:val="0"/>
          <w:bCs w:val="0"/>
          <w:color w:val="auto"/>
          <w:sz w:val="44"/>
          <w:szCs w:val="44"/>
          <w:lang w:eastAsia="zh-CN"/>
        </w:rPr>
      </w:pPr>
      <w:bookmarkStart w:id="2" w:name="_Toc155861768"/>
      <w:r>
        <w:rPr>
          <w:rFonts w:hint="eastAsia" w:ascii="方正小标宋简体" w:hAnsi="方正小标宋简体" w:eastAsia="方正小标宋简体" w:cs="方正小标宋简体"/>
          <w:b w:val="0"/>
          <w:bCs w:val="0"/>
          <w:color w:val="auto"/>
          <w:sz w:val="44"/>
          <w:szCs w:val="44"/>
          <w:lang w:eastAsia="zh-CN"/>
        </w:rPr>
        <w:t>唐王街道防灭火与疏散应急预案</w:t>
      </w:r>
    </w:p>
    <w:p w14:paraId="1B15D0CA">
      <w:pPr>
        <w:pStyle w:val="3"/>
        <w:overflowPunct w:val="0"/>
        <w:topLinePunct/>
        <w:adjustRightInd w:val="0"/>
        <w:snapToGrid w:val="0"/>
        <w:spacing w:before="0" w:after="156" w:afterLines="50" w:line="360" w:lineRule="auto"/>
        <w:jc w:val="center"/>
        <w:textAlignment w:val="top"/>
        <w:rPr>
          <w:rFonts w:ascii="黑体" w:hAnsi="黑体" w:eastAsia="黑体"/>
          <w:color w:val="auto"/>
          <w:sz w:val="36"/>
          <w:szCs w:val="36"/>
        </w:rPr>
      </w:pPr>
      <w:r>
        <w:rPr>
          <w:rFonts w:hint="eastAsia" w:ascii="黑体" w:hAnsi="黑体" w:eastAsia="黑体"/>
          <w:color w:val="auto"/>
          <w:sz w:val="36"/>
          <w:szCs w:val="36"/>
        </w:rPr>
        <w:t>1</w:t>
      </w:r>
      <w:r>
        <w:rPr>
          <w:rFonts w:ascii="黑体" w:hAnsi="黑体" w:eastAsia="黑体"/>
          <w:color w:val="auto"/>
          <w:sz w:val="36"/>
          <w:szCs w:val="36"/>
        </w:rPr>
        <w:t xml:space="preserve">  </w:t>
      </w:r>
      <w:r>
        <w:rPr>
          <w:rFonts w:hint="eastAsia" w:ascii="黑体" w:hAnsi="黑体" w:eastAsia="黑体"/>
          <w:color w:val="auto"/>
          <w:sz w:val="36"/>
          <w:szCs w:val="36"/>
        </w:rPr>
        <w:t>总则</w:t>
      </w:r>
      <w:bookmarkEnd w:id="2"/>
    </w:p>
    <w:p w14:paraId="7F0124DF">
      <w:pPr>
        <w:pStyle w:val="4"/>
        <w:overflowPunct w:val="0"/>
        <w:topLinePunct/>
        <w:adjustRightInd w:val="0"/>
        <w:snapToGrid w:val="0"/>
        <w:spacing w:before="0" w:after="0" w:line="360" w:lineRule="auto"/>
        <w:textAlignment w:val="top"/>
        <w:rPr>
          <w:rFonts w:ascii="Times New Roman" w:hAnsi="Times New Roman" w:eastAsia="黑体" w:cs="Times New Roman"/>
          <w:color w:val="auto"/>
          <w:sz w:val="30"/>
          <w:szCs w:val="30"/>
        </w:rPr>
      </w:pPr>
      <w:bookmarkStart w:id="3" w:name="_Toc155861769"/>
      <w:r>
        <w:rPr>
          <w:rFonts w:hint="eastAsia" w:ascii="Times New Roman" w:hAnsi="Times New Roman" w:eastAsia="黑体" w:cs="Times New Roman"/>
          <w:color w:val="auto"/>
          <w:sz w:val="30"/>
          <w:szCs w:val="30"/>
        </w:rPr>
        <w:t>1</w:t>
      </w:r>
      <w:r>
        <w:rPr>
          <w:rFonts w:ascii="Times New Roman" w:hAnsi="Times New Roman" w:eastAsia="黑体" w:cs="Times New Roman"/>
          <w:color w:val="auto"/>
          <w:sz w:val="30"/>
          <w:szCs w:val="30"/>
        </w:rPr>
        <w:t xml:space="preserve">.1  </w:t>
      </w:r>
      <w:r>
        <w:rPr>
          <w:rFonts w:hint="eastAsia" w:ascii="Times New Roman" w:hAnsi="Times New Roman" w:eastAsia="黑体" w:cs="Times New Roman"/>
          <w:color w:val="auto"/>
          <w:sz w:val="30"/>
          <w:szCs w:val="30"/>
        </w:rPr>
        <w:t>编制目的</w:t>
      </w:r>
      <w:bookmarkEnd w:id="3"/>
    </w:p>
    <w:p w14:paraId="633BCB9D">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规范街道辖区的火灾事故应急管理、应急响应和应急处置工作，科学合理、及时有效地实施应急救援，全面做好火灾事故的应急救援工作，加强应对火灾事故风险的能力，快速实施灭火救援行动，最大限度地减少事故造成的人员伤亡和财产损失，维护辖区人民群众的生命安全和社会稳定。</w:t>
      </w:r>
    </w:p>
    <w:p w14:paraId="1797972F">
      <w:pPr>
        <w:pStyle w:val="4"/>
        <w:overflowPunct w:val="0"/>
        <w:topLinePunct/>
        <w:adjustRightInd w:val="0"/>
        <w:snapToGrid w:val="0"/>
        <w:spacing w:before="0" w:after="0" w:line="360" w:lineRule="auto"/>
        <w:textAlignment w:val="top"/>
        <w:rPr>
          <w:rFonts w:ascii="Times New Roman" w:hAnsi="Times New Roman" w:eastAsia="黑体" w:cs="Times New Roman"/>
          <w:color w:val="auto"/>
          <w:sz w:val="30"/>
          <w:szCs w:val="30"/>
        </w:rPr>
      </w:pPr>
      <w:bookmarkStart w:id="4" w:name="_Toc155861770"/>
      <w:r>
        <w:rPr>
          <w:rFonts w:ascii="Times New Roman" w:hAnsi="Times New Roman" w:eastAsia="黑体" w:cs="Times New Roman"/>
          <w:color w:val="auto"/>
          <w:sz w:val="30"/>
          <w:szCs w:val="30"/>
        </w:rPr>
        <w:t xml:space="preserve">1.2  </w:t>
      </w:r>
      <w:r>
        <w:rPr>
          <w:rFonts w:hint="eastAsia" w:ascii="Times New Roman" w:hAnsi="Times New Roman" w:eastAsia="黑体" w:cs="Times New Roman"/>
          <w:color w:val="auto"/>
          <w:sz w:val="30"/>
          <w:szCs w:val="30"/>
        </w:rPr>
        <w:t>编制依据</w:t>
      </w:r>
      <w:bookmarkEnd w:id="4"/>
    </w:p>
    <w:p w14:paraId="6B8B7B7E">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本预案主要依据以下有关法律、法规、规章及文件的规定进行编制：</w:t>
      </w:r>
    </w:p>
    <w:p w14:paraId="2D4F397F">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《中华人民共和国突发事件应对法》（十</w:t>
      </w:r>
      <w:r>
        <w:rPr>
          <w:rFonts w:hint="eastAsia" w:ascii="仿宋_GB2312" w:hAnsi="仿宋_GB2312" w:eastAsia="仿宋_GB2312" w:cs="仿宋_GB2312"/>
          <w:color w:val="auto"/>
          <w:lang w:val="en-US" w:eastAsia="zh-CN"/>
        </w:rPr>
        <w:t>四</w:t>
      </w:r>
      <w:r>
        <w:rPr>
          <w:rFonts w:hint="eastAsia" w:ascii="仿宋_GB2312" w:hAnsi="仿宋_GB2312" w:eastAsia="仿宋_GB2312" w:cs="仿宋_GB2312"/>
          <w:color w:val="auto"/>
        </w:rPr>
        <w:t>届国家主席令第</w:t>
      </w:r>
      <w:r>
        <w:rPr>
          <w:rFonts w:hint="eastAsia" w:ascii="仿宋_GB2312" w:hAnsi="仿宋_GB2312" w:eastAsia="仿宋_GB2312" w:cs="仿宋_GB2312"/>
          <w:color w:val="auto"/>
          <w:lang w:val="en-US" w:eastAsia="zh-CN"/>
        </w:rPr>
        <w:t>二十五</w:t>
      </w:r>
      <w:r>
        <w:rPr>
          <w:rFonts w:hint="eastAsia" w:ascii="仿宋_GB2312" w:hAnsi="仿宋_GB2312" w:eastAsia="仿宋_GB2312" w:cs="仿宋_GB2312"/>
          <w:color w:val="auto"/>
        </w:rPr>
        <w:t>号）；</w:t>
      </w:r>
    </w:p>
    <w:p w14:paraId="1939B7B3">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《中华人民共和国消防法》（十三届主席令第八十一号修订）</w:t>
      </w:r>
    </w:p>
    <w:p w14:paraId="5A25CA99">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《中华人民共和国安全生产法》（十三届主席令第八十八号）；</w:t>
      </w:r>
    </w:p>
    <w:p w14:paraId="02AE2D73">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《生产安全事故报告和调查处理条例》（国务院令第493号）；</w:t>
      </w:r>
    </w:p>
    <w:p w14:paraId="40CD10BC">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《生产安全事故应急条例》（国务院令第708号）；</w:t>
      </w:r>
    </w:p>
    <w:p w14:paraId="774B5FFA">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《社会单位灭火和应急疏散预案编制及实施导则》（GB∕T 38315-2019）</w:t>
      </w:r>
    </w:p>
    <w:p w14:paraId="0E3F0B1F">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《国家突发公共事件总体应急预案》（国务院第79次常务会议通过）；</w:t>
      </w:r>
    </w:p>
    <w:p w14:paraId="2622A5A2">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《山东省突发事件总体应急预案》（鲁政发〔2021〕14号）；</w:t>
      </w:r>
    </w:p>
    <w:p w14:paraId="2D4E04D1">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《济南市突发事件总体应急预案》（济政发〔2022〕6号）；</w:t>
      </w:r>
    </w:p>
    <w:p w14:paraId="5783DC48">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《济南市历城区突发事件总体应急预案》（济历城政发〔2022〕4号）。</w:t>
      </w:r>
    </w:p>
    <w:p w14:paraId="7C5A6EA2">
      <w:pPr>
        <w:pStyle w:val="4"/>
        <w:overflowPunct w:val="0"/>
        <w:topLinePunct/>
        <w:adjustRightInd w:val="0"/>
        <w:snapToGrid w:val="0"/>
        <w:spacing w:before="0" w:after="0" w:line="360" w:lineRule="auto"/>
        <w:textAlignment w:val="top"/>
        <w:rPr>
          <w:rFonts w:ascii="Times New Roman" w:hAnsi="Times New Roman" w:eastAsia="黑体" w:cs="Times New Roman"/>
          <w:color w:val="auto"/>
          <w:sz w:val="30"/>
          <w:szCs w:val="30"/>
        </w:rPr>
      </w:pPr>
      <w:bookmarkStart w:id="5" w:name="_Toc155861771"/>
      <w:bookmarkStart w:id="6" w:name="_Hlk153874568"/>
      <w:r>
        <w:rPr>
          <w:rFonts w:ascii="Times New Roman" w:hAnsi="Times New Roman" w:eastAsia="黑体" w:cs="Times New Roman"/>
          <w:color w:val="auto"/>
          <w:sz w:val="30"/>
          <w:szCs w:val="30"/>
        </w:rPr>
        <w:t xml:space="preserve">1.3 </w:t>
      </w:r>
      <w:r>
        <w:rPr>
          <w:rFonts w:hint="eastAsia" w:ascii="Times New Roman" w:hAnsi="Times New Roman" w:eastAsia="黑体" w:cs="Times New Roman"/>
          <w:color w:val="auto"/>
          <w:sz w:val="30"/>
          <w:szCs w:val="30"/>
        </w:rPr>
        <w:t xml:space="preserve"> 适用范围</w:t>
      </w:r>
      <w:bookmarkEnd w:id="5"/>
    </w:p>
    <w:bookmarkEnd w:id="6"/>
    <w:p w14:paraId="1B7989DA">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本预案适用于唐王街道辖区发生的火灾事故的应急处置工作。</w:t>
      </w:r>
    </w:p>
    <w:p w14:paraId="3F1E9367">
      <w:pPr>
        <w:pStyle w:val="4"/>
        <w:overflowPunct w:val="0"/>
        <w:topLinePunct/>
        <w:adjustRightInd w:val="0"/>
        <w:snapToGrid w:val="0"/>
        <w:spacing w:before="0" w:after="0" w:line="360" w:lineRule="auto"/>
        <w:textAlignment w:val="top"/>
        <w:rPr>
          <w:rFonts w:ascii="Times New Roman" w:hAnsi="Times New Roman" w:eastAsia="黑体" w:cs="Times New Roman"/>
          <w:color w:val="auto"/>
          <w:sz w:val="30"/>
          <w:szCs w:val="30"/>
        </w:rPr>
      </w:pPr>
      <w:bookmarkStart w:id="7" w:name="_Toc155861772"/>
      <w:bookmarkStart w:id="8" w:name="_Hlk153905225"/>
      <w:r>
        <w:rPr>
          <w:rFonts w:ascii="Times New Roman" w:hAnsi="Times New Roman" w:eastAsia="黑体" w:cs="Times New Roman"/>
          <w:color w:val="auto"/>
          <w:sz w:val="30"/>
          <w:szCs w:val="30"/>
        </w:rPr>
        <w:t xml:space="preserve">1.4 </w:t>
      </w:r>
      <w:r>
        <w:rPr>
          <w:rFonts w:hint="eastAsia" w:ascii="Times New Roman" w:hAnsi="Times New Roman" w:eastAsia="黑体" w:cs="Times New Roman"/>
          <w:color w:val="auto"/>
          <w:sz w:val="30"/>
          <w:szCs w:val="30"/>
        </w:rPr>
        <w:t xml:space="preserve"> 工作原则</w:t>
      </w:r>
      <w:bookmarkEnd w:id="7"/>
    </w:p>
    <w:bookmarkEnd w:id="8"/>
    <w:p w14:paraId="51B1CEC8">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1. 以人为本，减少损失。在处置火灾事故时，始终把保护人民群众生命安全放在首位，保障人民群众财产和公共设施的安全，把火灾损失降到最低限度。</w:t>
      </w:r>
    </w:p>
    <w:p w14:paraId="6009B81B">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 预防为主，防消结合。各单位、各村（社区）要开展经常性的防火宣传教育，加强防火基础设施建设，整改、消除各类火灾隐患，从源头上预防火灾事故发生。</w:t>
      </w:r>
    </w:p>
    <w:p w14:paraId="222C9681">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3. 统一领导，协同作战。在街道的统一领导下，各部门尽职尽责，密切协作，协调有序地开展火灾扑救、人员救治和善后处理工作。</w:t>
      </w:r>
    </w:p>
    <w:p w14:paraId="758C70AC">
      <w:pPr>
        <w:pStyle w:val="3"/>
        <w:overflowPunct w:val="0"/>
        <w:topLinePunct/>
        <w:adjustRightInd w:val="0"/>
        <w:snapToGrid w:val="0"/>
        <w:spacing w:before="156" w:beforeLines="50" w:after="156" w:afterLines="50" w:line="360" w:lineRule="auto"/>
        <w:jc w:val="center"/>
        <w:textAlignment w:val="top"/>
        <w:rPr>
          <w:rFonts w:ascii="黑体" w:hAnsi="黑体" w:eastAsia="黑体"/>
          <w:color w:val="auto"/>
          <w:sz w:val="36"/>
          <w:szCs w:val="36"/>
        </w:rPr>
      </w:pPr>
      <w:bookmarkStart w:id="9" w:name="_Hlk153835044"/>
      <w:bookmarkStart w:id="10" w:name="_Toc155861773"/>
      <w:bookmarkStart w:id="11" w:name="_Hlk153905592"/>
      <w:bookmarkStart w:id="12" w:name="_Hlk154119432"/>
      <w:r>
        <w:rPr>
          <w:rFonts w:hint="eastAsia" w:ascii="黑体" w:hAnsi="黑体" w:eastAsia="黑体"/>
          <w:color w:val="auto"/>
          <w:sz w:val="36"/>
          <w:szCs w:val="36"/>
        </w:rPr>
        <w:t>2</w:t>
      </w:r>
      <w:r>
        <w:rPr>
          <w:rFonts w:ascii="黑体" w:hAnsi="黑体" w:eastAsia="黑体"/>
          <w:color w:val="auto"/>
          <w:sz w:val="36"/>
          <w:szCs w:val="36"/>
        </w:rPr>
        <w:t xml:space="preserve">  </w:t>
      </w:r>
      <w:bookmarkEnd w:id="9"/>
      <w:r>
        <w:rPr>
          <w:rFonts w:hint="eastAsia" w:ascii="黑体" w:hAnsi="黑体" w:eastAsia="黑体"/>
          <w:color w:val="auto"/>
          <w:sz w:val="36"/>
          <w:szCs w:val="36"/>
        </w:rPr>
        <w:t>应急组织体系</w:t>
      </w:r>
      <w:bookmarkEnd w:id="10"/>
    </w:p>
    <w:bookmarkEnd w:id="11"/>
    <w:p w14:paraId="4ACEDAB9">
      <w:pPr>
        <w:pStyle w:val="4"/>
        <w:overflowPunct w:val="0"/>
        <w:topLinePunct/>
        <w:adjustRightInd w:val="0"/>
        <w:snapToGrid w:val="0"/>
        <w:spacing w:before="0" w:after="0" w:line="360" w:lineRule="auto"/>
        <w:textAlignment w:val="top"/>
        <w:rPr>
          <w:rFonts w:ascii="Times New Roman" w:hAnsi="Times New Roman" w:eastAsia="黑体" w:cs="Times New Roman"/>
          <w:color w:val="auto"/>
          <w:sz w:val="30"/>
          <w:szCs w:val="30"/>
        </w:rPr>
      </w:pPr>
      <w:bookmarkStart w:id="13" w:name="_Toc155861774"/>
      <w:bookmarkStart w:id="14" w:name="_Hlk153905298"/>
      <w:r>
        <w:rPr>
          <w:rFonts w:ascii="Times New Roman" w:hAnsi="Times New Roman" w:eastAsia="黑体" w:cs="Times New Roman"/>
          <w:color w:val="auto"/>
          <w:sz w:val="30"/>
          <w:szCs w:val="30"/>
        </w:rPr>
        <w:t xml:space="preserve">2.1 </w:t>
      </w:r>
      <w:r>
        <w:rPr>
          <w:rFonts w:hint="eastAsia" w:ascii="Times New Roman" w:hAnsi="Times New Roman" w:eastAsia="黑体" w:cs="Times New Roman"/>
          <w:color w:val="auto"/>
          <w:sz w:val="30"/>
          <w:szCs w:val="30"/>
        </w:rPr>
        <w:t xml:space="preserve"> 组织机构</w:t>
      </w:r>
      <w:bookmarkEnd w:id="13"/>
    </w:p>
    <w:bookmarkEnd w:id="14"/>
    <w:p w14:paraId="259F877A">
      <w:pPr>
        <w:keepNext/>
        <w:keepLines/>
        <w:overflowPunct w:val="0"/>
        <w:topLinePunct/>
        <w:adjustRightInd w:val="0"/>
        <w:snapToGrid w:val="0"/>
        <w:spacing w:line="360" w:lineRule="auto"/>
        <w:textAlignment w:val="top"/>
        <w:outlineLvl w:val="2"/>
        <w:rPr>
          <w:rFonts w:hint="eastAsia" w:ascii="仿宋_GB2312" w:hAnsi="仿宋_GB2312" w:eastAsia="仿宋_GB2312" w:cs="仿宋_GB2312"/>
          <w:b/>
          <w:bCs/>
          <w:color w:val="auto"/>
        </w:rPr>
      </w:pPr>
      <w:bookmarkStart w:id="15" w:name="_Toc155861775"/>
      <w:bookmarkStart w:id="16" w:name="_Hlk154114380"/>
      <w:r>
        <w:rPr>
          <w:rFonts w:hint="eastAsia" w:ascii="仿宋_GB2312" w:hAnsi="仿宋_GB2312" w:eastAsia="仿宋_GB2312" w:cs="仿宋_GB2312"/>
          <w:b/>
          <w:bCs/>
          <w:color w:val="auto"/>
        </w:rPr>
        <w:t>2.1.1  街道应急组织组成</w:t>
      </w:r>
      <w:bookmarkEnd w:id="15"/>
    </w:p>
    <w:bookmarkEnd w:id="16"/>
    <w:p w14:paraId="27347B3D">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bookmarkStart w:id="17" w:name="_Hlk154375046"/>
      <w:r>
        <w:rPr>
          <w:rFonts w:hint="eastAsia" w:ascii="仿宋_GB2312" w:hAnsi="仿宋_GB2312" w:eastAsia="仿宋_GB2312" w:cs="仿宋_GB2312"/>
          <w:color w:val="auto"/>
        </w:rPr>
        <w:t>济南市历城区唐王街道</w:t>
      </w:r>
      <w:bookmarkEnd w:id="17"/>
      <w:r>
        <w:rPr>
          <w:rFonts w:hint="eastAsia" w:ascii="仿宋_GB2312" w:hAnsi="仿宋_GB2312" w:eastAsia="仿宋_GB2312" w:cs="仿宋_GB2312"/>
          <w:color w:val="auto"/>
        </w:rPr>
        <w:t>火灾事故应急救援组织体系，与济南市历城区唐王街道突发事故总体预案应急组织体系一致，由应急指挥组织、应急工作小组及成员单位组成。</w:t>
      </w:r>
    </w:p>
    <w:p w14:paraId="29C41EF5">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应急指挥组织由应急指挥机构和应急办公机构组成</w:t>
      </w:r>
      <w:bookmarkStart w:id="18" w:name="_Hlk17572189"/>
      <w:r>
        <w:rPr>
          <w:rFonts w:hint="eastAsia" w:ascii="仿宋_GB2312" w:hAnsi="仿宋_GB2312" w:eastAsia="仿宋_GB2312" w:cs="仿宋_GB2312"/>
          <w:color w:val="auto"/>
        </w:rPr>
        <w:t>。唐王街道成立</w:t>
      </w:r>
      <w:bookmarkStart w:id="19" w:name="_Hlk154113467"/>
      <w:r>
        <w:rPr>
          <w:rFonts w:hint="eastAsia" w:ascii="仿宋_GB2312" w:hAnsi="仿宋_GB2312" w:eastAsia="仿宋_GB2312" w:cs="仿宋_GB2312"/>
          <w:color w:val="auto"/>
        </w:rPr>
        <w:t>应急管理委员会</w:t>
      </w:r>
      <w:bookmarkEnd w:id="19"/>
      <w:r>
        <w:rPr>
          <w:rFonts w:hint="eastAsia" w:ascii="仿宋_GB2312" w:hAnsi="仿宋_GB2312" w:eastAsia="仿宋_GB2312" w:cs="仿宋_GB2312"/>
          <w:color w:val="auto"/>
        </w:rPr>
        <w:t>作为街道的应急管理机构，</w:t>
      </w:r>
      <w:bookmarkStart w:id="20" w:name="_Hlk154113525"/>
      <w:r>
        <w:rPr>
          <w:rFonts w:hint="eastAsia" w:ascii="仿宋_GB2312" w:hAnsi="仿宋_GB2312" w:eastAsia="仿宋_GB2312" w:cs="仿宋_GB2312"/>
          <w:color w:val="auto"/>
        </w:rPr>
        <w:t>在火灾事故应急期间</w:t>
      </w:r>
      <w:bookmarkEnd w:id="20"/>
      <w:r>
        <w:rPr>
          <w:rFonts w:hint="eastAsia" w:ascii="仿宋_GB2312" w:hAnsi="仿宋_GB2312" w:eastAsia="仿宋_GB2312" w:cs="仿宋_GB2312"/>
          <w:color w:val="auto"/>
        </w:rPr>
        <w:t>，自动成为火灾事故的应急指挥机构。</w:t>
      </w:r>
    </w:p>
    <w:p w14:paraId="6A4DF2B8">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街道应急管理委员会由主任、副主任及成员组成，在火灾事故应急期间自动成为应急指挥部总指挥、副指挥及成员；应急管理委员会下设应急办公室作为街道的常设应急办公机构</w:t>
      </w:r>
      <w:bookmarkStart w:id="21" w:name="_Hlk17574347"/>
      <w:r>
        <w:rPr>
          <w:rFonts w:hint="eastAsia" w:ascii="仿宋_GB2312" w:hAnsi="仿宋_GB2312" w:eastAsia="仿宋_GB2312" w:cs="仿宋_GB2312"/>
          <w:color w:val="auto"/>
        </w:rPr>
        <w:t>。</w:t>
      </w:r>
      <w:bookmarkEnd w:id="21"/>
    </w:p>
    <w:p w14:paraId="1E7AB177">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bookmarkStart w:id="22" w:name="_Hlk154113870"/>
      <w:bookmarkStart w:id="23" w:name="_Hlk154117870"/>
      <w:r>
        <w:rPr>
          <w:rFonts w:hint="eastAsia" w:ascii="仿宋_GB2312" w:hAnsi="仿宋_GB2312" w:eastAsia="仿宋_GB2312" w:cs="仿宋_GB2312"/>
          <w:color w:val="auto"/>
        </w:rPr>
        <w:t>唐王街道根据火灾事故应急救援的需要，成立应急工作小组。</w:t>
      </w:r>
      <w:bookmarkEnd w:id="22"/>
      <w:r>
        <w:rPr>
          <w:rFonts w:hint="eastAsia" w:ascii="仿宋_GB2312" w:hAnsi="仿宋_GB2312" w:eastAsia="仿宋_GB2312" w:cs="仿宋_GB2312"/>
          <w:color w:val="auto"/>
        </w:rPr>
        <w:t>应急工作小组由综合协调组、抢险救灾组、通信联络组、治安疏导组、医疗救护组、后勤保障组、环境保护组、新闻发布组、技术保障组、调查评估组、善后工作组组成。</w:t>
      </w:r>
    </w:p>
    <w:bookmarkEnd w:id="23"/>
    <w:p w14:paraId="3AFAD588">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bookmarkStart w:id="24" w:name="_Hlk154117525"/>
      <w:r>
        <w:rPr>
          <w:rFonts w:hint="eastAsia" w:ascii="仿宋_GB2312" w:hAnsi="仿宋_GB2312" w:eastAsia="仿宋_GB2312" w:cs="仿宋_GB2312"/>
          <w:color w:val="auto"/>
        </w:rPr>
        <w:t>为配合应急救援的需要，唐王街道将街道政府有关部门、辖区公安派出所、辖区供电部门、辖区内邮政、街道下属各管区、主要企事业单位、各行政村等列为成员单位，以便火灾事故应急期间提供相关应急职能。</w:t>
      </w:r>
    </w:p>
    <w:bookmarkEnd w:id="18"/>
    <w:bookmarkEnd w:id="24"/>
    <w:p w14:paraId="3AA48DC9">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街道应急办公室、各应急工作小组、相关成员单位，在火灾事故应急期间，在唐王街道应急管理委员会的统一领导和指挥下，按照各自的分工和职责范围，进行火灾事故预防、现场施救及其他应急事项。</w:t>
      </w:r>
    </w:p>
    <w:p w14:paraId="012334D8">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唐王街道应急组织机构的组织体系架构，如图2.1-1所示。</w:t>
      </w:r>
    </w:p>
    <w:p w14:paraId="061D4CCF">
      <w:pPr>
        <w:overflowPunct w:val="0"/>
        <w:topLinePunct/>
        <w:adjustRightInd w:val="0"/>
        <w:snapToGrid w:val="0"/>
        <w:spacing w:line="360" w:lineRule="auto"/>
        <w:textAlignment w:val="top"/>
        <w:rPr>
          <w:rFonts w:hint="eastAsia" w:ascii="仿宋_GB2312" w:hAnsi="仿宋_GB2312" w:eastAsia="仿宋_GB2312" w:cs="仿宋_GB2312"/>
          <w:color w:val="auto"/>
        </w:rPr>
      </w:pPr>
    </w:p>
    <w:p w14:paraId="45645DFD">
      <w:pPr>
        <w:overflowPunct w:val="0"/>
        <w:topLinePunct/>
        <w:adjustRightInd w:val="0"/>
        <w:snapToGrid w:val="0"/>
        <w:spacing w:line="360" w:lineRule="auto"/>
        <w:jc w:val="center"/>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drawing>
          <wp:inline distT="0" distB="0" distL="0" distR="0">
            <wp:extent cx="5039995" cy="3959860"/>
            <wp:effectExtent l="0" t="0" r="8255" b="2540"/>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5"/>
                    <a:srcRect l="17176" t="19757" r="20472" b="6602"/>
                    <a:stretch>
                      <a:fillRect/>
                    </a:stretch>
                  </pic:blipFill>
                  <pic:spPr>
                    <a:xfrm>
                      <a:off x="0" y="0"/>
                      <a:ext cx="5040000" cy="3960000"/>
                    </a:xfrm>
                    <a:prstGeom prst="rect">
                      <a:avLst/>
                    </a:prstGeom>
                    <a:ln>
                      <a:noFill/>
                    </a:ln>
                  </pic:spPr>
                </pic:pic>
              </a:graphicData>
            </a:graphic>
          </wp:inline>
        </w:drawing>
      </w:r>
    </w:p>
    <w:p w14:paraId="64B8B411">
      <w:pPr>
        <w:widowControl/>
        <w:overflowPunct w:val="0"/>
        <w:topLinePunct/>
        <w:adjustRightInd w:val="0"/>
        <w:snapToGrid w:val="0"/>
        <w:spacing w:after="156" w:afterLines="50" w:line="360" w:lineRule="auto"/>
        <w:jc w:val="center"/>
        <w:textAlignment w:val="top"/>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图 2.1-1  济南市历城区唐王街道火灾事故应急救援组织体系图</w:t>
      </w:r>
    </w:p>
    <w:p w14:paraId="26E9341F">
      <w:pPr>
        <w:keepNext/>
        <w:keepLines/>
        <w:overflowPunct w:val="0"/>
        <w:topLinePunct/>
        <w:adjustRightInd w:val="0"/>
        <w:snapToGrid w:val="0"/>
        <w:spacing w:line="360" w:lineRule="auto"/>
        <w:textAlignment w:val="top"/>
        <w:outlineLvl w:val="2"/>
        <w:rPr>
          <w:rFonts w:hint="eastAsia" w:ascii="仿宋_GB2312" w:hAnsi="仿宋_GB2312" w:eastAsia="仿宋_GB2312" w:cs="仿宋_GB2312"/>
          <w:b/>
          <w:bCs/>
          <w:color w:val="auto"/>
        </w:rPr>
      </w:pPr>
      <w:bookmarkStart w:id="25" w:name="_Toc155861776"/>
      <w:r>
        <w:rPr>
          <w:rFonts w:hint="eastAsia" w:ascii="仿宋_GB2312" w:hAnsi="仿宋_GB2312" w:eastAsia="仿宋_GB2312" w:cs="仿宋_GB2312"/>
          <w:b/>
          <w:bCs/>
          <w:color w:val="auto"/>
        </w:rPr>
        <w:t>2.1.2  各机构设置及职责</w:t>
      </w:r>
      <w:bookmarkEnd w:id="25"/>
    </w:p>
    <w:p w14:paraId="09268E05">
      <w:pPr>
        <w:tabs>
          <w:tab w:val="left" w:pos="1080"/>
        </w:tabs>
        <w:overflowPunct w:val="0"/>
        <w:topLinePunct/>
        <w:adjustRightInd w:val="0"/>
        <w:snapToGrid w:val="0"/>
        <w:spacing w:line="360" w:lineRule="auto"/>
        <w:textAlignment w:val="top"/>
        <w:rPr>
          <w:rFonts w:hint="eastAsia" w:ascii="仿宋_GB2312" w:hAnsi="仿宋_GB2312" w:eastAsia="仿宋_GB2312" w:cs="仿宋_GB2312"/>
          <w:bCs/>
          <w:color w:val="auto"/>
        </w:rPr>
      </w:pPr>
      <w:bookmarkStart w:id="26" w:name="_Hlk154116589"/>
      <w:r>
        <w:rPr>
          <w:rFonts w:hint="eastAsia" w:ascii="仿宋_GB2312" w:hAnsi="仿宋_GB2312" w:eastAsia="仿宋_GB2312" w:cs="仿宋_GB2312"/>
          <w:bCs/>
          <w:color w:val="auto"/>
        </w:rPr>
        <w:t xml:space="preserve">1.3.1.1  </w:t>
      </w:r>
      <w:bookmarkStart w:id="27" w:name="_Hlk154115151"/>
      <w:r>
        <w:rPr>
          <w:rFonts w:hint="eastAsia" w:ascii="仿宋_GB2312" w:hAnsi="仿宋_GB2312" w:eastAsia="仿宋_GB2312" w:cs="仿宋_GB2312"/>
          <w:bCs/>
          <w:color w:val="auto"/>
        </w:rPr>
        <w:t>街道</w:t>
      </w:r>
      <w:bookmarkStart w:id="28" w:name="_Hlk154115018"/>
      <w:r>
        <w:rPr>
          <w:rFonts w:hint="eastAsia" w:ascii="仿宋_GB2312" w:hAnsi="仿宋_GB2312" w:eastAsia="仿宋_GB2312" w:cs="仿宋_GB2312"/>
          <w:bCs/>
          <w:color w:val="auto"/>
        </w:rPr>
        <w:t>应急管理委员会</w:t>
      </w:r>
      <w:bookmarkEnd w:id="28"/>
    </w:p>
    <w:bookmarkEnd w:id="27"/>
    <w:p w14:paraId="7E34513D">
      <w:pPr>
        <w:tabs>
          <w:tab w:val="left" w:pos="1080"/>
        </w:tabs>
        <w:overflowPunct w:val="0"/>
        <w:topLinePunct/>
        <w:adjustRightInd w:val="0"/>
        <w:snapToGrid w:val="0"/>
        <w:spacing w:line="360" w:lineRule="auto"/>
        <w:ind w:firstLine="560" w:firstLineChars="200"/>
        <w:textAlignment w:val="top"/>
        <w:rPr>
          <w:rFonts w:hint="eastAsia" w:ascii="仿宋_GB2312" w:hAnsi="仿宋_GB2312" w:eastAsia="仿宋_GB2312" w:cs="仿宋_GB2312"/>
          <w:bCs/>
          <w:color w:val="auto"/>
        </w:rPr>
      </w:pPr>
      <w:bookmarkStart w:id="29" w:name="_Hlk69700782"/>
      <w:r>
        <w:rPr>
          <w:rFonts w:hint="eastAsia" w:ascii="仿宋_GB2312" w:hAnsi="仿宋_GB2312" w:eastAsia="仿宋_GB2312" w:cs="仿宋_GB2312"/>
          <w:bCs/>
          <w:color w:val="auto"/>
        </w:rPr>
        <w:t>1. 组成</w:t>
      </w:r>
      <w:bookmarkEnd w:id="26"/>
    </w:p>
    <w:bookmarkEnd w:id="29"/>
    <w:p w14:paraId="06B3AEC3">
      <w:pPr>
        <w:tabs>
          <w:tab w:val="left" w:pos="1080"/>
        </w:tabs>
        <w:overflowPunct w:val="0"/>
        <w:topLinePunct/>
        <w:adjustRightInd w:val="0"/>
        <w:snapToGrid w:val="0"/>
        <w:spacing w:line="360" w:lineRule="auto"/>
        <w:ind w:firstLine="560" w:firstLineChars="200"/>
        <w:textAlignment w:val="top"/>
        <w:rPr>
          <w:rFonts w:hint="eastAsia" w:ascii="仿宋_GB2312" w:hAnsi="仿宋_GB2312" w:eastAsia="仿宋_GB2312" w:cs="仿宋_GB2312"/>
          <w:bCs/>
          <w:color w:val="auto"/>
        </w:rPr>
      </w:pPr>
      <w:bookmarkStart w:id="30" w:name="_Hlk73156614"/>
      <w:r>
        <w:rPr>
          <w:rFonts w:hint="eastAsia" w:ascii="仿宋_GB2312" w:hAnsi="仿宋_GB2312" w:eastAsia="仿宋_GB2312" w:cs="仿宋_GB2312"/>
          <w:bCs/>
          <w:color w:val="auto"/>
        </w:rPr>
        <w:t>唐王街道设立突发事故应急管理委员会，负责街道火灾事故应急处置的统一领导和指挥工作。</w:t>
      </w:r>
      <w:bookmarkEnd w:id="30"/>
    </w:p>
    <w:p w14:paraId="2F7D1CC3">
      <w:pPr>
        <w:tabs>
          <w:tab w:val="left" w:pos="1080"/>
        </w:tabs>
        <w:overflowPunct w:val="0"/>
        <w:topLinePunct/>
        <w:adjustRightInd w:val="0"/>
        <w:snapToGrid w:val="0"/>
        <w:spacing w:line="360" w:lineRule="auto"/>
        <w:ind w:firstLine="560" w:firstLineChars="200"/>
        <w:textAlignment w:val="top"/>
        <w:rPr>
          <w:rFonts w:hint="eastAsia" w:ascii="仿宋_GB2312" w:hAnsi="仿宋_GB2312" w:eastAsia="仿宋_GB2312" w:cs="仿宋_GB2312"/>
          <w:bCs/>
          <w:color w:val="auto"/>
        </w:rPr>
      </w:pPr>
      <w:r>
        <w:rPr>
          <w:rFonts w:hint="eastAsia" w:ascii="仿宋_GB2312" w:hAnsi="仿宋_GB2312" w:eastAsia="仿宋_GB2312" w:cs="仿宋_GB2312"/>
          <w:bCs/>
          <w:color w:val="auto"/>
        </w:rPr>
        <w:t>唐王街道应急管理委员会的组成如下：</w:t>
      </w:r>
    </w:p>
    <w:p w14:paraId="4DA819C2">
      <w:pPr>
        <w:widowControl/>
        <w:overflowPunct w:val="0"/>
        <w:topLinePunct/>
        <w:adjustRightInd w:val="0"/>
        <w:snapToGrid w:val="0"/>
        <w:spacing w:line="360" w:lineRule="auto"/>
        <w:ind w:left="560" w:leftChars="2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主  任：卢  迪</w:t>
      </w:r>
      <w:r>
        <w:rPr>
          <w:rFonts w:hint="eastAsia" w:ascii="仿宋_GB2312" w:hAnsi="仿宋_GB2312" w:eastAsia="仿宋_GB2312" w:cs="仿宋_GB2312"/>
          <w:color w:val="auto"/>
          <w:kern w:val="0"/>
          <w:lang w:val="en-US" w:eastAsia="zh-CN"/>
        </w:rPr>
        <w:t xml:space="preserve">    </w:t>
      </w:r>
      <w:r>
        <w:rPr>
          <w:rFonts w:hint="eastAsia" w:ascii="仿宋_GB2312" w:hAnsi="仿宋_GB2312" w:eastAsia="仿宋_GB2312" w:cs="仿宋_GB2312"/>
          <w:color w:val="auto"/>
          <w:kern w:val="0"/>
        </w:rPr>
        <w:t>党工委副书记、</w:t>
      </w:r>
      <w:r>
        <w:rPr>
          <w:rFonts w:hint="eastAsia" w:ascii="仿宋_GB2312" w:hAnsi="仿宋_GB2312" w:eastAsia="仿宋_GB2312" w:cs="仿宋_GB2312"/>
          <w:color w:val="auto"/>
          <w:kern w:val="0"/>
          <w:lang w:eastAsia="zh-CN"/>
        </w:rPr>
        <w:t>办事处</w:t>
      </w:r>
      <w:r>
        <w:rPr>
          <w:rFonts w:hint="eastAsia" w:ascii="仿宋_GB2312" w:hAnsi="仿宋_GB2312" w:eastAsia="仿宋_GB2312" w:cs="仿宋_GB2312"/>
          <w:color w:val="auto"/>
          <w:kern w:val="0"/>
        </w:rPr>
        <w:t>主任</w:t>
      </w:r>
    </w:p>
    <w:p w14:paraId="13E3394F">
      <w:pPr>
        <w:widowControl/>
        <w:overflowPunct w:val="0"/>
        <w:topLinePunct/>
        <w:adjustRightInd w:val="0"/>
        <w:snapToGrid w:val="0"/>
        <w:spacing w:line="360" w:lineRule="auto"/>
        <w:ind w:left="560" w:leftChars="2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副主任：刘  波    党工委副书记</w:t>
      </w:r>
    </w:p>
    <w:p w14:paraId="3E5C5C80">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周  杰    党工委委员、纪</w:t>
      </w:r>
      <w:r>
        <w:rPr>
          <w:rFonts w:hint="eastAsia" w:ascii="仿宋_GB2312" w:hAnsi="仿宋_GB2312" w:eastAsia="仿宋_GB2312" w:cs="仿宋_GB2312"/>
          <w:color w:val="auto"/>
          <w:kern w:val="0"/>
          <w:lang w:eastAsia="zh-CN"/>
        </w:rPr>
        <w:t>监</w:t>
      </w:r>
      <w:r>
        <w:rPr>
          <w:rFonts w:hint="eastAsia" w:ascii="仿宋_GB2312" w:hAnsi="仿宋_GB2312" w:eastAsia="仿宋_GB2312" w:cs="仿宋_GB2312"/>
          <w:color w:val="auto"/>
          <w:kern w:val="0"/>
        </w:rPr>
        <w:t>工委书记</w:t>
      </w:r>
    </w:p>
    <w:p w14:paraId="3D10FCED">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张延国    党工委委员、</w:t>
      </w:r>
      <w:r>
        <w:rPr>
          <w:rFonts w:hint="eastAsia" w:ascii="仿宋_GB2312" w:hAnsi="仿宋_GB2312" w:eastAsia="仿宋_GB2312" w:cs="仿宋_GB2312"/>
          <w:color w:val="auto"/>
          <w:kern w:val="0"/>
          <w:lang w:eastAsia="zh-CN"/>
        </w:rPr>
        <w:t>办事处</w:t>
      </w:r>
      <w:r>
        <w:rPr>
          <w:rFonts w:hint="eastAsia" w:ascii="仿宋_GB2312" w:hAnsi="仿宋_GB2312" w:eastAsia="仿宋_GB2312" w:cs="仿宋_GB2312"/>
          <w:color w:val="auto"/>
          <w:kern w:val="0"/>
        </w:rPr>
        <w:t>副主任</w:t>
      </w:r>
    </w:p>
    <w:p w14:paraId="3366EB37">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王  民    党工委委员、</w:t>
      </w:r>
      <w:r>
        <w:rPr>
          <w:rFonts w:hint="eastAsia" w:ascii="仿宋_GB2312" w:hAnsi="仿宋_GB2312" w:eastAsia="仿宋_GB2312" w:cs="仿宋_GB2312"/>
          <w:color w:val="auto"/>
          <w:kern w:val="0"/>
          <w:lang w:eastAsia="zh-CN"/>
        </w:rPr>
        <w:t>办事处</w:t>
      </w:r>
      <w:r>
        <w:rPr>
          <w:rFonts w:hint="eastAsia" w:ascii="仿宋_GB2312" w:hAnsi="仿宋_GB2312" w:eastAsia="仿宋_GB2312" w:cs="仿宋_GB2312"/>
          <w:color w:val="auto"/>
          <w:kern w:val="0"/>
        </w:rPr>
        <w:t>副主任</w:t>
      </w:r>
    </w:p>
    <w:p w14:paraId="33F47C56">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赵  芸    党工委委员、</w:t>
      </w:r>
      <w:r>
        <w:rPr>
          <w:rFonts w:hint="eastAsia" w:ascii="仿宋_GB2312" w:hAnsi="仿宋_GB2312" w:eastAsia="仿宋_GB2312" w:cs="仿宋_GB2312"/>
          <w:color w:val="auto"/>
          <w:kern w:val="0"/>
          <w:lang w:eastAsia="zh-CN"/>
        </w:rPr>
        <w:t>办事处</w:t>
      </w:r>
      <w:r>
        <w:rPr>
          <w:rFonts w:hint="eastAsia" w:ascii="仿宋_GB2312" w:hAnsi="仿宋_GB2312" w:eastAsia="仿宋_GB2312" w:cs="仿宋_GB2312"/>
          <w:color w:val="auto"/>
          <w:kern w:val="0"/>
        </w:rPr>
        <w:t>副主任</w:t>
      </w:r>
    </w:p>
    <w:p w14:paraId="23DA158D">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刘  滨    党工委委员、</w:t>
      </w:r>
      <w:r>
        <w:rPr>
          <w:rFonts w:hint="eastAsia" w:ascii="仿宋_GB2312" w:hAnsi="仿宋_GB2312" w:eastAsia="仿宋_GB2312" w:cs="仿宋_GB2312"/>
          <w:color w:val="auto"/>
          <w:kern w:val="0"/>
          <w:lang w:eastAsia="zh-CN"/>
        </w:rPr>
        <w:t>办事处</w:t>
      </w:r>
      <w:r>
        <w:rPr>
          <w:rFonts w:hint="eastAsia" w:ascii="仿宋_GB2312" w:hAnsi="仿宋_GB2312" w:eastAsia="仿宋_GB2312" w:cs="仿宋_GB2312"/>
          <w:color w:val="auto"/>
          <w:kern w:val="0"/>
        </w:rPr>
        <w:t>副主任</w:t>
      </w:r>
    </w:p>
    <w:p w14:paraId="7B685AF0">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 xml:space="preserve">柴友亮    </w:t>
      </w:r>
      <w:r>
        <w:rPr>
          <w:rFonts w:hint="eastAsia" w:ascii="仿宋_GB2312" w:hAnsi="仿宋_GB2312" w:eastAsia="仿宋_GB2312" w:cs="仿宋_GB2312"/>
          <w:color w:val="auto"/>
          <w:kern w:val="0"/>
          <w:lang w:eastAsia="zh-CN"/>
        </w:rPr>
        <w:t>平安法治和信访办公室副</w:t>
      </w:r>
      <w:r>
        <w:rPr>
          <w:rFonts w:hint="eastAsia" w:ascii="仿宋_GB2312" w:hAnsi="仿宋_GB2312" w:eastAsia="仿宋_GB2312" w:cs="仿宋_GB2312"/>
          <w:color w:val="auto"/>
          <w:kern w:val="0"/>
        </w:rPr>
        <w:t>主任</w:t>
      </w:r>
    </w:p>
    <w:p w14:paraId="0810DBAE">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 xml:space="preserve">李成国    </w:t>
      </w:r>
      <w:r>
        <w:rPr>
          <w:rFonts w:hint="eastAsia" w:ascii="仿宋_GB2312" w:hAnsi="仿宋_GB2312" w:eastAsia="仿宋_GB2312" w:cs="仿宋_GB2312"/>
          <w:color w:val="auto"/>
          <w:kern w:val="0"/>
          <w:lang w:eastAsia="zh-CN"/>
        </w:rPr>
        <w:t>农业农村综合</w:t>
      </w:r>
      <w:r>
        <w:rPr>
          <w:rFonts w:hint="eastAsia" w:ascii="仿宋_GB2312" w:hAnsi="仿宋_GB2312" w:eastAsia="仿宋_GB2312" w:cs="仿宋_GB2312"/>
          <w:color w:val="auto"/>
          <w:kern w:val="0"/>
        </w:rPr>
        <w:t>服务中心主任</w:t>
      </w:r>
    </w:p>
    <w:p w14:paraId="4B119BA3">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 xml:space="preserve">李长庚    </w:t>
      </w:r>
      <w:r>
        <w:rPr>
          <w:rFonts w:hint="eastAsia" w:ascii="仿宋_GB2312" w:hAnsi="仿宋_GB2312" w:eastAsia="仿宋_GB2312" w:cs="仿宋_GB2312"/>
          <w:color w:val="auto"/>
          <w:kern w:val="0"/>
          <w:lang w:eastAsia="zh-CN"/>
        </w:rPr>
        <w:t>综合行政执法和城乡建设</w:t>
      </w:r>
      <w:r>
        <w:rPr>
          <w:rFonts w:hint="eastAsia" w:ascii="仿宋_GB2312" w:hAnsi="仿宋_GB2312" w:eastAsia="仿宋_GB2312" w:cs="仿宋_GB2312"/>
          <w:color w:val="auto"/>
          <w:kern w:val="0"/>
        </w:rPr>
        <w:t xml:space="preserve">服务中心主任 </w:t>
      </w:r>
    </w:p>
    <w:p w14:paraId="281A2CEF">
      <w:pPr>
        <w:widowControl/>
        <w:overflowPunct w:val="0"/>
        <w:topLinePunct/>
        <w:adjustRightInd w:val="0"/>
        <w:snapToGrid w:val="0"/>
        <w:spacing w:line="360" w:lineRule="auto"/>
        <w:ind w:left="560" w:leftChars="2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成  员：</w:t>
      </w:r>
      <w:r>
        <w:rPr>
          <w:rFonts w:hint="eastAsia" w:ascii="仿宋_GB2312" w:hAnsi="仿宋_GB2312" w:eastAsia="仿宋_GB2312" w:cs="仿宋_GB2312"/>
          <w:color w:val="auto"/>
          <w:kern w:val="0"/>
          <w:lang w:val="en-US" w:eastAsia="zh-CN"/>
        </w:rPr>
        <w:t>程书生</w:t>
      </w:r>
      <w:r>
        <w:rPr>
          <w:rFonts w:hint="eastAsia" w:ascii="仿宋_GB2312" w:hAnsi="仿宋_GB2312" w:eastAsia="仿宋_GB2312" w:cs="仿宋_GB2312"/>
          <w:color w:val="auto"/>
          <w:kern w:val="0"/>
        </w:rPr>
        <w:t xml:space="preserve">    应急办主任</w:t>
      </w:r>
    </w:p>
    <w:p w14:paraId="3D840D0C">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lang w:val="en-US" w:eastAsia="zh-CN"/>
        </w:rPr>
        <w:t>赵  勇</w:t>
      </w:r>
      <w:r>
        <w:rPr>
          <w:rFonts w:hint="eastAsia" w:ascii="仿宋_GB2312" w:hAnsi="仿宋_GB2312" w:eastAsia="仿宋_GB2312" w:cs="仿宋_GB2312"/>
          <w:color w:val="auto"/>
          <w:kern w:val="0"/>
        </w:rPr>
        <w:t xml:space="preserve">    党政办公室主任</w:t>
      </w:r>
    </w:p>
    <w:p w14:paraId="1CDB49F9">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韩立猛    教育办主任</w:t>
      </w:r>
    </w:p>
    <w:p w14:paraId="2B7A9605">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林永建    城管科科长</w:t>
      </w:r>
    </w:p>
    <w:p w14:paraId="0DF24156">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张育闽    综合执法中队队长</w:t>
      </w:r>
    </w:p>
    <w:p w14:paraId="41351B5A">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李庆江    济钢交警中队长</w:t>
      </w:r>
    </w:p>
    <w:p w14:paraId="1560B129">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魏怀宾    供电所所长</w:t>
      </w:r>
    </w:p>
    <w:p w14:paraId="41040466">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韩  平    卫生院院长</w:t>
      </w:r>
    </w:p>
    <w:p w14:paraId="20438335">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lang w:eastAsia="zh-CN"/>
        </w:rPr>
        <w:t>滕</w:t>
      </w:r>
      <w:r>
        <w:rPr>
          <w:rFonts w:hint="eastAsia" w:ascii="仿宋_GB2312" w:hAnsi="仿宋_GB2312" w:eastAsia="仿宋_GB2312" w:cs="仿宋_GB2312"/>
          <w:color w:val="auto"/>
          <w:kern w:val="0"/>
        </w:rPr>
        <w:t xml:space="preserve">  宝    市场监管所所长</w:t>
      </w:r>
    </w:p>
    <w:p w14:paraId="4E80F0DE">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陈继星    畜牧站站长</w:t>
      </w:r>
    </w:p>
    <w:p w14:paraId="70797A84">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张乃谅    渔场总经理</w:t>
      </w:r>
    </w:p>
    <w:p w14:paraId="5281B4FB">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范小刚    国土所所长</w:t>
      </w:r>
    </w:p>
    <w:p w14:paraId="145E4893">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lang w:val="en-US" w:eastAsia="zh-CN"/>
        </w:rPr>
        <w:t>王立国</w:t>
      </w:r>
      <w:r>
        <w:rPr>
          <w:rFonts w:hint="eastAsia" w:ascii="仿宋_GB2312" w:hAnsi="仿宋_GB2312" w:eastAsia="仿宋_GB2312" w:cs="仿宋_GB2312"/>
          <w:color w:val="auto"/>
          <w:kern w:val="0"/>
        </w:rPr>
        <w:t xml:space="preserve">    中国联通唐王营服中心主任</w:t>
      </w:r>
    </w:p>
    <w:p w14:paraId="35A48A56">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邱继富    农业</w:t>
      </w:r>
      <w:r>
        <w:rPr>
          <w:rFonts w:hint="eastAsia" w:ascii="仿宋_GB2312" w:hAnsi="仿宋_GB2312" w:eastAsia="仿宋_GB2312" w:cs="仿宋_GB2312"/>
          <w:color w:val="auto"/>
          <w:kern w:val="0"/>
          <w:lang w:eastAsia="zh-CN"/>
        </w:rPr>
        <w:t>综合</w:t>
      </w:r>
      <w:r>
        <w:rPr>
          <w:rFonts w:hint="eastAsia" w:ascii="仿宋_GB2312" w:hAnsi="仿宋_GB2312" w:eastAsia="仿宋_GB2312" w:cs="仿宋_GB2312"/>
          <w:color w:val="auto"/>
          <w:kern w:val="0"/>
        </w:rPr>
        <w:t>服务中心主任</w:t>
      </w:r>
    </w:p>
    <w:p w14:paraId="493B0691">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lang w:eastAsia="zh-CN"/>
        </w:rPr>
        <w:t>徐明亮</w:t>
      </w:r>
      <w:r>
        <w:rPr>
          <w:rFonts w:hint="eastAsia" w:ascii="仿宋_GB2312" w:hAnsi="仿宋_GB2312" w:eastAsia="仿宋_GB2312" w:cs="仿宋_GB2312"/>
          <w:color w:val="auto"/>
          <w:kern w:val="0"/>
        </w:rPr>
        <w:t xml:space="preserve">    经发科科长</w:t>
      </w:r>
    </w:p>
    <w:p w14:paraId="502917D0">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季桂芳    宣传科科长</w:t>
      </w:r>
    </w:p>
    <w:p w14:paraId="42BE4045">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周广东    文化站站长</w:t>
      </w:r>
    </w:p>
    <w:p w14:paraId="36EFE3C6">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刘  涛    社会事务科科长</w:t>
      </w:r>
    </w:p>
    <w:p w14:paraId="6B4C103F">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陈延杰    唐王管区主任</w:t>
      </w:r>
    </w:p>
    <w:p w14:paraId="09538D4D">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郭盈含    纸坊管区主任</w:t>
      </w:r>
    </w:p>
    <w:p w14:paraId="5AAB1658">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韩春梅    崔家管区主任</w:t>
      </w:r>
    </w:p>
    <w:p w14:paraId="4684A78F">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邱  霞    娄家管区主任</w:t>
      </w:r>
    </w:p>
    <w:p w14:paraId="0BEF2642">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王为政    老僧口管区主任</w:t>
      </w:r>
    </w:p>
    <w:p w14:paraId="429B5587">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郑元宝    派出所教导员</w:t>
      </w:r>
    </w:p>
    <w:p w14:paraId="2AAF25CD">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 职责</w:t>
      </w:r>
    </w:p>
    <w:p w14:paraId="1044ED2C">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bCs/>
          <w:color w:val="auto"/>
        </w:rPr>
      </w:pPr>
      <w:bookmarkStart w:id="31" w:name="_Hlk155797343"/>
      <w:r>
        <w:rPr>
          <w:rFonts w:hint="eastAsia" w:ascii="仿宋_GB2312" w:hAnsi="仿宋_GB2312" w:eastAsia="仿宋_GB2312" w:cs="仿宋_GB2312"/>
          <w:color w:val="auto"/>
        </w:rPr>
        <w:t>（1）</w:t>
      </w:r>
      <w:bookmarkStart w:id="32" w:name="_Hlk155792786"/>
      <w:r>
        <w:rPr>
          <w:rFonts w:hint="eastAsia" w:ascii="仿宋_GB2312" w:hAnsi="仿宋_GB2312" w:eastAsia="仿宋_GB2312" w:cs="仿宋_GB2312"/>
          <w:bCs/>
          <w:color w:val="auto"/>
        </w:rPr>
        <w:t>街道</w:t>
      </w:r>
      <w:bookmarkStart w:id="33" w:name="_Hlk155797278"/>
      <w:r>
        <w:rPr>
          <w:rFonts w:hint="eastAsia" w:ascii="仿宋_GB2312" w:hAnsi="仿宋_GB2312" w:eastAsia="仿宋_GB2312" w:cs="仿宋_GB2312"/>
          <w:bCs/>
          <w:color w:val="auto"/>
        </w:rPr>
        <w:t>应急管理委员会职责</w:t>
      </w:r>
      <w:bookmarkEnd w:id="32"/>
      <w:bookmarkEnd w:id="33"/>
    </w:p>
    <w:bookmarkEnd w:id="31"/>
    <w:p w14:paraId="560F0728">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bCs/>
          <w:color w:val="auto"/>
        </w:rPr>
        <w:t>唐王街道应急管理委员会的职责，如表2.1-1所示。</w:t>
      </w:r>
    </w:p>
    <w:p w14:paraId="500E440D">
      <w:pPr>
        <w:tabs>
          <w:tab w:val="left" w:pos="1080"/>
        </w:tabs>
        <w:overflowPunct w:val="0"/>
        <w:topLinePunct/>
        <w:adjustRightInd w:val="0"/>
        <w:snapToGrid w:val="0"/>
        <w:spacing w:before="78" w:beforeLines="25" w:after="78" w:afterLines="25"/>
        <w:jc w:val="center"/>
        <w:textAlignment w:val="top"/>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表 2.1-1  街道应急管理委员会职责一览表</w:t>
      </w:r>
    </w:p>
    <w:tbl>
      <w:tblPr>
        <w:tblStyle w:val="33"/>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9"/>
        <w:gridCol w:w="4480"/>
      </w:tblGrid>
      <w:tr w14:paraId="00090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79" w:type="dxa"/>
            <w:tcMar>
              <w:top w:w="113" w:type="dxa"/>
              <w:left w:w="57" w:type="dxa"/>
              <w:bottom w:w="113" w:type="dxa"/>
              <w:right w:w="57" w:type="dxa"/>
            </w:tcMar>
          </w:tcPr>
          <w:p w14:paraId="14647875">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日常应急职责</w:t>
            </w:r>
          </w:p>
        </w:tc>
        <w:tc>
          <w:tcPr>
            <w:tcW w:w="4480" w:type="dxa"/>
            <w:tcMar>
              <w:top w:w="113" w:type="dxa"/>
              <w:left w:w="57" w:type="dxa"/>
              <w:bottom w:w="113" w:type="dxa"/>
              <w:right w:w="57" w:type="dxa"/>
            </w:tcMar>
          </w:tcPr>
          <w:p w14:paraId="4396BE54">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事故期间职责</w:t>
            </w:r>
          </w:p>
        </w:tc>
      </w:tr>
      <w:tr w14:paraId="05955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tcMar>
              <w:top w:w="113" w:type="dxa"/>
              <w:left w:w="57" w:type="dxa"/>
              <w:bottom w:w="113" w:type="dxa"/>
              <w:right w:w="57" w:type="dxa"/>
            </w:tcMar>
            <w:vAlign w:val="center"/>
          </w:tcPr>
          <w:p w14:paraId="6B85AC5B">
            <w:pPr>
              <w:overflowPunct w:val="0"/>
              <w:topLinePunct/>
              <w:contextualSpacing/>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（1）负责本街道的应急救援队伍建设工作；</w:t>
            </w:r>
          </w:p>
          <w:p w14:paraId="486E42BF">
            <w:pPr>
              <w:overflowPunct w:val="0"/>
              <w:topLinePunct/>
              <w:contextualSpacing/>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（2）负责本街道的应急保障系统建设工作；</w:t>
            </w:r>
          </w:p>
          <w:p w14:paraId="1977EC2F">
            <w:pPr>
              <w:overflowPunct w:val="0"/>
              <w:topLinePunct/>
              <w:contextualSpacing/>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（3）定期组织应急预案的修编工作；</w:t>
            </w:r>
          </w:p>
          <w:p w14:paraId="14C43D2F">
            <w:pPr>
              <w:overflowPunct w:val="0"/>
              <w:topLinePunct/>
              <w:contextualSpacing/>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（4）负责应急预案的贯彻落实情况，定期或不定期对本街道应急队伍建设、应急保障系统、应急预案演练等情况进行检查；</w:t>
            </w:r>
          </w:p>
          <w:p w14:paraId="69520380">
            <w:pPr>
              <w:overflowPunct w:val="0"/>
              <w:topLinePunct/>
              <w:contextualSpacing/>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（4）落实国家相关的应急管理政策，执行和落实上级下达的应急任务。</w:t>
            </w:r>
          </w:p>
        </w:tc>
        <w:tc>
          <w:tcPr>
            <w:tcW w:w="4480" w:type="dxa"/>
            <w:tcMar>
              <w:top w:w="113" w:type="dxa"/>
              <w:left w:w="57" w:type="dxa"/>
              <w:bottom w:w="113" w:type="dxa"/>
              <w:right w:w="57" w:type="dxa"/>
            </w:tcMar>
            <w:vAlign w:val="center"/>
          </w:tcPr>
          <w:p w14:paraId="014E36BD">
            <w:pPr>
              <w:overflowPunct w:val="0"/>
              <w:topLinePunct/>
              <w:contextualSpacing/>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火灾事故发生后，对属于上级政府或部门负责处理的，在上级政府或部门组织的应急组织到达事故现场前，本街道在应急能力范围内先期处置，在上级政府或部门组织的应急组织到达事故现场后，本街道应急组织的指令配合处置。</w:t>
            </w:r>
          </w:p>
          <w:p w14:paraId="2BEEB201">
            <w:pPr>
              <w:overflowPunct w:val="0"/>
              <w:topLinePunct/>
              <w:contextualSpacing/>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（2）火灾事故发生后，对属于本街道负责处理的，本街道</w:t>
            </w:r>
            <w:r>
              <w:rPr>
                <w:rFonts w:hint="eastAsia" w:ascii="仿宋_GB2312" w:hAnsi="仿宋_GB2312" w:eastAsia="仿宋_GB2312" w:cs="仿宋_GB2312"/>
                <w:bCs/>
                <w:color w:val="auto"/>
                <w:kern w:val="0"/>
                <w:sz w:val="21"/>
                <w:szCs w:val="21"/>
              </w:rPr>
              <w:t>在应急总指挥的统一领导下，组织、指挥、协调各应急工作小组进行应急处置。</w:t>
            </w:r>
          </w:p>
        </w:tc>
      </w:tr>
    </w:tbl>
    <w:p w14:paraId="6AD69A7E">
      <w:pPr>
        <w:tabs>
          <w:tab w:val="left" w:pos="1080"/>
        </w:tabs>
        <w:overflowPunct w:val="0"/>
        <w:topLinePunct/>
        <w:adjustRightInd w:val="0"/>
        <w:snapToGrid w:val="0"/>
        <w:spacing w:before="156" w:beforeLines="50" w:line="360" w:lineRule="auto"/>
        <w:ind w:firstLine="560" w:firstLineChars="200"/>
        <w:textAlignment w:val="top"/>
        <w:rPr>
          <w:rFonts w:hint="eastAsia" w:ascii="仿宋_GB2312" w:hAnsi="仿宋_GB2312" w:eastAsia="仿宋_GB2312" w:cs="仿宋_GB2312"/>
          <w:bCs/>
          <w:color w:val="auto"/>
        </w:rPr>
      </w:pPr>
      <w:bookmarkStart w:id="34" w:name="_Hlk72795074"/>
      <w:bookmarkStart w:id="35" w:name="_Hlk17571421"/>
      <w:bookmarkStart w:id="36" w:name="_Hlk155810083"/>
      <w:r>
        <w:rPr>
          <w:rFonts w:hint="eastAsia" w:ascii="仿宋_GB2312" w:hAnsi="仿宋_GB2312" w:eastAsia="仿宋_GB2312" w:cs="仿宋_GB2312"/>
          <w:bCs/>
          <w:color w:val="auto"/>
        </w:rPr>
        <w:t>（2）应急管理委员会总指挥、副指挥及成员职责</w:t>
      </w:r>
      <w:bookmarkEnd w:id="34"/>
    </w:p>
    <w:bookmarkEnd w:id="35"/>
    <w:p w14:paraId="6D9D8325">
      <w:pPr>
        <w:tabs>
          <w:tab w:val="left" w:pos="1080"/>
        </w:tabs>
        <w:overflowPunct w:val="0"/>
        <w:topLinePunct/>
        <w:adjustRightInd w:val="0"/>
        <w:snapToGrid w:val="0"/>
        <w:spacing w:line="360" w:lineRule="auto"/>
        <w:ind w:firstLine="560" w:firstLineChars="200"/>
        <w:textAlignment w:val="top"/>
        <w:rPr>
          <w:rFonts w:hint="eastAsia" w:ascii="仿宋_GB2312" w:hAnsi="仿宋_GB2312" w:eastAsia="仿宋_GB2312" w:cs="仿宋_GB2312"/>
          <w:bCs/>
          <w:color w:val="auto"/>
        </w:rPr>
      </w:pPr>
      <w:r>
        <w:rPr>
          <w:rFonts w:hint="eastAsia" w:ascii="仿宋_GB2312" w:hAnsi="仿宋_GB2312" w:eastAsia="仿宋_GB2312" w:cs="仿宋_GB2312"/>
          <w:bCs/>
          <w:color w:val="auto"/>
        </w:rPr>
        <w:t>街道应急管理委员会总指挥、副指挥及成员的职责，如表2.1-2所示。</w:t>
      </w:r>
    </w:p>
    <w:p w14:paraId="10FDEA5C">
      <w:pPr>
        <w:tabs>
          <w:tab w:val="left" w:pos="1080"/>
        </w:tabs>
        <w:overflowPunct w:val="0"/>
        <w:topLinePunct/>
        <w:adjustRightInd w:val="0"/>
        <w:snapToGrid w:val="0"/>
        <w:spacing w:before="78" w:beforeLines="25" w:after="78" w:afterLines="25"/>
        <w:jc w:val="center"/>
        <w:textAlignment w:val="top"/>
        <w:rPr>
          <w:rFonts w:hint="eastAsia" w:ascii="仿宋_GB2312" w:hAnsi="仿宋_GB2312" w:eastAsia="仿宋_GB2312" w:cs="仿宋_GB2312"/>
          <w:b/>
          <w:color w:val="auto"/>
          <w:sz w:val="24"/>
          <w:szCs w:val="24"/>
        </w:rPr>
      </w:pPr>
      <w:bookmarkStart w:id="37" w:name="_Hlk155809793"/>
      <w:r>
        <w:rPr>
          <w:rFonts w:hint="eastAsia" w:ascii="仿宋_GB2312" w:hAnsi="仿宋_GB2312" w:eastAsia="仿宋_GB2312" w:cs="仿宋_GB2312"/>
          <w:b/>
          <w:color w:val="auto"/>
          <w:sz w:val="24"/>
          <w:szCs w:val="24"/>
        </w:rPr>
        <w:t>表 2.1-2  街道应急领导小组总指挥、副指挥及成员职责一览表</w:t>
      </w:r>
    </w:p>
    <w:bookmarkEnd w:id="37"/>
    <w:tbl>
      <w:tblPr>
        <w:tblStyle w:val="20"/>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3915"/>
        <w:gridCol w:w="3915"/>
      </w:tblGrid>
      <w:tr w14:paraId="68778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29" w:type="dxa"/>
            <w:tcMar>
              <w:top w:w="113" w:type="dxa"/>
              <w:left w:w="57" w:type="dxa"/>
              <w:bottom w:w="113" w:type="dxa"/>
              <w:right w:w="57" w:type="dxa"/>
            </w:tcMar>
            <w:vAlign w:val="center"/>
          </w:tcPr>
          <w:p w14:paraId="17F894F0">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应急职务</w:t>
            </w:r>
          </w:p>
        </w:tc>
        <w:tc>
          <w:tcPr>
            <w:tcW w:w="3915" w:type="dxa"/>
            <w:tcMar>
              <w:top w:w="113" w:type="dxa"/>
              <w:left w:w="57" w:type="dxa"/>
              <w:bottom w:w="113" w:type="dxa"/>
              <w:right w:w="57" w:type="dxa"/>
            </w:tcMar>
            <w:vAlign w:val="center"/>
          </w:tcPr>
          <w:p w14:paraId="61DF625C">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日常应急职责</w:t>
            </w:r>
          </w:p>
        </w:tc>
        <w:tc>
          <w:tcPr>
            <w:tcW w:w="3915" w:type="dxa"/>
            <w:tcMar>
              <w:top w:w="113" w:type="dxa"/>
              <w:left w:w="57" w:type="dxa"/>
              <w:bottom w:w="113" w:type="dxa"/>
              <w:right w:w="57" w:type="dxa"/>
            </w:tcMar>
            <w:vAlign w:val="center"/>
          </w:tcPr>
          <w:p w14:paraId="71537E21">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事故期间职责</w:t>
            </w:r>
          </w:p>
        </w:tc>
      </w:tr>
      <w:tr w14:paraId="7C845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Mar>
              <w:top w:w="113" w:type="dxa"/>
              <w:left w:w="57" w:type="dxa"/>
              <w:bottom w:w="113" w:type="dxa"/>
              <w:right w:w="57" w:type="dxa"/>
            </w:tcMar>
            <w:vAlign w:val="center"/>
          </w:tcPr>
          <w:p w14:paraId="73C91D6A">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总指挥</w:t>
            </w:r>
          </w:p>
        </w:tc>
        <w:tc>
          <w:tcPr>
            <w:tcW w:w="3915" w:type="dxa"/>
            <w:tcMar>
              <w:top w:w="113" w:type="dxa"/>
              <w:left w:w="57" w:type="dxa"/>
              <w:bottom w:w="113" w:type="dxa"/>
              <w:right w:w="57" w:type="dxa"/>
            </w:tcMar>
            <w:vAlign w:val="center"/>
          </w:tcPr>
          <w:p w14:paraId="3BC008F4">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（1）组织制定并实施本街道火灾事故应急救援预案，配备应急救援装备和物资；</w:t>
            </w:r>
          </w:p>
          <w:p w14:paraId="729F390E">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（2）法律、法规、规章及政府有关部门文件规定的其他应急职责。</w:t>
            </w:r>
          </w:p>
        </w:tc>
        <w:tc>
          <w:tcPr>
            <w:tcW w:w="3915" w:type="dxa"/>
            <w:tcMar>
              <w:top w:w="113" w:type="dxa"/>
              <w:left w:w="57" w:type="dxa"/>
              <w:bottom w:w="113" w:type="dxa"/>
              <w:right w:w="57" w:type="dxa"/>
            </w:tcMar>
            <w:vAlign w:val="center"/>
          </w:tcPr>
          <w:p w14:paraId="465CE909">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（1）下达预警和预警解除指令；下达应急预案启动和终止指令；</w:t>
            </w:r>
          </w:p>
          <w:p w14:paraId="55522EF3">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（2）事故应急过程中下达应急指令；接受和落实政府或部门的应急指示。</w:t>
            </w:r>
          </w:p>
        </w:tc>
      </w:tr>
      <w:tr w14:paraId="4C355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9" w:type="dxa"/>
            <w:tcMar>
              <w:top w:w="113" w:type="dxa"/>
              <w:left w:w="57" w:type="dxa"/>
              <w:bottom w:w="113" w:type="dxa"/>
              <w:right w:w="57" w:type="dxa"/>
            </w:tcMar>
            <w:vAlign w:val="center"/>
          </w:tcPr>
          <w:p w14:paraId="388AD34E">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副指挥</w:t>
            </w:r>
          </w:p>
        </w:tc>
        <w:tc>
          <w:tcPr>
            <w:tcW w:w="3915" w:type="dxa"/>
            <w:tcMar>
              <w:top w:w="113" w:type="dxa"/>
              <w:left w:w="57" w:type="dxa"/>
              <w:bottom w:w="113" w:type="dxa"/>
              <w:right w:w="57" w:type="dxa"/>
            </w:tcMar>
            <w:vAlign w:val="center"/>
          </w:tcPr>
          <w:p w14:paraId="0D491967">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（1）协助总指挥做好火灾事故的处置工作。</w:t>
            </w:r>
          </w:p>
          <w:p w14:paraId="237D898C">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（2）总指挥交办的其他应急事项。</w:t>
            </w:r>
          </w:p>
        </w:tc>
        <w:tc>
          <w:tcPr>
            <w:tcW w:w="3915" w:type="dxa"/>
            <w:tcMar>
              <w:top w:w="113" w:type="dxa"/>
              <w:left w:w="57" w:type="dxa"/>
              <w:bottom w:w="113" w:type="dxa"/>
              <w:right w:w="57" w:type="dxa"/>
            </w:tcMar>
            <w:vAlign w:val="center"/>
          </w:tcPr>
          <w:p w14:paraId="460FBD92">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（1）负责落实总指挥交办的应急事项。</w:t>
            </w:r>
          </w:p>
          <w:p w14:paraId="5712022B">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（2）遇总指挥因故不能到任时，代理总指挥全面指挥应急救援工作。</w:t>
            </w:r>
          </w:p>
        </w:tc>
      </w:tr>
      <w:tr w14:paraId="2621E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9" w:type="dxa"/>
            <w:tcMar>
              <w:top w:w="113" w:type="dxa"/>
              <w:left w:w="57" w:type="dxa"/>
              <w:bottom w:w="113" w:type="dxa"/>
              <w:right w:w="57" w:type="dxa"/>
            </w:tcMar>
            <w:vAlign w:val="center"/>
          </w:tcPr>
          <w:p w14:paraId="241DDE21">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成  员</w:t>
            </w:r>
          </w:p>
        </w:tc>
        <w:tc>
          <w:tcPr>
            <w:tcW w:w="3915" w:type="dxa"/>
            <w:tcMar>
              <w:top w:w="113" w:type="dxa"/>
              <w:left w:w="57" w:type="dxa"/>
              <w:bottom w:w="113" w:type="dxa"/>
              <w:right w:w="57" w:type="dxa"/>
            </w:tcMar>
            <w:vAlign w:val="center"/>
          </w:tcPr>
          <w:p w14:paraId="708C0215">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（1）根据总指挥或者副指挥的安排，组织隐患排查治理工作；</w:t>
            </w:r>
          </w:p>
          <w:p w14:paraId="37661DA5">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（2）总指挥、副指挥交办的其他应急事项。</w:t>
            </w:r>
          </w:p>
        </w:tc>
        <w:tc>
          <w:tcPr>
            <w:tcW w:w="3915" w:type="dxa"/>
            <w:tcMar>
              <w:top w:w="113" w:type="dxa"/>
              <w:left w:w="57" w:type="dxa"/>
              <w:bottom w:w="113" w:type="dxa"/>
              <w:right w:w="57" w:type="dxa"/>
            </w:tcMar>
            <w:vAlign w:val="center"/>
          </w:tcPr>
          <w:p w14:paraId="6BA28E5D">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（1）落实总指挥或副指挥交办的应急事项；（2）当总指挥与副指挥都不在现场时，按排名顺序自动承担总指挥或副指挥职责。</w:t>
            </w:r>
          </w:p>
        </w:tc>
      </w:tr>
      <w:bookmarkEnd w:id="36"/>
    </w:tbl>
    <w:p w14:paraId="1E507A52">
      <w:pPr>
        <w:tabs>
          <w:tab w:val="left" w:pos="1080"/>
        </w:tabs>
        <w:overflowPunct w:val="0"/>
        <w:topLinePunct/>
        <w:adjustRightInd w:val="0"/>
        <w:snapToGrid w:val="0"/>
        <w:spacing w:before="156" w:beforeLines="50" w:line="360" w:lineRule="auto"/>
        <w:textAlignment w:val="top"/>
        <w:rPr>
          <w:rFonts w:hint="eastAsia" w:ascii="仿宋_GB2312" w:hAnsi="仿宋_GB2312" w:eastAsia="仿宋_GB2312" w:cs="仿宋_GB2312"/>
          <w:bCs/>
          <w:color w:val="auto"/>
        </w:rPr>
      </w:pPr>
      <w:r>
        <w:rPr>
          <w:rFonts w:hint="eastAsia" w:ascii="仿宋_GB2312" w:hAnsi="仿宋_GB2312" w:eastAsia="仿宋_GB2312" w:cs="仿宋_GB2312"/>
          <w:bCs/>
          <w:color w:val="auto"/>
        </w:rPr>
        <w:t>1.3.1.2  街道应急办公室</w:t>
      </w:r>
    </w:p>
    <w:p w14:paraId="0F172AD8">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bCs/>
          <w:color w:val="auto"/>
        </w:rPr>
      </w:pPr>
      <w:bookmarkStart w:id="38" w:name="_Hlk154116973"/>
      <w:r>
        <w:rPr>
          <w:rFonts w:hint="eastAsia" w:ascii="仿宋_GB2312" w:hAnsi="仿宋_GB2312" w:eastAsia="仿宋_GB2312" w:cs="仿宋_GB2312"/>
          <w:bCs/>
          <w:color w:val="auto"/>
        </w:rPr>
        <w:t>街道设置应急办公室</w:t>
      </w:r>
      <w:bookmarkEnd w:id="38"/>
      <w:r>
        <w:rPr>
          <w:rFonts w:hint="eastAsia" w:ascii="仿宋_GB2312" w:hAnsi="仿宋_GB2312" w:eastAsia="仿宋_GB2312" w:cs="仿宋_GB2312"/>
          <w:bCs/>
          <w:color w:val="auto"/>
        </w:rPr>
        <w:t>。应急办公室是</w:t>
      </w:r>
      <w:bookmarkStart w:id="39" w:name="_Hlk154116952"/>
      <w:r>
        <w:rPr>
          <w:rFonts w:hint="eastAsia" w:ascii="仿宋_GB2312" w:hAnsi="仿宋_GB2312" w:eastAsia="仿宋_GB2312" w:cs="仿宋_GB2312"/>
          <w:bCs/>
          <w:color w:val="auto"/>
        </w:rPr>
        <w:t>街道应急管理委员会</w:t>
      </w:r>
      <w:bookmarkEnd w:id="39"/>
      <w:r>
        <w:rPr>
          <w:rFonts w:hint="eastAsia" w:ascii="仿宋_GB2312" w:hAnsi="仿宋_GB2312" w:eastAsia="仿宋_GB2312" w:cs="仿宋_GB2312"/>
          <w:bCs/>
          <w:color w:val="auto"/>
        </w:rPr>
        <w:t>下属的办公机构，在街道应急管理委员会的领导下进行工作。</w:t>
      </w:r>
    </w:p>
    <w:p w14:paraId="4E685817">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bCs/>
          <w:color w:val="auto"/>
        </w:rPr>
        <w:t>1. 组成</w:t>
      </w:r>
    </w:p>
    <w:p w14:paraId="39D642DB">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bCs/>
          <w:color w:val="auto"/>
        </w:rPr>
      </w:pPr>
      <w:r>
        <w:rPr>
          <w:rFonts w:hint="eastAsia" w:ascii="仿宋_GB2312" w:hAnsi="仿宋_GB2312" w:eastAsia="仿宋_GB2312" w:cs="仿宋_GB2312"/>
          <w:bCs/>
          <w:color w:val="auto"/>
        </w:rPr>
        <w:t>唐王街道应急办公室组成如下：</w:t>
      </w:r>
    </w:p>
    <w:p w14:paraId="3D46431B">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bCs/>
          <w:color w:val="auto"/>
        </w:rPr>
      </w:pPr>
      <w:r>
        <w:rPr>
          <w:rFonts w:hint="eastAsia" w:ascii="仿宋_GB2312" w:hAnsi="仿宋_GB2312" w:eastAsia="仿宋_GB2312" w:cs="仿宋_GB2312"/>
          <w:bCs/>
          <w:color w:val="auto"/>
        </w:rPr>
        <w:t>主  任：程书生</w:t>
      </w:r>
    </w:p>
    <w:p w14:paraId="1E9559BF">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bCs/>
          <w:color w:val="auto"/>
          <w:lang w:val="en-US" w:eastAsia="zh-CN"/>
        </w:rPr>
      </w:pPr>
      <w:r>
        <w:rPr>
          <w:rFonts w:hint="eastAsia" w:ascii="仿宋_GB2312" w:hAnsi="仿宋_GB2312" w:eastAsia="仿宋_GB2312" w:cs="仿宋_GB2312"/>
          <w:bCs/>
          <w:color w:val="auto"/>
        </w:rPr>
        <w:t xml:space="preserve">副主任：韩作艳  </w:t>
      </w:r>
      <w:r>
        <w:rPr>
          <w:rFonts w:hint="eastAsia" w:ascii="仿宋_GB2312" w:hAnsi="仿宋_GB2312" w:eastAsia="仿宋_GB2312" w:cs="仿宋_GB2312"/>
          <w:bCs/>
          <w:color w:val="auto"/>
          <w:lang w:val="en-US" w:eastAsia="zh-CN"/>
        </w:rPr>
        <w:t>李健</w:t>
      </w:r>
    </w:p>
    <w:p w14:paraId="6589BDC9">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bCs/>
          <w:color w:val="auto"/>
          <w:lang w:val="en-US" w:eastAsia="zh-CN"/>
        </w:rPr>
      </w:pPr>
      <w:r>
        <w:rPr>
          <w:rFonts w:hint="eastAsia" w:ascii="仿宋_GB2312" w:hAnsi="仿宋_GB2312" w:eastAsia="仿宋_GB2312" w:cs="仿宋_GB2312"/>
          <w:bCs/>
          <w:color w:val="auto"/>
        </w:rPr>
        <w:t>成  员：尚琳</w:t>
      </w:r>
      <w:r>
        <w:rPr>
          <w:rFonts w:hint="eastAsia" w:ascii="仿宋_GB2312" w:hAnsi="仿宋_GB2312" w:eastAsia="仿宋_GB2312" w:cs="仿宋_GB2312"/>
          <w:bCs/>
          <w:color w:val="auto"/>
          <w:lang w:val="en-US" w:eastAsia="zh-CN"/>
        </w:rPr>
        <w:t xml:space="preserve">  孙超斌  娄本旭</w:t>
      </w:r>
    </w:p>
    <w:p w14:paraId="7AFA5DCA">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 职责</w:t>
      </w:r>
    </w:p>
    <w:p w14:paraId="380EAE7E">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bCs/>
          <w:color w:val="auto"/>
        </w:rPr>
      </w:pPr>
      <w:r>
        <w:rPr>
          <w:rFonts w:hint="eastAsia" w:ascii="仿宋_GB2312" w:hAnsi="仿宋_GB2312" w:eastAsia="仿宋_GB2312" w:cs="仿宋_GB2312"/>
          <w:bCs/>
          <w:color w:val="auto"/>
        </w:rPr>
        <w:t>（1）应急办公室职责</w:t>
      </w:r>
    </w:p>
    <w:p w14:paraId="723FB413">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bCs/>
          <w:color w:val="auto"/>
        </w:rPr>
      </w:pPr>
      <w:r>
        <w:rPr>
          <w:rFonts w:hint="eastAsia" w:ascii="仿宋_GB2312" w:hAnsi="仿宋_GB2312" w:eastAsia="仿宋_GB2312" w:cs="仿宋_GB2312"/>
          <w:bCs/>
          <w:color w:val="auto"/>
        </w:rPr>
        <w:t>街道应急办公室的职责，如表2.1-3所示。</w:t>
      </w:r>
    </w:p>
    <w:p w14:paraId="733B7677">
      <w:pPr>
        <w:tabs>
          <w:tab w:val="left" w:pos="1080"/>
        </w:tabs>
        <w:overflowPunct w:val="0"/>
        <w:topLinePunct/>
        <w:adjustRightInd w:val="0"/>
        <w:snapToGrid w:val="0"/>
        <w:spacing w:before="78" w:beforeLines="25" w:after="78" w:afterLines="25"/>
        <w:jc w:val="center"/>
        <w:textAlignment w:val="top"/>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表 2.1-3  街道应急办公室应急职责一览表</w:t>
      </w:r>
    </w:p>
    <w:tbl>
      <w:tblPr>
        <w:tblStyle w:val="34"/>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9"/>
        <w:gridCol w:w="4480"/>
      </w:tblGrid>
      <w:tr w14:paraId="719A4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79" w:type="dxa"/>
            <w:tcMar>
              <w:top w:w="113" w:type="dxa"/>
              <w:left w:w="57" w:type="dxa"/>
              <w:bottom w:w="113" w:type="dxa"/>
              <w:right w:w="57" w:type="dxa"/>
            </w:tcMar>
          </w:tcPr>
          <w:p w14:paraId="77B8CA36">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日常应急职责</w:t>
            </w:r>
          </w:p>
        </w:tc>
        <w:tc>
          <w:tcPr>
            <w:tcW w:w="4480" w:type="dxa"/>
            <w:tcMar>
              <w:top w:w="113" w:type="dxa"/>
              <w:left w:w="57" w:type="dxa"/>
              <w:bottom w:w="113" w:type="dxa"/>
              <w:right w:w="57" w:type="dxa"/>
            </w:tcMar>
          </w:tcPr>
          <w:p w14:paraId="240357CB">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事故期间职责</w:t>
            </w:r>
          </w:p>
        </w:tc>
      </w:tr>
      <w:tr w14:paraId="4C9C1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tcMar>
              <w:top w:w="113" w:type="dxa"/>
              <w:left w:w="57" w:type="dxa"/>
              <w:bottom w:w="113" w:type="dxa"/>
              <w:right w:w="57" w:type="dxa"/>
            </w:tcMar>
            <w:vAlign w:val="center"/>
          </w:tcPr>
          <w:p w14:paraId="1179D345">
            <w:pPr>
              <w:overflowPunct w:val="0"/>
              <w:topLinePunct/>
              <w:contextualSpacing/>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（1）负责日常应急工作管理，确保与上级应急管理机构、相关应急组织的信息畅通。</w:t>
            </w:r>
          </w:p>
          <w:p w14:paraId="14D0C80A">
            <w:pPr>
              <w:overflowPunct w:val="0"/>
              <w:topLinePunct/>
              <w:contextualSpacing/>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（2）定期组织应急培训、演练和考核评估。</w:t>
            </w:r>
          </w:p>
          <w:p w14:paraId="67310F12">
            <w:pPr>
              <w:overflowPunct w:val="0"/>
              <w:topLinePunct/>
              <w:contextualSpacing/>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（3）落实应急所需药品、耗材、器械、设备等物资的储备及日常管理工作；</w:t>
            </w:r>
          </w:p>
          <w:p w14:paraId="1F77C227">
            <w:pPr>
              <w:overflowPunct w:val="0"/>
              <w:topLinePunct/>
              <w:contextualSpacing/>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（4）应急管理委员会交办的其他任务。</w:t>
            </w:r>
          </w:p>
        </w:tc>
        <w:tc>
          <w:tcPr>
            <w:tcW w:w="4480" w:type="dxa"/>
            <w:tcMar>
              <w:top w:w="113" w:type="dxa"/>
              <w:left w:w="57" w:type="dxa"/>
              <w:bottom w:w="113" w:type="dxa"/>
              <w:right w:w="57" w:type="dxa"/>
            </w:tcMar>
            <w:vAlign w:val="center"/>
          </w:tcPr>
          <w:p w14:paraId="75405B6E">
            <w:pPr>
              <w:overflowPunct w:val="0"/>
              <w:topLinePunct/>
              <w:contextualSpacing/>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（1）负责事故接警和事故汇报工作；根据应急总指挥的指示，向各应急施救组织下达指令。</w:t>
            </w:r>
          </w:p>
          <w:p w14:paraId="33A9ECA4">
            <w:pPr>
              <w:overflowPunct w:val="0"/>
              <w:topLinePunct/>
              <w:contextualSpacing/>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（2）在应急管理委员会的指挥下，调配应急力量和物资，跟踪并了解事故的发展和处置情况。</w:t>
            </w:r>
          </w:p>
          <w:p w14:paraId="1110E225">
            <w:pPr>
              <w:overflowPunct w:val="0"/>
              <w:topLinePunct/>
              <w:contextualSpacing/>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（3）随时向应急管理委员会和上级有关部门进行汇报；整理、制作相关 的事故报表和材料等。</w:t>
            </w:r>
          </w:p>
        </w:tc>
      </w:tr>
    </w:tbl>
    <w:p w14:paraId="48E69708">
      <w:pPr>
        <w:tabs>
          <w:tab w:val="left" w:pos="1080"/>
        </w:tabs>
        <w:overflowPunct w:val="0"/>
        <w:topLinePunct/>
        <w:adjustRightInd w:val="0"/>
        <w:snapToGrid w:val="0"/>
        <w:spacing w:before="156" w:beforeLines="50" w:line="360" w:lineRule="auto"/>
        <w:ind w:firstLine="560" w:firstLineChars="200"/>
        <w:textAlignment w:val="top"/>
        <w:rPr>
          <w:rFonts w:hint="eastAsia" w:ascii="仿宋_GB2312" w:hAnsi="仿宋_GB2312" w:eastAsia="仿宋_GB2312" w:cs="仿宋_GB2312"/>
          <w:bCs/>
          <w:color w:val="auto"/>
        </w:rPr>
      </w:pPr>
      <w:r>
        <w:rPr>
          <w:rFonts w:hint="eastAsia" w:ascii="仿宋_GB2312" w:hAnsi="仿宋_GB2312" w:eastAsia="仿宋_GB2312" w:cs="仿宋_GB2312"/>
          <w:bCs/>
          <w:color w:val="auto"/>
        </w:rPr>
        <w:t>（2）应急办公室主任、副主任及成员职责</w:t>
      </w:r>
    </w:p>
    <w:p w14:paraId="0BCCEF90">
      <w:pPr>
        <w:tabs>
          <w:tab w:val="left" w:pos="1080"/>
        </w:tabs>
        <w:overflowPunct w:val="0"/>
        <w:topLinePunct/>
        <w:adjustRightInd w:val="0"/>
        <w:snapToGrid w:val="0"/>
        <w:spacing w:line="360" w:lineRule="auto"/>
        <w:ind w:firstLine="560" w:firstLineChars="200"/>
        <w:textAlignment w:val="top"/>
        <w:rPr>
          <w:rFonts w:hint="eastAsia" w:ascii="仿宋_GB2312" w:hAnsi="仿宋_GB2312" w:eastAsia="仿宋_GB2312" w:cs="仿宋_GB2312"/>
          <w:bCs/>
          <w:color w:val="auto"/>
        </w:rPr>
      </w:pPr>
      <w:r>
        <w:rPr>
          <w:rFonts w:hint="eastAsia" w:ascii="仿宋_GB2312" w:hAnsi="仿宋_GB2312" w:eastAsia="仿宋_GB2312" w:cs="仿宋_GB2312"/>
          <w:bCs/>
          <w:color w:val="auto"/>
        </w:rPr>
        <w:t>应急办公室主任、副主任及成员职责，如表2.1-4所示。</w:t>
      </w:r>
    </w:p>
    <w:p w14:paraId="259B3BF6">
      <w:pPr>
        <w:tabs>
          <w:tab w:val="left" w:pos="1080"/>
        </w:tabs>
        <w:overflowPunct w:val="0"/>
        <w:topLinePunct/>
        <w:adjustRightInd w:val="0"/>
        <w:snapToGrid w:val="0"/>
        <w:spacing w:before="78" w:beforeLines="25" w:after="78" w:afterLines="25"/>
        <w:jc w:val="center"/>
        <w:textAlignment w:val="top"/>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表 2.1-4  应急办公室主任、副主任及成员职责一览表</w:t>
      </w:r>
    </w:p>
    <w:tbl>
      <w:tblPr>
        <w:tblStyle w:val="20"/>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3686"/>
        <w:gridCol w:w="4144"/>
      </w:tblGrid>
      <w:tr w14:paraId="7D3F7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29" w:type="dxa"/>
            <w:tcMar>
              <w:top w:w="113" w:type="dxa"/>
              <w:left w:w="57" w:type="dxa"/>
              <w:bottom w:w="113" w:type="dxa"/>
              <w:right w:w="57" w:type="dxa"/>
            </w:tcMar>
            <w:vAlign w:val="center"/>
          </w:tcPr>
          <w:p w14:paraId="1618FB48">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应急职务</w:t>
            </w:r>
          </w:p>
        </w:tc>
        <w:tc>
          <w:tcPr>
            <w:tcW w:w="3686" w:type="dxa"/>
            <w:tcMar>
              <w:top w:w="113" w:type="dxa"/>
              <w:left w:w="57" w:type="dxa"/>
              <w:bottom w:w="113" w:type="dxa"/>
              <w:right w:w="57" w:type="dxa"/>
            </w:tcMar>
            <w:vAlign w:val="center"/>
          </w:tcPr>
          <w:p w14:paraId="683AF2B9">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日常应急职责</w:t>
            </w:r>
          </w:p>
        </w:tc>
        <w:tc>
          <w:tcPr>
            <w:tcW w:w="4144" w:type="dxa"/>
            <w:tcMar>
              <w:top w:w="113" w:type="dxa"/>
              <w:left w:w="57" w:type="dxa"/>
              <w:bottom w:w="113" w:type="dxa"/>
              <w:right w:w="57" w:type="dxa"/>
            </w:tcMar>
            <w:vAlign w:val="center"/>
          </w:tcPr>
          <w:p w14:paraId="11F8F85C">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事故期间职责</w:t>
            </w:r>
          </w:p>
        </w:tc>
      </w:tr>
      <w:tr w14:paraId="1F5A4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Mar>
              <w:top w:w="113" w:type="dxa"/>
              <w:left w:w="57" w:type="dxa"/>
              <w:bottom w:w="113" w:type="dxa"/>
              <w:right w:w="57" w:type="dxa"/>
            </w:tcMar>
            <w:vAlign w:val="center"/>
          </w:tcPr>
          <w:p w14:paraId="63EF1786">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主  任</w:t>
            </w:r>
          </w:p>
        </w:tc>
        <w:tc>
          <w:tcPr>
            <w:tcW w:w="3686" w:type="dxa"/>
            <w:tcMar>
              <w:top w:w="113" w:type="dxa"/>
              <w:left w:w="57" w:type="dxa"/>
              <w:bottom w:w="113" w:type="dxa"/>
              <w:right w:w="57" w:type="dxa"/>
            </w:tcMar>
            <w:vAlign w:val="center"/>
          </w:tcPr>
          <w:p w14:paraId="14F72015">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（1）负责统筹应急办公室工作；对副主任、成员的工作情况进行管理、考核。</w:t>
            </w:r>
          </w:p>
          <w:p w14:paraId="5B127AAB">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（2）负责火灾事故</w:t>
            </w:r>
            <w:r>
              <w:rPr>
                <w:rFonts w:hint="eastAsia" w:ascii="仿宋_GB2312" w:hAnsi="仿宋_GB2312" w:eastAsia="仿宋_GB2312" w:cs="仿宋_GB2312"/>
                <w:bCs/>
                <w:color w:val="auto"/>
                <w:kern w:val="0"/>
                <w:sz w:val="21"/>
                <w:szCs w:val="21"/>
                <w:lang w:eastAsia="zh-CN"/>
              </w:rPr>
              <w:t>文件</w:t>
            </w:r>
            <w:r>
              <w:rPr>
                <w:rFonts w:hint="eastAsia" w:ascii="仿宋_GB2312" w:hAnsi="仿宋_GB2312" w:eastAsia="仿宋_GB2312" w:cs="仿宋_GB2312"/>
                <w:bCs/>
                <w:color w:val="auto"/>
                <w:kern w:val="0"/>
                <w:sz w:val="21"/>
                <w:szCs w:val="21"/>
              </w:rPr>
              <w:t>资料的建立及管理，确保有关火灾事故的资料规范和有效。</w:t>
            </w:r>
          </w:p>
        </w:tc>
        <w:tc>
          <w:tcPr>
            <w:tcW w:w="4144" w:type="dxa"/>
            <w:tcMar>
              <w:top w:w="113" w:type="dxa"/>
              <w:left w:w="57" w:type="dxa"/>
              <w:bottom w:w="113" w:type="dxa"/>
              <w:right w:w="57" w:type="dxa"/>
            </w:tcMar>
            <w:vAlign w:val="center"/>
          </w:tcPr>
          <w:p w14:paraId="2A6C35DE">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（1）根据应急管理委员会的安排，贯彻落实应急管理委员会的工作安排。</w:t>
            </w:r>
          </w:p>
          <w:p w14:paraId="32B71D36">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（2）事故应急过程中，及时向办公室副主任及成员传达有关指令。</w:t>
            </w:r>
          </w:p>
        </w:tc>
      </w:tr>
      <w:tr w14:paraId="78FA0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9" w:type="dxa"/>
            <w:tcMar>
              <w:top w:w="113" w:type="dxa"/>
              <w:left w:w="57" w:type="dxa"/>
              <w:bottom w:w="113" w:type="dxa"/>
              <w:right w:w="57" w:type="dxa"/>
            </w:tcMar>
            <w:vAlign w:val="center"/>
          </w:tcPr>
          <w:p w14:paraId="6AC3B2EF">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副主任</w:t>
            </w:r>
          </w:p>
        </w:tc>
        <w:tc>
          <w:tcPr>
            <w:tcW w:w="3686" w:type="dxa"/>
            <w:tcMar>
              <w:top w:w="113" w:type="dxa"/>
              <w:left w:w="57" w:type="dxa"/>
              <w:bottom w:w="113" w:type="dxa"/>
              <w:right w:w="57" w:type="dxa"/>
            </w:tcMar>
            <w:vAlign w:val="center"/>
          </w:tcPr>
          <w:p w14:paraId="1F2DDB66">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（1）协助主任做好应急办公室的日常管理工作。</w:t>
            </w:r>
          </w:p>
          <w:p w14:paraId="25AB8EF4">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（2）主任交办的其他应急事项。</w:t>
            </w:r>
          </w:p>
        </w:tc>
        <w:tc>
          <w:tcPr>
            <w:tcW w:w="4144" w:type="dxa"/>
            <w:tcMar>
              <w:top w:w="113" w:type="dxa"/>
              <w:left w:w="57" w:type="dxa"/>
              <w:bottom w:w="113" w:type="dxa"/>
              <w:right w:w="57" w:type="dxa"/>
            </w:tcMar>
            <w:vAlign w:val="center"/>
          </w:tcPr>
          <w:p w14:paraId="52BD5A46">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（1）负责落实主任交办的应急事项。</w:t>
            </w:r>
          </w:p>
          <w:p w14:paraId="7377B548">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（2）遇主任因故不能到任时，负责应急办公室的应急管理职能。</w:t>
            </w:r>
          </w:p>
        </w:tc>
      </w:tr>
      <w:tr w14:paraId="09895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9" w:type="dxa"/>
            <w:tcMar>
              <w:top w:w="113" w:type="dxa"/>
              <w:left w:w="57" w:type="dxa"/>
              <w:bottom w:w="113" w:type="dxa"/>
              <w:right w:w="57" w:type="dxa"/>
            </w:tcMar>
            <w:vAlign w:val="center"/>
          </w:tcPr>
          <w:p w14:paraId="2AFCBC5B">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成  员</w:t>
            </w:r>
          </w:p>
        </w:tc>
        <w:tc>
          <w:tcPr>
            <w:tcW w:w="3686" w:type="dxa"/>
            <w:tcMar>
              <w:top w:w="113" w:type="dxa"/>
              <w:left w:w="57" w:type="dxa"/>
              <w:bottom w:w="113" w:type="dxa"/>
              <w:right w:w="57" w:type="dxa"/>
            </w:tcMar>
            <w:vAlign w:val="center"/>
          </w:tcPr>
          <w:p w14:paraId="7EDB90FF">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（1）根据主任、副主任的安排，组织开展应急预案的演练、培训、宣传等工作；</w:t>
            </w:r>
          </w:p>
          <w:p w14:paraId="76A1FC25">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（2）履行岗位职责，具体负责突发事故信息的接收和登记工作。</w:t>
            </w:r>
          </w:p>
        </w:tc>
        <w:tc>
          <w:tcPr>
            <w:tcW w:w="4144" w:type="dxa"/>
            <w:tcMar>
              <w:top w:w="113" w:type="dxa"/>
              <w:left w:w="57" w:type="dxa"/>
              <w:bottom w:w="113" w:type="dxa"/>
              <w:right w:w="57" w:type="dxa"/>
            </w:tcMar>
            <w:vAlign w:val="center"/>
          </w:tcPr>
          <w:p w14:paraId="27C19C17">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（1）落实主任或副主任交办的应急事项。</w:t>
            </w:r>
          </w:p>
          <w:p w14:paraId="5F66EF8B">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（2）上传下达各种指令及时、准确。</w:t>
            </w:r>
          </w:p>
        </w:tc>
      </w:tr>
    </w:tbl>
    <w:p w14:paraId="078D1EBC">
      <w:pPr>
        <w:pStyle w:val="4"/>
        <w:overflowPunct w:val="0"/>
        <w:topLinePunct/>
        <w:adjustRightInd w:val="0"/>
        <w:snapToGrid w:val="0"/>
        <w:spacing w:before="156" w:beforeLines="50" w:after="0" w:line="360" w:lineRule="auto"/>
        <w:textAlignment w:val="top"/>
        <w:rPr>
          <w:rFonts w:ascii="Times New Roman" w:hAnsi="Times New Roman" w:eastAsia="黑体" w:cs="Times New Roman"/>
          <w:color w:val="auto"/>
          <w:sz w:val="30"/>
          <w:szCs w:val="30"/>
        </w:rPr>
      </w:pPr>
      <w:bookmarkStart w:id="40" w:name="_Toc155861777"/>
      <w:bookmarkStart w:id="41" w:name="_Hlk153905319"/>
      <w:r>
        <w:rPr>
          <w:rFonts w:ascii="Times New Roman" w:hAnsi="Times New Roman" w:eastAsia="黑体" w:cs="Times New Roman"/>
          <w:color w:val="auto"/>
          <w:sz w:val="30"/>
          <w:szCs w:val="30"/>
        </w:rPr>
        <w:t xml:space="preserve">2.2 </w:t>
      </w:r>
      <w:r>
        <w:rPr>
          <w:rFonts w:hint="eastAsia" w:ascii="Times New Roman" w:hAnsi="Times New Roman" w:eastAsia="黑体" w:cs="Times New Roman"/>
          <w:color w:val="auto"/>
          <w:sz w:val="30"/>
          <w:szCs w:val="30"/>
        </w:rPr>
        <w:t xml:space="preserve"> 成员单位</w:t>
      </w:r>
      <w:bookmarkEnd w:id="40"/>
    </w:p>
    <w:bookmarkEnd w:id="41"/>
    <w:p w14:paraId="4196553C">
      <w:pPr>
        <w:keepNext/>
        <w:keepLines/>
        <w:overflowPunct w:val="0"/>
        <w:topLinePunct/>
        <w:adjustRightInd w:val="0"/>
        <w:snapToGrid w:val="0"/>
        <w:spacing w:line="360" w:lineRule="auto"/>
        <w:textAlignment w:val="top"/>
        <w:outlineLvl w:val="2"/>
        <w:rPr>
          <w:rFonts w:hint="eastAsia" w:ascii="仿宋_GB2312" w:hAnsi="仿宋_GB2312" w:eastAsia="仿宋_GB2312" w:cs="仿宋_GB2312"/>
          <w:b/>
          <w:bCs/>
          <w:color w:val="auto"/>
        </w:rPr>
      </w:pPr>
      <w:bookmarkStart w:id="42" w:name="_Toc155855464"/>
      <w:bookmarkStart w:id="43" w:name="_Toc155861778"/>
      <w:bookmarkStart w:id="44" w:name="_Toc155859831"/>
      <w:bookmarkStart w:id="45" w:name="_Hlk155852411"/>
      <w:r>
        <w:rPr>
          <w:rFonts w:hint="eastAsia" w:ascii="仿宋_GB2312" w:hAnsi="仿宋_GB2312" w:eastAsia="仿宋_GB2312" w:cs="仿宋_GB2312"/>
          <w:b/>
          <w:bCs/>
          <w:color w:val="auto"/>
        </w:rPr>
        <w:t>2.2.1  主要成员单位</w:t>
      </w:r>
      <w:bookmarkEnd w:id="42"/>
      <w:bookmarkEnd w:id="43"/>
      <w:bookmarkEnd w:id="44"/>
    </w:p>
    <w:bookmarkEnd w:id="45"/>
    <w:p w14:paraId="6FBE8A53">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为配合应急救援的需要，唐王街道将街道政府有关部门、辖区</w:t>
      </w:r>
      <w:bookmarkStart w:id="46" w:name="_Hlk155852533"/>
      <w:r>
        <w:rPr>
          <w:rFonts w:hint="eastAsia" w:ascii="仿宋_GB2312" w:hAnsi="仿宋_GB2312" w:eastAsia="仿宋_GB2312" w:cs="仿宋_GB2312"/>
          <w:color w:val="auto"/>
        </w:rPr>
        <w:t>公安派出所</w:t>
      </w:r>
      <w:bookmarkEnd w:id="46"/>
      <w:r>
        <w:rPr>
          <w:rFonts w:hint="eastAsia" w:ascii="仿宋_GB2312" w:hAnsi="仿宋_GB2312" w:eastAsia="仿宋_GB2312" w:cs="仿宋_GB2312"/>
          <w:color w:val="auto"/>
        </w:rPr>
        <w:t>、供电部门、邮政单位、各管区、主要企事业单位、各行政村等，列为成员单位，以便自然灾害事件应急期间提供相关应急职能。</w:t>
      </w:r>
    </w:p>
    <w:p w14:paraId="35AFF043">
      <w:pPr>
        <w:keepNext/>
        <w:keepLines/>
        <w:overflowPunct w:val="0"/>
        <w:topLinePunct/>
        <w:adjustRightInd w:val="0"/>
        <w:snapToGrid w:val="0"/>
        <w:spacing w:line="360" w:lineRule="auto"/>
        <w:textAlignment w:val="top"/>
        <w:outlineLvl w:val="2"/>
        <w:rPr>
          <w:rFonts w:hint="eastAsia" w:ascii="仿宋_GB2312" w:hAnsi="仿宋_GB2312" w:eastAsia="仿宋_GB2312" w:cs="仿宋_GB2312"/>
          <w:b/>
          <w:bCs/>
          <w:color w:val="auto"/>
        </w:rPr>
      </w:pPr>
      <w:bookmarkStart w:id="47" w:name="_Toc155859832"/>
      <w:bookmarkStart w:id="48" w:name="_Toc155855465"/>
      <w:bookmarkStart w:id="49" w:name="_Toc155861779"/>
      <w:r>
        <w:rPr>
          <w:rFonts w:hint="eastAsia" w:ascii="仿宋_GB2312" w:hAnsi="仿宋_GB2312" w:eastAsia="仿宋_GB2312" w:cs="仿宋_GB2312"/>
          <w:b/>
          <w:bCs/>
          <w:color w:val="auto"/>
        </w:rPr>
        <w:t>2.2.2  成员单位职责</w:t>
      </w:r>
      <w:bookmarkEnd w:id="47"/>
      <w:bookmarkEnd w:id="48"/>
      <w:bookmarkEnd w:id="49"/>
    </w:p>
    <w:p w14:paraId="6AA3BB2D">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上述成员单位在各类火灾事故应急期间，根据火灾事故救援工作需要，在街道应急指挥部的组织、协调下，在职责范围内做好相关工作。</w:t>
      </w:r>
    </w:p>
    <w:p w14:paraId="035A4E4B">
      <w:pPr>
        <w:overflowPunct w:val="0"/>
        <w:topLinePunct/>
        <w:adjustRightInd w:val="0"/>
        <w:snapToGrid w:val="0"/>
        <w:spacing w:line="360" w:lineRule="auto"/>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2.2.2.1  公安派出所</w:t>
      </w:r>
    </w:p>
    <w:p w14:paraId="76ED29A7">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派出所等公安部门按照有关规定，参与应急处置和治安维护工作。视情况制定灾区应急状态下维护治安、交通秩序的行动方案，依法严厉打击违法犯罪活动。必要时，依法采取有效管制措施，维护社会秩序。</w:t>
      </w:r>
    </w:p>
    <w:p w14:paraId="393137E3">
      <w:pPr>
        <w:overflowPunct w:val="0"/>
        <w:topLinePunct/>
        <w:adjustRightInd w:val="0"/>
        <w:snapToGrid w:val="0"/>
        <w:spacing w:line="360" w:lineRule="auto"/>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2.2.2.2  供电部门</w:t>
      </w:r>
    </w:p>
    <w:p w14:paraId="5B538A68">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按规定权限负责供电区域内电网的运行维护、检修、事故抢修及故障报修工作，确保供电可靠。</w:t>
      </w:r>
    </w:p>
    <w:p w14:paraId="76311660">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发生火灾事故期间，根据应急指挥部的安排，负责事故抢险与处置，恢复电力供应等工作。</w:t>
      </w:r>
    </w:p>
    <w:p w14:paraId="0284A223">
      <w:pPr>
        <w:overflowPunct w:val="0"/>
        <w:topLinePunct/>
        <w:adjustRightInd w:val="0"/>
        <w:snapToGrid w:val="0"/>
        <w:spacing w:line="360" w:lineRule="auto"/>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2.2.2.3  邮政部门</w:t>
      </w:r>
    </w:p>
    <w:p w14:paraId="09FC554E">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发生气象灾害、地震灾害、地质灾害、安全事故、疫情、恐怖袭击等火灾事故时，确保邮政信息系统畅通，防止邮件、快件积压、丢失或损毁。</w:t>
      </w:r>
    </w:p>
    <w:p w14:paraId="795E1709">
      <w:pPr>
        <w:overflowPunct w:val="0"/>
        <w:topLinePunct/>
        <w:adjustRightInd w:val="0"/>
        <w:snapToGrid w:val="0"/>
        <w:spacing w:line="360" w:lineRule="auto"/>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2.2.2.4  各管区</w:t>
      </w:r>
    </w:p>
    <w:p w14:paraId="7CAD2691">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街道各管区，在上级政府及街道应急管理委员会的领导下，负责管区范围内发生的火灾事故的预测、预警、报警、接警、处置、善后等工作。</w:t>
      </w:r>
    </w:p>
    <w:p w14:paraId="3BBC2215">
      <w:pPr>
        <w:overflowPunct w:val="0"/>
        <w:topLinePunct/>
        <w:adjustRightInd w:val="0"/>
        <w:snapToGrid w:val="0"/>
        <w:spacing w:line="360" w:lineRule="auto"/>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2.2.2.5  其他</w:t>
      </w:r>
    </w:p>
    <w:p w14:paraId="1B510BAD">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街道辖区各企事业单位、村委会、其他组织应当加强对火灾事故的预防和处置工作，制定应急预案，储备应急物资，做好应急处置工作。</w:t>
      </w:r>
    </w:p>
    <w:p w14:paraId="16018358">
      <w:pPr>
        <w:pStyle w:val="4"/>
        <w:overflowPunct w:val="0"/>
        <w:topLinePunct/>
        <w:adjustRightInd w:val="0"/>
        <w:snapToGrid w:val="0"/>
        <w:spacing w:before="0" w:after="0" w:line="360" w:lineRule="auto"/>
        <w:textAlignment w:val="top"/>
        <w:rPr>
          <w:rFonts w:ascii="Times New Roman" w:hAnsi="Times New Roman" w:eastAsia="黑体" w:cs="Times New Roman"/>
          <w:color w:val="auto"/>
          <w:sz w:val="30"/>
          <w:szCs w:val="30"/>
        </w:rPr>
      </w:pPr>
      <w:bookmarkStart w:id="50" w:name="_Toc155861780"/>
      <w:bookmarkStart w:id="51" w:name="_Hlk153905629"/>
      <w:r>
        <w:rPr>
          <w:rFonts w:ascii="Times New Roman" w:hAnsi="Times New Roman" w:eastAsia="黑体" w:cs="Times New Roman"/>
          <w:color w:val="auto"/>
          <w:sz w:val="30"/>
          <w:szCs w:val="30"/>
        </w:rPr>
        <w:t xml:space="preserve">2.3 </w:t>
      </w:r>
      <w:r>
        <w:rPr>
          <w:rFonts w:hint="eastAsia" w:ascii="Times New Roman" w:hAnsi="Times New Roman" w:eastAsia="黑体" w:cs="Times New Roman"/>
          <w:color w:val="auto"/>
          <w:sz w:val="30"/>
          <w:szCs w:val="30"/>
        </w:rPr>
        <w:t xml:space="preserve"> 应急工作组</w:t>
      </w:r>
      <w:bookmarkEnd w:id="50"/>
    </w:p>
    <w:bookmarkEnd w:id="51"/>
    <w:p w14:paraId="2CBA139A">
      <w:pPr>
        <w:tabs>
          <w:tab w:val="left" w:pos="1080"/>
        </w:tabs>
        <w:overflowPunct w:val="0"/>
        <w:topLinePunct/>
        <w:adjustRightInd w:val="0"/>
        <w:snapToGrid w:val="0"/>
        <w:spacing w:line="360" w:lineRule="auto"/>
        <w:ind w:firstLine="560" w:firstLineChars="200"/>
        <w:textAlignment w:val="top"/>
        <w:rPr>
          <w:rFonts w:hint="eastAsia" w:ascii="仿宋_GB2312" w:hAnsi="仿宋_GB2312" w:eastAsia="仿宋_GB2312" w:cs="仿宋_GB2312"/>
          <w:bCs/>
          <w:color w:val="auto"/>
        </w:rPr>
      </w:pPr>
      <w:r>
        <w:rPr>
          <w:rFonts w:hint="eastAsia" w:ascii="仿宋_GB2312" w:hAnsi="仿宋_GB2312" w:eastAsia="仿宋_GB2312" w:cs="仿宋_GB2312"/>
          <w:bCs/>
          <w:color w:val="auto"/>
        </w:rPr>
        <w:t>唐王街道根据火灾事故应急救援的需要，成立应急工作小组。应急工作小组由综合协调组、抢险救灾组、通信联络组、治安疏导组、医疗救护组、后勤保障组、环境保护组、新闻发布组、技术保障组、调查评估组、善后工作组组成。上述各应急工作小组在街道应急管理委员会的领导和指挥下，按照各自的职责进行应急救援。</w:t>
      </w:r>
    </w:p>
    <w:p w14:paraId="6E5486A9">
      <w:pPr>
        <w:tabs>
          <w:tab w:val="left" w:pos="1080"/>
        </w:tabs>
        <w:overflowPunct w:val="0"/>
        <w:topLinePunct/>
        <w:adjustRightInd w:val="0"/>
        <w:snapToGrid w:val="0"/>
        <w:spacing w:before="78" w:beforeLines="25" w:after="78" w:afterLines="25"/>
        <w:jc w:val="center"/>
        <w:textAlignment w:val="top"/>
        <w:rPr>
          <w:rFonts w:hint="eastAsia" w:ascii="仿宋_GB2312" w:hAnsi="仿宋_GB2312" w:eastAsia="仿宋_GB2312" w:cs="仿宋_GB2312"/>
          <w:b/>
          <w:color w:val="auto"/>
          <w:sz w:val="24"/>
          <w:szCs w:val="24"/>
        </w:rPr>
      </w:pPr>
      <w:bookmarkStart w:id="52" w:name="_Hlk73156173"/>
      <w:r>
        <w:rPr>
          <w:rFonts w:hint="eastAsia" w:ascii="仿宋_GB2312" w:hAnsi="仿宋_GB2312" w:eastAsia="仿宋_GB2312" w:cs="仿宋_GB2312"/>
          <w:b/>
          <w:color w:val="auto"/>
          <w:sz w:val="24"/>
          <w:szCs w:val="24"/>
        </w:rPr>
        <w:t>表 2.3-1  应急工作小组主要职责</w:t>
      </w:r>
    </w:p>
    <w:tbl>
      <w:tblPr>
        <w:tblStyle w:val="20"/>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9"/>
        <w:gridCol w:w="1218"/>
        <w:gridCol w:w="4101"/>
        <w:gridCol w:w="1428"/>
        <w:gridCol w:w="1643"/>
      </w:tblGrid>
      <w:tr w14:paraId="74FAB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69" w:type="dxa"/>
            <w:tcMar>
              <w:top w:w="113" w:type="dxa"/>
              <w:left w:w="57" w:type="dxa"/>
              <w:bottom w:w="113" w:type="dxa"/>
              <w:right w:w="57" w:type="dxa"/>
            </w:tcMar>
            <w:vAlign w:val="center"/>
          </w:tcPr>
          <w:p w14:paraId="17FECEAC">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序号</w:t>
            </w:r>
          </w:p>
        </w:tc>
        <w:tc>
          <w:tcPr>
            <w:tcW w:w="1218" w:type="dxa"/>
            <w:tcMar>
              <w:top w:w="113" w:type="dxa"/>
              <w:left w:w="57" w:type="dxa"/>
              <w:bottom w:w="113" w:type="dxa"/>
              <w:right w:w="57" w:type="dxa"/>
            </w:tcMar>
            <w:vAlign w:val="center"/>
          </w:tcPr>
          <w:p w14:paraId="6012BA3B">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名称</w:t>
            </w:r>
          </w:p>
        </w:tc>
        <w:tc>
          <w:tcPr>
            <w:tcW w:w="4101" w:type="dxa"/>
            <w:tcMar>
              <w:top w:w="113" w:type="dxa"/>
              <w:left w:w="57" w:type="dxa"/>
              <w:bottom w:w="113" w:type="dxa"/>
              <w:right w:w="57" w:type="dxa"/>
            </w:tcMar>
            <w:vAlign w:val="center"/>
          </w:tcPr>
          <w:p w14:paraId="0C109FD9">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主要职责</w:t>
            </w:r>
          </w:p>
        </w:tc>
        <w:tc>
          <w:tcPr>
            <w:tcW w:w="1428" w:type="dxa"/>
            <w:tcMar>
              <w:top w:w="113" w:type="dxa"/>
              <w:left w:w="57" w:type="dxa"/>
              <w:bottom w:w="113" w:type="dxa"/>
              <w:right w:w="57" w:type="dxa"/>
            </w:tcMar>
            <w:vAlign w:val="center"/>
          </w:tcPr>
          <w:p w14:paraId="670AE6DE">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牵头部门</w:t>
            </w:r>
          </w:p>
        </w:tc>
        <w:tc>
          <w:tcPr>
            <w:tcW w:w="1643" w:type="dxa"/>
            <w:tcMar>
              <w:top w:w="113" w:type="dxa"/>
              <w:left w:w="57" w:type="dxa"/>
              <w:bottom w:w="113" w:type="dxa"/>
              <w:right w:w="57" w:type="dxa"/>
            </w:tcMar>
            <w:vAlign w:val="center"/>
          </w:tcPr>
          <w:p w14:paraId="06C2EBFC">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配合部门</w:t>
            </w:r>
          </w:p>
        </w:tc>
      </w:tr>
      <w:tr w14:paraId="398E5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9" w:type="dxa"/>
            <w:tcMar>
              <w:top w:w="113" w:type="dxa"/>
              <w:left w:w="57" w:type="dxa"/>
              <w:bottom w:w="113" w:type="dxa"/>
              <w:right w:w="57" w:type="dxa"/>
            </w:tcMar>
            <w:vAlign w:val="center"/>
          </w:tcPr>
          <w:p w14:paraId="0B26D33A">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1</w:t>
            </w:r>
          </w:p>
        </w:tc>
        <w:tc>
          <w:tcPr>
            <w:tcW w:w="1218" w:type="dxa"/>
            <w:tcMar>
              <w:top w:w="113" w:type="dxa"/>
              <w:left w:w="57" w:type="dxa"/>
              <w:bottom w:w="113" w:type="dxa"/>
              <w:right w:w="57" w:type="dxa"/>
            </w:tcMar>
            <w:vAlign w:val="center"/>
          </w:tcPr>
          <w:p w14:paraId="062EE3D1">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综合协调组</w:t>
            </w:r>
          </w:p>
        </w:tc>
        <w:tc>
          <w:tcPr>
            <w:tcW w:w="4101" w:type="dxa"/>
            <w:tcMar>
              <w:top w:w="113" w:type="dxa"/>
              <w:left w:w="57" w:type="dxa"/>
              <w:bottom w:w="113" w:type="dxa"/>
              <w:right w:w="57" w:type="dxa"/>
            </w:tcMar>
            <w:vAlign w:val="center"/>
          </w:tcPr>
          <w:p w14:paraId="5B12634B">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color w:val="auto"/>
                <w:kern w:val="0"/>
                <w:sz w:val="21"/>
                <w:szCs w:val="21"/>
              </w:rPr>
              <w:t>（1）统筹组织火灾事故现场应急救援的综合协调工作；（2）协助现场指挥人员做好现场指挥部的开设和撤离工作；（3）负责应急领导小组指令的接收与转发，做好现场指挥小组会议管理工作，做好会议记录整理以及对外发布文件的草拟工作；（4）承担现场指挥部的</w:t>
            </w:r>
            <w:r>
              <w:rPr>
                <w:rFonts w:hint="eastAsia" w:ascii="仿宋_GB2312" w:hAnsi="仿宋_GB2312" w:eastAsia="仿宋_GB2312" w:cs="仿宋_GB2312"/>
                <w:color w:val="auto"/>
                <w:kern w:val="0"/>
                <w:sz w:val="21"/>
                <w:szCs w:val="21"/>
                <w:lang w:eastAsia="zh-CN"/>
              </w:rPr>
              <w:t>值守</w:t>
            </w:r>
            <w:r>
              <w:rPr>
                <w:rFonts w:hint="eastAsia" w:ascii="仿宋_GB2312" w:hAnsi="仿宋_GB2312" w:eastAsia="仿宋_GB2312" w:cs="仿宋_GB2312"/>
                <w:color w:val="auto"/>
                <w:kern w:val="0"/>
                <w:sz w:val="21"/>
                <w:szCs w:val="21"/>
              </w:rPr>
              <w:t>工作，收集、汇总现场处置工作情况，编辑应急救援大事记，编制信息简报并上报；（5）负责调配全</w:t>
            </w:r>
            <w:r>
              <w:rPr>
                <w:rFonts w:hint="eastAsia" w:ascii="仿宋_GB2312" w:hAnsi="仿宋_GB2312" w:eastAsia="仿宋_GB2312" w:cs="仿宋_GB2312"/>
                <w:color w:val="auto"/>
                <w:kern w:val="0"/>
                <w:sz w:val="21"/>
                <w:szCs w:val="21"/>
                <w:lang w:eastAsia="zh-CN"/>
              </w:rPr>
              <w:t>街道</w:t>
            </w:r>
            <w:r>
              <w:rPr>
                <w:rFonts w:hint="eastAsia" w:ascii="仿宋_GB2312" w:hAnsi="仿宋_GB2312" w:eastAsia="仿宋_GB2312" w:cs="仿宋_GB2312"/>
                <w:color w:val="auto"/>
                <w:kern w:val="0"/>
                <w:sz w:val="21"/>
                <w:szCs w:val="21"/>
              </w:rPr>
              <w:t>事故应急力量和资源，向上级应急部门请求应急支援；（6）组织做好现场处置工作的总结评估，提出应急预案修改建议；（7）做好应急救援工作文件、影像资料的搜集、整理、保管和归档等工作。</w:t>
            </w:r>
          </w:p>
        </w:tc>
        <w:tc>
          <w:tcPr>
            <w:tcW w:w="1428" w:type="dxa"/>
            <w:tcMar>
              <w:top w:w="113" w:type="dxa"/>
              <w:left w:w="57" w:type="dxa"/>
              <w:bottom w:w="113" w:type="dxa"/>
              <w:right w:w="57" w:type="dxa"/>
            </w:tcMar>
            <w:vAlign w:val="center"/>
          </w:tcPr>
          <w:p w14:paraId="7E602F0A">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应急办</w:t>
            </w:r>
          </w:p>
        </w:tc>
        <w:tc>
          <w:tcPr>
            <w:tcW w:w="1643" w:type="dxa"/>
            <w:tcMar>
              <w:top w:w="113" w:type="dxa"/>
              <w:left w:w="57" w:type="dxa"/>
              <w:bottom w:w="113" w:type="dxa"/>
              <w:right w:w="57" w:type="dxa"/>
            </w:tcMar>
            <w:vAlign w:val="center"/>
          </w:tcPr>
          <w:p w14:paraId="7D8E791B">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党政办、文化站、宣传科、各管区、渔场</w:t>
            </w:r>
          </w:p>
        </w:tc>
      </w:tr>
      <w:tr w14:paraId="017A2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9" w:type="dxa"/>
            <w:tcMar>
              <w:top w:w="113" w:type="dxa"/>
              <w:left w:w="57" w:type="dxa"/>
              <w:bottom w:w="113" w:type="dxa"/>
              <w:right w:w="57" w:type="dxa"/>
            </w:tcMar>
            <w:vAlign w:val="center"/>
          </w:tcPr>
          <w:p w14:paraId="0D00077B">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2</w:t>
            </w:r>
          </w:p>
        </w:tc>
        <w:tc>
          <w:tcPr>
            <w:tcW w:w="1218" w:type="dxa"/>
            <w:tcMar>
              <w:top w:w="113" w:type="dxa"/>
              <w:left w:w="57" w:type="dxa"/>
              <w:bottom w:w="113" w:type="dxa"/>
              <w:right w:w="57" w:type="dxa"/>
            </w:tcMar>
            <w:vAlign w:val="center"/>
          </w:tcPr>
          <w:p w14:paraId="75C02287">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抢险救灾组</w:t>
            </w:r>
          </w:p>
        </w:tc>
        <w:tc>
          <w:tcPr>
            <w:tcW w:w="4101" w:type="dxa"/>
            <w:tcMar>
              <w:top w:w="113" w:type="dxa"/>
              <w:left w:w="57" w:type="dxa"/>
              <w:bottom w:w="113" w:type="dxa"/>
              <w:right w:w="57" w:type="dxa"/>
            </w:tcMar>
            <w:vAlign w:val="center"/>
          </w:tcPr>
          <w:p w14:paraId="0940D8C2">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（1）实施火灾事故现场处置、火灾事故扑救、人员搜救、工程抢险和现场清理等工作；（2）控制危险源，防止次生、衍生事故发生；（3）为火灾事故调查收集有关资料。</w:t>
            </w:r>
          </w:p>
        </w:tc>
        <w:tc>
          <w:tcPr>
            <w:tcW w:w="1428" w:type="dxa"/>
            <w:tcMar>
              <w:top w:w="113" w:type="dxa"/>
              <w:left w:w="57" w:type="dxa"/>
              <w:bottom w:w="113" w:type="dxa"/>
              <w:right w:w="57" w:type="dxa"/>
            </w:tcMar>
            <w:vAlign w:val="center"/>
          </w:tcPr>
          <w:p w14:paraId="2DE4F231">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应急办</w:t>
            </w:r>
          </w:p>
        </w:tc>
        <w:tc>
          <w:tcPr>
            <w:tcW w:w="1643" w:type="dxa"/>
            <w:tcMar>
              <w:top w:w="113" w:type="dxa"/>
              <w:left w:w="57" w:type="dxa"/>
              <w:bottom w:w="113" w:type="dxa"/>
              <w:right w:w="57" w:type="dxa"/>
            </w:tcMar>
            <w:vAlign w:val="center"/>
          </w:tcPr>
          <w:p w14:paraId="1A7ACA87">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党政办、教育办、城管科、综合执法中队、供电所、卫生院、农业发展服务中心、经发科、社会事务科、各管区、渔场</w:t>
            </w:r>
          </w:p>
        </w:tc>
      </w:tr>
      <w:tr w14:paraId="741CF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9" w:type="dxa"/>
            <w:tcMar>
              <w:top w:w="113" w:type="dxa"/>
              <w:left w:w="57" w:type="dxa"/>
              <w:bottom w:w="113" w:type="dxa"/>
              <w:right w:w="57" w:type="dxa"/>
            </w:tcMar>
            <w:vAlign w:val="center"/>
          </w:tcPr>
          <w:p w14:paraId="17B65419">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3</w:t>
            </w:r>
          </w:p>
        </w:tc>
        <w:tc>
          <w:tcPr>
            <w:tcW w:w="1218" w:type="dxa"/>
            <w:tcMar>
              <w:top w:w="113" w:type="dxa"/>
              <w:left w:w="57" w:type="dxa"/>
              <w:bottom w:w="113" w:type="dxa"/>
              <w:right w:w="57" w:type="dxa"/>
            </w:tcMar>
            <w:vAlign w:val="center"/>
          </w:tcPr>
          <w:p w14:paraId="6970B7F5">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通信联络组</w:t>
            </w:r>
          </w:p>
        </w:tc>
        <w:tc>
          <w:tcPr>
            <w:tcW w:w="4101" w:type="dxa"/>
            <w:tcMar>
              <w:top w:w="113" w:type="dxa"/>
              <w:left w:w="57" w:type="dxa"/>
              <w:bottom w:w="113" w:type="dxa"/>
              <w:right w:w="57" w:type="dxa"/>
            </w:tcMar>
            <w:vAlign w:val="center"/>
          </w:tcPr>
          <w:p w14:paraId="53672450">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对通讯设施和设备进行维护，保证通讯设施和设备处于良好状态。</w:t>
            </w:r>
          </w:p>
        </w:tc>
        <w:tc>
          <w:tcPr>
            <w:tcW w:w="1428" w:type="dxa"/>
            <w:tcMar>
              <w:top w:w="113" w:type="dxa"/>
              <w:left w:w="57" w:type="dxa"/>
              <w:bottom w:w="113" w:type="dxa"/>
              <w:right w:w="57" w:type="dxa"/>
            </w:tcMar>
            <w:vAlign w:val="center"/>
          </w:tcPr>
          <w:p w14:paraId="26A1F896">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中国联通唐王营业服务中心</w:t>
            </w:r>
          </w:p>
        </w:tc>
        <w:tc>
          <w:tcPr>
            <w:tcW w:w="1643" w:type="dxa"/>
            <w:tcMar>
              <w:top w:w="113" w:type="dxa"/>
              <w:left w:w="57" w:type="dxa"/>
              <w:bottom w:w="113" w:type="dxa"/>
              <w:right w:w="57" w:type="dxa"/>
            </w:tcMar>
            <w:vAlign w:val="center"/>
          </w:tcPr>
          <w:p w14:paraId="2C828027">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文化站、宣传科</w:t>
            </w:r>
          </w:p>
        </w:tc>
      </w:tr>
      <w:tr w14:paraId="0B5D1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9" w:type="dxa"/>
            <w:tcMar>
              <w:top w:w="113" w:type="dxa"/>
              <w:left w:w="57" w:type="dxa"/>
              <w:bottom w:w="113" w:type="dxa"/>
              <w:right w:w="57" w:type="dxa"/>
            </w:tcMar>
            <w:vAlign w:val="center"/>
          </w:tcPr>
          <w:p w14:paraId="58A31403">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4</w:t>
            </w:r>
          </w:p>
        </w:tc>
        <w:tc>
          <w:tcPr>
            <w:tcW w:w="1218" w:type="dxa"/>
            <w:tcMar>
              <w:top w:w="113" w:type="dxa"/>
              <w:left w:w="57" w:type="dxa"/>
              <w:bottom w:w="113" w:type="dxa"/>
              <w:right w:w="57" w:type="dxa"/>
            </w:tcMar>
            <w:vAlign w:val="center"/>
          </w:tcPr>
          <w:p w14:paraId="24DC372E">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治安疏导组</w:t>
            </w:r>
          </w:p>
        </w:tc>
        <w:tc>
          <w:tcPr>
            <w:tcW w:w="4101" w:type="dxa"/>
            <w:tcMar>
              <w:top w:w="113" w:type="dxa"/>
              <w:left w:w="57" w:type="dxa"/>
              <w:bottom w:w="113" w:type="dxa"/>
              <w:right w:w="57" w:type="dxa"/>
            </w:tcMar>
            <w:vAlign w:val="center"/>
          </w:tcPr>
          <w:p w14:paraId="63B6A8ED">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1）做好现场指挥部、抢险救援现场的警戒和交通管控工作；（2）发放各保障组人员和车辆的证件；（3）做好失联（死亡）人员身份核查工作，承担火灾事故中失联人员身份信息的核实和登记工作，对遇难者身份进行鉴定；（4）负责组织受灾群众安全疏散。</w:t>
            </w:r>
          </w:p>
        </w:tc>
        <w:tc>
          <w:tcPr>
            <w:tcW w:w="1428" w:type="dxa"/>
            <w:tcMar>
              <w:top w:w="113" w:type="dxa"/>
              <w:left w:w="57" w:type="dxa"/>
              <w:bottom w:w="113" w:type="dxa"/>
              <w:right w:w="57" w:type="dxa"/>
            </w:tcMar>
            <w:vAlign w:val="center"/>
          </w:tcPr>
          <w:p w14:paraId="7B08F238">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派出所</w:t>
            </w:r>
          </w:p>
        </w:tc>
        <w:tc>
          <w:tcPr>
            <w:tcW w:w="1643" w:type="dxa"/>
            <w:tcMar>
              <w:top w:w="113" w:type="dxa"/>
              <w:left w:w="57" w:type="dxa"/>
              <w:bottom w:w="113" w:type="dxa"/>
              <w:right w:w="57" w:type="dxa"/>
            </w:tcMar>
            <w:vAlign w:val="center"/>
          </w:tcPr>
          <w:p w14:paraId="5B573B4C">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城管科、社会事务科、交管所、各管区、渔场</w:t>
            </w:r>
          </w:p>
        </w:tc>
      </w:tr>
      <w:tr w14:paraId="6B19A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9" w:type="dxa"/>
            <w:tcMar>
              <w:top w:w="113" w:type="dxa"/>
              <w:left w:w="57" w:type="dxa"/>
              <w:bottom w:w="113" w:type="dxa"/>
              <w:right w:w="57" w:type="dxa"/>
            </w:tcMar>
            <w:vAlign w:val="center"/>
          </w:tcPr>
          <w:p w14:paraId="7AC86C8E">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5</w:t>
            </w:r>
          </w:p>
        </w:tc>
        <w:tc>
          <w:tcPr>
            <w:tcW w:w="1218" w:type="dxa"/>
            <w:tcMar>
              <w:top w:w="113" w:type="dxa"/>
              <w:left w:w="57" w:type="dxa"/>
              <w:bottom w:w="113" w:type="dxa"/>
              <w:right w:w="57" w:type="dxa"/>
            </w:tcMar>
            <w:vAlign w:val="center"/>
          </w:tcPr>
          <w:p w14:paraId="45FF73A4">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医疗救护组</w:t>
            </w:r>
          </w:p>
        </w:tc>
        <w:tc>
          <w:tcPr>
            <w:tcW w:w="4101" w:type="dxa"/>
            <w:tcMar>
              <w:top w:w="113" w:type="dxa"/>
              <w:left w:w="57" w:type="dxa"/>
              <w:bottom w:w="113" w:type="dxa"/>
              <w:right w:w="57" w:type="dxa"/>
            </w:tcMar>
            <w:vAlign w:val="center"/>
          </w:tcPr>
          <w:p w14:paraId="71A6FA1F">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（1）调度全</w:t>
            </w:r>
            <w:r>
              <w:rPr>
                <w:rFonts w:hint="eastAsia" w:ascii="仿宋_GB2312" w:hAnsi="仿宋_GB2312" w:eastAsia="仿宋_GB2312" w:cs="仿宋_GB2312"/>
                <w:bCs/>
                <w:color w:val="auto"/>
                <w:kern w:val="0"/>
                <w:sz w:val="21"/>
                <w:szCs w:val="21"/>
                <w:lang w:eastAsia="zh-CN"/>
              </w:rPr>
              <w:t>街道</w:t>
            </w:r>
            <w:r>
              <w:rPr>
                <w:rFonts w:hint="eastAsia" w:ascii="仿宋_GB2312" w:hAnsi="仿宋_GB2312" w:eastAsia="仿宋_GB2312" w:cs="仿宋_GB2312"/>
                <w:bCs/>
                <w:color w:val="auto"/>
                <w:kern w:val="0"/>
                <w:sz w:val="21"/>
                <w:szCs w:val="21"/>
              </w:rPr>
              <w:t>医疗队伍、专家等资源和力量，做好对火灾事故受伤人员的救治和康复工作；（2）设立临时医疗点，为受伤人员、抢险救援人员提供医疗保障服务；（3）做好现场救援区域的防疫消毒；（4）向受伤人员和受灾群众提供心理卫生咨询和帮助。</w:t>
            </w:r>
          </w:p>
        </w:tc>
        <w:tc>
          <w:tcPr>
            <w:tcW w:w="1428" w:type="dxa"/>
            <w:tcMar>
              <w:top w:w="113" w:type="dxa"/>
              <w:left w:w="57" w:type="dxa"/>
              <w:bottom w:w="113" w:type="dxa"/>
              <w:right w:w="57" w:type="dxa"/>
            </w:tcMar>
            <w:vAlign w:val="center"/>
          </w:tcPr>
          <w:p w14:paraId="1E92F1C7">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唐王卫生院</w:t>
            </w:r>
          </w:p>
        </w:tc>
        <w:tc>
          <w:tcPr>
            <w:tcW w:w="1643" w:type="dxa"/>
            <w:tcMar>
              <w:top w:w="113" w:type="dxa"/>
              <w:left w:w="57" w:type="dxa"/>
              <w:bottom w:w="113" w:type="dxa"/>
              <w:right w:w="57" w:type="dxa"/>
            </w:tcMar>
            <w:vAlign w:val="center"/>
          </w:tcPr>
          <w:p w14:paraId="4253E425">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各管区、渔场</w:t>
            </w:r>
          </w:p>
        </w:tc>
      </w:tr>
      <w:tr w14:paraId="1DA4B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9" w:type="dxa"/>
            <w:tcMar>
              <w:top w:w="113" w:type="dxa"/>
              <w:left w:w="57" w:type="dxa"/>
              <w:bottom w:w="113" w:type="dxa"/>
              <w:right w:w="57" w:type="dxa"/>
            </w:tcMar>
            <w:vAlign w:val="center"/>
          </w:tcPr>
          <w:p w14:paraId="3CD7AF56">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6</w:t>
            </w:r>
          </w:p>
        </w:tc>
        <w:tc>
          <w:tcPr>
            <w:tcW w:w="1218" w:type="dxa"/>
            <w:tcMar>
              <w:top w:w="113" w:type="dxa"/>
              <w:left w:w="57" w:type="dxa"/>
              <w:bottom w:w="113" w:type="dxa"/>
              <w:right w:w="57" w:type="dxa"/>
            </w:tcMar>
            <w:vAlign w:val="center"/>
          </w:tcPr>
          <w:p w14:paraId="61BBEEFD">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后勤保障组</w:t>
            </w:r>
          </w:p>
        </w:tc>
        <w:tc>
          <w:tcPr>
            <w:tcW w:w="4101" w:type="dxa"/>
            <w:tcMar>
              <w:top w:w="113" w:type="dxa"/>
              <w:left w:w="57" w:type="dxa"/>
              <w:bottom w:w="113" w:type="dxa"/>
              <w:right w:w="57" w:type="dxa"/>
            </w:tcMar>
            <w:vAlign w:val="center"/>
          </w:tcPr>
          <w:p w14:paraId="2E1B4496">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物资、装备、食品、交通、供电、供水、供气和通信等方面的后勤服务和资源保障。</w:t>
            </w:r>
          </w:p>
        </w:tc>
        <w:tc>
          <w:tcPr>
            <w:tcW w:w="1428" w:type="dxa"/>
            <w:tcMar>
              <w:top w:w="113" w:type="dxa"/>
              <w:left w:w="57" w:type="dxa"/>
              <w:bottom w:w="113" w:type="dxa"/>
              <w:right w:w="57" w:type="dxa"/>
            </w:tcMar>
            <w:vAlign w:val="center"/>
          </w:tcPr>
          <w:p w14:paraId="6A559B2A">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党政办</w:t>
            </w:r>
          </w:p>
        </w:tc>
        <w:tc>
          <w:tcPr>
            <w:tcW w:w="1643" w:type="dxa"/>
            <w:tcMar>
              <w:top w:w="113" w:type="dxa"/>
              <w:left w:w="57" w:type="dxa"/>
              <w:bottom w:w="113" w:type="dxa"/>
              <w:right w:w="57" w:type="dxa"/>
            </w:tcMar>
            <w:vAlign w:val="center"/>
          </w:tcPr>
          <w:p w14:paraId="44B8BA11">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市场监管所、交管所、供电站、农业发展服务中心、城管科、中国联通唐王营服中心</w:t>
            </w:r>
          </w:p>
        </w:tc>
      </w:tr>
      <w:tr w14:paraId="1534C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9" w:type="dxa"/>
            <w:tcMar>
              <w:top w:w="113" w:type="dxa"/>
              <w:left w:w="57" w:type="dxa"/>
              <w:bottom w:w="113" w:type="dxa"/>
              <w:right w:w="57" w:type="dxa"/>
            </w:tcMar>
            <w:vAlign w:val="center"/>
          </w:tcPr>
          <w:p w14:paraId="28BA563C">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7</w:t>
            </w:r>
          </w:p>
        </w:tc>
        <w:tc>
          <w:tcPr>
            <w:tcW w:w="1218" w:type="dxa"/>
            <w:tcMar>
              <w:top w:w="113" w:type="dxa"/>
              <w:left w:w="57" w:type="dxa"/>
              <w:bottom w:w="113" w:type="dxa"/>
              <w:right w:w="57" w:type="dxa"/>
            </w:tcMar>
            <w:vAlign w:val="center"/>
          </w:tcPr>
          <w:p w14:paraId="34CC5B15">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环境保护组</w:t>
            </w:r>
          </w:p>
        </w:tc>
        <w:tc>
          <w:tcPr>
            <w:tcW w:w="4101" w:type="dxa"/>
            <w:tcMar>
              <w:top w:w="113" w:type="dxa"/>
              <w:left w:w="57" w:type="dxa"/>
              <w:bottom w:w="113" w:type="dxa"/>
              <w:right w:w="57" w:type="dxa"/>
            </w:tcMar>
            <w:vAlign w:val="center"/>
          </w:tcPr>
          <w:p w14:paraId="2B7ED0ED">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（1）对涉事区域进行环境监测工作，提出控制污染扩散的建议，防止发生环境污染次生灾害。（2）承担抢险救援现场的气象监测和预报服务保障工作。</w:t>
            </w:r>
          </w:p>
        </w:tc>
        <w:tc>
          <w:tcPr>
            <w:tcW w:w="1428" w:type="dxa"/>
            <w:tcMar>
              <w:top w:w="113" w:type="dxa"/>
              <w:left w:w="57" w:type="dxa"/>
              <w:bottom w:w="113" w:type="dxa"/>
              <w:right w:w="57" w:type="dxa"/>
            </w:tcMar>
            <w:vAlign w:val="center"/>
          </w:tcPr>
          <w:p w14:paraId="0A1F4456">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城管科</w:t>
            </w:r>
          </w:p>
        </w:tc>
        <w:tc>
          <w:tcPr>
            <w:tcW w:w="1643" w:type="dxa"/>
            <w:tcMar>
              <w:top w:w="113" w:type="dxa"/>
              <w:left w:w="57" w:type="dxa"/>
              <w:bottom w:w="113" w:type="dxa"/>
              <w:right w:w="57" w:type="dxa"/>
            </w:tcMar>
            <w:vAlign w:val="center"/>
          </w:tcPr>
          <w:p w14:paraId="75E54500">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综合执法中队、交管所、各管区、渔场</w:t>
            </w:r>
          </w:p>
        </w:tc>
      </w:tr>
      <w:tr w14:paraId="0B68F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9" w:type="dxa"/>
            <w:tcMar>
              <w:top w:w="113" w:type="dxa"/>
              <w:left w:w="57" w:type="dxa"/>
              <w:bottom w:w="113" w:type="dxa"/>
              <w:right w:w="57" w:type="dxa"/>
            </w:tcMar>
            <w:vAlign w:val="center"/>
          </w:tcPr>
          <w:p w14:paraId="11D36718">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8</w:t>
            </w:r>
          </w:p>
        </w:tc>
        <w:tc>
          <w:tcPr>
            <w:tcW w:w="1218" w:type="dxa"/>
            <w:tcMar>
              <w:top w:w="113" w:type="dxa"/>
              <w:left w:w="57" w:type="dxa"/>
              <w:bottom w:w="113" w:type="dxa"/>
              <w:right w:w="57" w:type="dxa"/>
            </w:tcMar>
            <w:vAlign w:val="center"/>
          </w:tcPr>
          <w:p w14:paraId="5BEA8536">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新闻发布组</w:t>
            </w:r>
          </w:p>
        </w:tc>
        <w:tc>
          <w:tcPr>
            <w:tcW w:w="4101" w:type="dxa"/>
            <w:tcMar>
              <w:top w:w="113" w:type="dxa"/>
              <w:left w:w="57" w:type="dxa"/>
              <w:bottom w:w="113" w:type="dxa"/>
              <w:right w:w="57" w:type="dxa"/>
            </w:tcMar>
            <w:vAlign w:val="center"/>
          </w:tcPr>
          <w:p w14:paraId="3F1AA3D3">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1）统筹协调和组织事故舆论引导工作；（2）做好事故舆情搜集、分析和报送工作；（3）做好新闻应对发布和集体采访组织活动；（4）做好境内外媒体沟通协调和组织联络工作；（5）向应急指挥部和事故相关单位、辖区政府通报舆情进展，提出应对建议。</w:t>
            </w:r>
          </w:p>
        </w:tc>
        <w:tc>
          <w:tcPr>
            <w:tcW w:w="1428" w:type="dxa"/>
            <w:tcMar>
              <w:top w:w="113" w:type="dxa"/>
              <w:left w:w="57" w:type="dxa"/>
              <w:bottom w:w="113" w:type="dxa"/>
              <w:right w:w="57" w:type="dxa"/>
            </w:tcMar>
            <w:vAlign w:val="center"/>
          </w:tcPr>
          <w:p w14:paraId="141F2543">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宣传科</w:t>
            </w:r>
          </w:p>
        </w:tc>
        <w:tc>
          <w:tcPr>
            <w:tcW w:w="1643" w:type="dxa"/>
            <w:tcMar>
              <w:top w:w="113" w:type="dxa"/>
              <w:left w:w="57" w:type="dxa"/>
              <w:bottom w:w="113" w:type="dxa"/>
              <w:right w:w="57" w:type="dxa"/>
            </w:tcMar>
            <w:vAlign w:val="center"/>
          </w:tcPr>
          <w:p w14:paraId="19FF4830">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党政办、文化站、社会事务科</w:t>
            </w:r>
          </w:p>
        </w:tc>
      </w:tr>
      <w:tr w14:paraId="5E248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9" w:type="dxa"/>
            <w:tcMar>
              <w:top w:w="113" w:type="dxa"/>
              <w:left w:w="57" w:type="dxa"/>
              <w:bottom w:w="113" w:type="dxa"/>
              <w:right w:w="57" w:type="dxa"/>
            </w:tcMar>
            <w:vAlign w:val="center"/>
          </w:tcPr>
          <w:p w14:paraId="2BC368D8">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9</w:t>
            </w:r>
          </w:p>
        </w:tc>
        <w:tc>
          <w:tcPr>
            <w:tcW w:w="1218" w:type="dxa"/>
            <w:tcMar>
              <w:top w:w="113" w:type="dxa"/>
              <w:left w:w="57" w:type="dxa"/>
              <w:bottom w:w="113" w:type="dxa"/>
              <w:right w:w="57" w:type="dxa"/>
            </w:tcMar>
            <w:vAlign w:val="center"/>
          </w:tcPr>
          <w:p w14:paraId="372A05FC">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技术保障组</w:t>
            </w:r>
          </w:p>
        </w:tc>
        <w:tc>
          <w:tcPr>
            <w:tcW w:w="4101" w:type="dxa"/>
            <w:tcMar>
              <w:top w:w="113" w:type="dxa"/>
              <w:left w:w="57" w:type="dxa"/>
              <w:bottom w:w="113" w:type="dxa"/>
              <w:right w:w="57" w:type="dxa"/>
            </w:tcMar>
            <w:vAlign w:val="center"/>
          </w:tcPr>
          <w:p w14:paraId="548D3C0B">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储备应急知识及资料，建立营救人员和处理火灾事故的知识、方法和技巧等资料。</w:t>
            </w:r>
          </w:p>
        </w:tc>
        <w:tc>
          <w:tcPr>
            <w:tcW w:w="1428" w:type="dxa"/>
            <w:tcMar>
              <w:top w:w="113" w:type="dxa"/>
              <w:left w:w="57" w:type="dxa"/>
              <w:bottom w:w="113" w:type="dxa"/>
              <w:right w:w="57" w:type="dxa"/>
            </w:tcMar>
            <w:vAlign w:val="center"/>
          </w:tcPr>
          <w:p w14:paraId="119C9B19">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应急办</w:t>
            </w:r>
          </w:p>
        </w:tc>
        <w:tc>
          <w:tcPr>
            <w:tcW w:w="1643" w:type="dxa"/>
            <w:tcMar>
              <w:top w:w="113" w:type="dxa"/>
              <w:left w:w="57" w:type="dxa"/>
              <w:bottom w:w="113" w:type="dxa"/>
              <w:right w:w="57" w:type="dxa"/>
            </w:tcMar>
            <w:vAlign w:val="center"/>
          </w:tcPr>
          <w:p w14:paraId="0524475C">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党政办、教育办、卫生院、市场监管所、畜牧站</w:t>
            </w:r>
          </w:p>
        </w:tc>
      </w:tr>
      <w:tr w14:paraId="43184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9" w:type="dxa"/>
            <w:tcMar>
              <w:top w:w="113" w:type="dxa"/>
              <w:left w:w="57" w:type="dxa"/>
              <w:bottom w:w="113" w:type="dxa"/>
              <w:right w:w="57" w:type="dxa"/>
            </w:tcMar>
            <w:vAlign w:val="center"/>
          </w:tcPr>
          <w:p w14:paraId="05C94C0C">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10</w:t>
            </w:r>
          </w:p>
        </w:tc>
        <w:tc>
          <w:tcPr>
            <w:tcW w:w="1218" w:type="dxa"/>
            <w:tcMar>
              <w:top w:w="113" w:type="dxa"/>
              <w:left w:w="57" w:type="dxa"/>
              <w:bottom w:w="113" w:type="dxa"/>
              <w:right w:w="57" w:type="dxa"/>
            </w:tcMar>
            <w:vAlign w:val="center"/>
          </w:tcPr>
          <w:p w14:paraId="69A7533C">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调查评估组</w:t>
            </w:r>
          </w:p>
        </w:tc>
        <w:tc>
          <w:tcPr>
            <w:tcW w:w="4101" w:type="dxa"/>
            <w:tcMar>
              <w:top w:w="113" w:type="dxa"/>
              <w:left w:w="57" w:type="dxa"/>
              <w:bottom w:w="113" w:type="dxa"/>
              <w:right w:w="57" w:type="dxa"/>
            </w:tcMar>
            <w:vAlign w:val="center"/>
          </w:tcPr>
          <w:p w14:paraId="56D0E4A5">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初步核实火灾事故的发生经过和原因，总结事故处置工作的经验教训，评估火灾事故损失，制订改进措施。</w:t>
            </w:r>
          </w:p>
        </w:tc>
        <w:tc>
          <w:tcPr>
            <w:tcW w:w="1428" w:type="dxa"/>
            <w:tcMar>
              <w:top w:w="113" w:type="dxa"/>
              <w:left w:w="57" w:type="dxa"/>
              <w:bottom w:w="113" w:type="dxa"/>
              <w:right w:w="57" w:type="dxa"/>
            </w:tcMar>
            <w:vAlign w:val="center"/>
          </w:tcPr>
          <w:p w14:paraId="1718CC9D">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派出所</w:t>
            </w:r>
          </w:p>
        </w:tc>
        <w:tc>
          <w:tcPr>
            <w:tcW w:w="1643" w:type="dxa"/>
            <w:tcMar>
              <w:top w:w="113" w:type="dxa"/>
              <w:left w:w="57" w:type="dxa"/>
              <w:bottom w:w="113" w:type="dxa"/>
              <w:right w:w="57" w:type="dxa"/>
            </w:tcMar>
            <w:vAlign w:val="center"/>
          </w:tcPr>
          <w:p w14:paraId="008984CA">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应急办、农业发展服务中心、经发科、城管科、市场监管所</w:t>
            </w:r>
          </w:p>
        </w:tc>
      </w:tr>
      <w:tr w14:paraId="22CB4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9" w:type="dxa"/>
            <w:tcMar>
              <w:top w:w="113" w:type="dxa"/>
              <w:left w:w="57" w:type="dxa"/>
              <w:bottom w:w="113" w:type="dxa"/>
              <w:right w:w="57" w:type="dxa"/>
            </w:tcMar>
            <w:vAlign w:val="center"/>
          </w:tcPr>
          <w:p w14:paraId="0A2C7F5F">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11</w:t>
            </w:r>
          </w:p>
        </w:tc>
        <w:tc>
          <w:tcPr>
            <w:tcW w:w="1218" w:type="dxa"/>
            <w:tcMar>
              <w:top w:w="113" w:type="dxa"/>
              <w:left w:w="57" w:type="dxa"/>
              <w:bottom w:w="113" w:type="dxa"/>
              <w:right w:w="57" w:type="dxa"/>
            </w:tcMar>
            <w:vAlign w:val="center"/>
          </w:tcPr>
          <w:p w14:paraId="6A2836E6">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善后工作组</w:t>
            </w:r>
          </w:p>
        </w:tc>
        <w:tc>
          <w:tcPr>
            <w:tcW w:w="4101" w:type="dxa"/>
            <w:tcMar>
              <w:top w:w="113" w:type="dxa"/>
              <w:left w:w="57" w:type="dxa"/>
              <w:bottom w:w="113" w:type="dxa"/>
              <w:right w:w="57" w:type="dxa"/>
            </w:tcMar>
            <w:vAlign w:val="center"/>
          </w:tcPr>
          <w:p w14:paraId="0600B72E">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1）做好善后处置的总协调工作；（2）做好善后抢险救援人员后勤保障工作；（3）做好受伤、失联人员、亲属信息登记和安抚疏导等善后工作；（4）做好遇难者遗体的保存、处理和殡葬服务等善后工作；（5）做好受伤人员和企业的经济补偿等善后工作；（6）做好社会力量动员和救灾物</w:t>
            </w:r>
            <w:r>
              <w:rPr>
                <w:rFonts w:hint="eastAsia" w:ascii="仿宋_GB2312" w:hAnsi="仿宋_GB2312" w:eastAsia="仿宋_GB2312" w:cs="仿宋_GB2312"/>
                <w:bCs/>
                <w:color w:val="auto"/>
                <w:kern w:val="0"/>
                <w:sz w:val="21"/>
                <w:szCs w:val="21"/>
                <w:lang w:eastAsia="zh-CN"/>
              </w:rPr>
              <w:t>资</w:t>
            </w:r>
            <w:r>
              <w:rPr>
                <w:rFonts w:hint="eastAsia" w:ascii="仿宋_GB2312" w:hAnsi="仿宋_GB2312" w:eastAsia="仿宋_GB2312" w:cs="仿宋_GB2312"/>
                <w:bCs/>
                <w:color w:val="auto"/>
                <w:kern w:val="0"/>
                <w:sz w:val="21"/>
                <w:szCs w:val="21"/>
              </w:rPr>
              <w:t>等救助组织工作；（7）做好灾后恢复重建等工作。</w:t>
            </w:r>
          </w:p>
        </w:tc>
        <w:tc>
          <w:tcPr>
            <w:tcW w:w="1428" w:type="dxa"/>
            <w:tcMar>
              <w:top w:w="113" w:type="dxa"/>
              <w:left w:w="57" w:type="dxa"/>
              <w:bottom w:w="113" w:type="dxa"/>
              <w:right w:w="57" w:type="dxa"/>
            </w:tcMar>
            <w:vAlign w:val="center"/>
          </w:tcPr>
          <w:p w14:paraId="508130EA">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党政办</w:t>
            </w:r>
          </w:p>
        </w:tc>
        <w:tc>
          <w:tcPr>
            <w:tcW w:w="1643" w:type="dxa"/>
            <w:tcMar>
              <w:top w:w="113" w:type="dxa"/>
              <w:left w:w="57" w:type="dxa"/>
              <w:bottom w:w="113" w:type="dxa"/>
              <w:right w:w="57" w:type="dxa"/>
            </w:tcMar>
            <w:vAlign w:val="center"/>
          </w:tcPr>
          <w:p w14:paraId="246AFC49">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社会事务科、经发科、各管区、渔场</w:t>
            </w:r>
          </w:p>
        </w:tc>
      </w:tr>
      <w:bookmarkEnd w:id="12"/>
      <w:bookmarkEnd w:id="52"/>
    </w:tbl>
    <w:p w14:paraId="4FCB00D7">
      <w:pPr>
        <w:pStyle w:val="3"/>
        <w:overflowPunct w:val="0"/>
        <w:topLinePunct/>
        <w:adjustRightInd w:val="0"/>
        <w:snapToGrid w:val="0"/>
        <w:spacing w:before="312" w:beforeLines="100" w:after="156" w:afterLines="50" w:line="360" w:lineRule="auto"/>
        <w:jc w:val="center"/>
        <w:textAlignment w:val="top"/>
        <w:rPr>
          <w:rFonts w:ascii="黑体" w:hAnsi="黑体" w:eastAsia="黑体"/>
          <w:color w:val="auto"/>
          <w:sz w:val="36"/>
          <w:szCs w:val="36"/>
        </w:rPr>
      </w:pPr>
      <w:bookmarkStart w:id="53" w:name="_Toc155861781"/>
      <w:bookmarkStart w:id="54" w:name="_Hlk153919083"/>
      <w:r>
        <w:rPr>
          <w:rFonts w:ascii="黑体" w:hAnsi="黑体" w:eastAsia="黑体"/>
          <w:color w:val="auto"/>
          <w:sz w:val="36"/>
          <w:szCs w:val="36"/>
        </w:rPr>
        <w:t xml:space="preserve">3  </w:t>
      </w:r>
      <w:r>
        <w:rPr>
          <w:rFonts w:hint="eastAsia" w:ascii="黑体" w:hAnsi="黑体" w:eastAsia="黑体"/>
          <w:color w:val="auto"/>
          <w:sz w:val="36"/>
          <w:szCs w:val="36"/>
        </w:rPr>
        <w:t>风险分析</w:t>
      </w:r>
      <w:bookmarkEnd w:id="53"/>
    </w:p>
    <w:bookmarkEnd w:id="54"/>
    <w:p w14:paraId="517DD109">
      <w:pPr>
        <w:pStyle w:val="4"/>
        <w:overflowPunct w:val="0"/>
        <w:topLinePunct/>
        <w:adjustRightInd w:val="0"/>
        <w:snapToGrid w:val="0"/>
        <w:spacing w:before="0" w:after="0" w:line="360" w:lineRule="auto"/>
        <w:textAlignment w:val="top"/>
        <w:rPr>
          <w:rFonts w:ascii="Times New Roman" w:hAnsi="Times New Roman" w:eastAsia="黑体" w:cs="Times New Roman"/>
          <w:color w:val="auto"/>
          <w:sz w:val="30"/>
          <w:szCs w:val="30"/>
        </w:rPr>
      </w:pPr>
      <w:bookmarkStart w:id="55" w:name="_Toc155861782"/>
      <w:bookmarkStart w:id="56" w:name="_Hlk154594084"/>
      <w:bookmarkStart w:id="57" w:name="_Hlk153918944"/>
      <w:r>
        <w:rPr>
          <w:rFonts w:ascii="Times New Roman" w:hAnsi="Times New Roman" w:eastAsia="黑体" w:cs="Times New Roman"/>
          <w:color w:val="auto"/>
          <w:sz w:val="30"/>
          <w:szCs w:val="30"/>
        </w:rPr>
        <w:t xml:space="preserve">3.1  </w:t>
      </w:r>
      <w:r>
        <w:rPr>
          <w:rFonts w:hint="eastAsia" w:ascii="Times New Roman" w:hAnsi="Times New Roman" w:eastAsia="黑体" w:cs="Times New Roman"/>
          <w:color w:val="auto"/>
          <w:sz w:val="30"/>
          <w:szCs w:val="30"/>
        </w:rPr>
        <w:t>风险分析</w:t>
      </w:r>
      <w:bookmarkEnd w:id="55"/>
    </w:p>
    <w:bookmarkEnd w:id="56"/>
    <w:p w14:paraId="2B8A5BED">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唐王街道境内主要的火灾危险部位有：高层建筑、医院、养老院、学校、幼儿园、宾馆、酒店、商场、公共娱乐场所、文博单位、劳动密集型企业、企业中</w:t>
      </w:r>
      <w:r>
        <w:rPr>
          <w:rFonts w:hint="eastAsia" w:ascii="仿宋_GB2312" w:hAnsi="仿宋_GB2312" w:eastAsia="仿宋_GB2312" w:cs="仿宋_GB2312"/>
          <w:color w:val="auto"/>
          <w:lang w:eastAsia="zh-CN"/>
        </w:rPr>
        <w:t>的</w:t>
      </w:r>
      <w:r>
        <w:rPr>
          <w:rFonts w:hint="eastAsia" w:ascii="仿宋_GB2312" w:hAnsi="仿宋_GB2312" w:eastAsia="仿宋_GB2312" w:cs="仿宋_GB2312"/>
          <w:color w:val="auto"/>
        </w:rPr>
        <w:t>人员密集场所、易燃易爆场所、各种燃气管网、老旧场所、各类农贸市场、使用燃气的个户和经营户等。</w:t>
      </w:r>
    </w:p>
    <w:p w14:paraId="44C0B39F">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若消防安全管理不严，消防设施缺失缺陷，容易引起火灾事故发生。分析认为，街道辖区存在或出现以下情况时，可能会导致火灾事故发生：</w:t>
      </w:r>
    </w:p>
    <w:p w14:paraId="06B01A5C">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1. 火源管理缺陷。违规使用明火，动火施工无审批，生产或者营业期间，违规动火动焊作业；施工期间未落实现场看护人员，未提前清理可燃杂物和落实安全防护措施；违规存放、使用易燃易爆危险品；混合经营生产经营场所中动火施工不报告、不告知其他单位。</w:t>
      </w:r>
    </w:p>
    <w:p w14:paraId="7905E61D">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 电源管理缺陷。各种配电箱（柜）电线连接不规范；违章带负荷拉、合闸；电线电缆未穿管保护，直接穿越易燃可燃材料及墙体，开关、插座直接安装在易燃可燃材料上；照明灯具与可燃物未保持可靠安全距离，未采取隔热、散热等措施；违规使用未经产品质量认证的大功率电器或移动插排；电动自行车（蓄电池）违规在室内停放或充电。</w:t>
      </w:r>
    </w:p>
    <w:p w14:paraId="5512AA95">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3. 易燃可燃保温材料和装饰装修缺陷。人员密集场所室内保温材料燃烧性能不符合要求；违规使用聚丙烯、聚乙烯、聚氨酯、聚苯乙烯等材质的易燃可燃装饰材料尤其是塑料绿植，进行装饰装修；违章搭建易燃可燃材料夹芯彩钢板建筑；混合生产经营场所违规储存、使用易燃易爆危险品。</w:t>
      </w:r>
    </w:p>
    <w:p w14:paraId="75CA1ECF">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4. 安全疏散条件缺陷。疏散楼梯数量不足或设置不符合要求；违规占用、堵塞、封闭疏散通道、安全出口；在人员密集场所的门窗上设置影响逃生和灭火救援的障碍物；消防应急广播、消防应急照明、疏散指示标志未保持完好有效；医院、敬老院未将失能和行动不便患者安排在建筑较低楼层，在通道、楼梯间增加床位，影响人员疏散。</w:t>
      </w:r>
    </w:p>
    <w:p w14:paraId="129D70B1">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5. 防火分隔缺陷。未按要求设置防火分区；防火门、防火卷帘、防火墙等损坏严重，不具备防火分隔功能；电缆井、管道井等防火封堵不严密。</w:t>
      </w:r>
    </w:p>
    <w:p w14:paraId="3EFD4B8B">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6. 消防设施设备缺陷。未按要求设置室内消防栓系统，或水压、水量不能满足灭火需求；未按要求设置火灾自动报警、自动喷水灭火、气体灭火、防排烟等设施；消防设施系统损坏瘫痪无法正常使用，不具备防灭火功能。</w:t>
      </w:r>
    </w:p>
    <w:p w14:paraId="7B40502C">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7. 管理责任落实缺陷。未严格落实动火施工审批制度、夜间值班制度；未落实全员消防培训、疏散演练；消防控制室人员、电工、电焊工等特种作业人员未持证上岗，不掌握消防安全操作规程；保安、护工、宿管员等不熟悉安全出口，不具备组织逃生自救能力；医院、敬老院夜间无人值守或值班人员不具备组织人员疏散能力；擅自改变场所火灾危险性定性等。</w:t>
      </w:r>
    </w:p>
    <w:p w14:paraId="6A71AB6D">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8. 初期火灾处置缺陷。未按要求建立微型消防站或明确初期火灾扑救力量；未结合本单位实际制定可操作的灭火和应急疏散预案；扑灭初期火灾意识不足、能力不够等问题。</w:t>
      </w:r>
    </w:p>
    <w:p w14:paraId="67E9D0F6">
      <w:pPr>
        <w:pStyle w:val="4"/>
        <w:overflowPunct w:val="0"/>
        <w:topLinePunct/>
        <w:adjustRightInd w:val="0"/>
        <w:snapToGrid w:val="0"/>
        <w:spacing w:before="0" w:after="0" w:line="360" w:lineRule="auto"/>
        <w:textAlignment w:val="top"/>
        <w:rPr>
          <w:rFonts w:ascii="Times New Roman" w:hAnsi="Times New Roman" w:eastAsia="黑体" w:cs="Times New Roman"/>
          <w:color w:val="auto"/>
          <w:sz w:val="30"/>
          <w:szCs w:val="30"/>
        </w:rPr>
      </w:pPr>
      <w:bookmarkStart w:id="58" w:name="_Toc155861783"/>
      <w:r>
        <w:rPr>
          <w:rFonts w:ascii="Times New Roman" w:hAnsi="Times New Roman" w:eastAsia="黑体" w:cs="Times New Roman"/>
          <w:color w:val="auto"/>
          <w:sz w:val="30"/>
          <w:szCs w:val="30"/>
        </w:rPr>
        <w:t xml:space="preserve">3.2  </w:t>
      </w:r>
      <w:r>
        <w:rPr>
          <w:rFonts w:hint="eastAsia" w:ascii="Times New Roman" w:hAnsi="Times New Roman" w:eastAsia="黑体" w:cs="Times New Roman"/>
          <w:color w:val="auto"/>
          <w:sz w:val="30"/>
          <w:szCs w:val="30"/>
        </w:rPr>
        <w:t>事故分级</w:t>
      </w:r>
      <w:bookmarkEnd w:id="58"/>
    </w:p>
    <w:p w14:paraId="537E875B">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根据济南市历城区唐王街道可能发生的火灾的规模、危害后果及可控性，历城区唐王街道的火灾分为Ⅰ级、Ⅱ级、Ⅲ级。</w:t>
      </w:r>
    </w:p>
    <w:p w14:paraId="0D193A3E">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本预案关于事故应急级别及对应事故状态的划分，如表3.2-1所示。</w:t>
      </w:r>
    </w:p>
    <w:p w14:paraId="3F2211CD">
      <w:pPr>
        <w:overflowPunct w:val="0"/>
        <w:topLinePunct/>
        <w:adjustRightInd w:val="0"/>
        <w:snapToGrid w:val="0"/>
        <w:spacing w:before="78" w:beforeLines="25" w:after="78" w:afterLines="25"/>
        <w:jc w:val="center"/>
        <w:textAlignment w:val="top"/>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表 3.2-1  本预案火灾事故应急级别及对应的事故状态一览表</w:t>
      </w:r>
    </w:p>
    <w:tbl>
      <w:tblPr>
        <w:tblStyle w:val="20"/>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6131"/>
        <w:gridCol w:w="1811"/>
      </w:tblGrid>
      <w:tr w14:paraId="26C0D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tcMar>
              <w:top w:w="113" w:type="dxa"/>
              <w:left w:w="57" w:type="dxa"/>
              <w:bottom w:w="113" w:type="dxa"/>
              <w:right w:w="57" w:type="dxa"/>
            </w:tcMar>
          </w:tcPr>
          <w:p w14:paraId="034AF8CE">
            <w:pPr>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事故级别</w:t>
            </w:r>
          </w:p>
        </w:tc>
        <w:tc>
          <w:tcPr>
            <w:tcW w:w="6131" w:type="dxa"/>
            <w:tcMar>
              <w:top w:w="113" w:type="dxa"/>
              <w:left w:w="57" w:type="dxa"/>
              <w:bottom w:w="113" w:type="dxa"/>
              <w:right w:w="57" w:type="dxa"/>
            </w:tcMar>
          </w:tcPr>
          <w:p w14:paraId="5242821D">
            <w:pPr>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事故状态</w:t>
            </w:r>
          </w:p>
        </w:tc>
        <w:tc>
          <w:tcPr>
            <w:tcW w:w="1811" w:type="dxa"/>
            <w:tcMar>
              <w:top w:w="113" w:type="dxa"/>
              <w:left w:w="57" w:type="dxa"/>
              <w:bottom w:w="113" w:type="dxa"/>
              <w:right w:w="57" w:type="dxa"/>
            </w:tcMar>
          </w:tcPr>
          <w:p w14:paraId="7240A40E">
            <w:pPr>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应对主体</w:t>
            </w:r>
          </w:p>
        </w:tc>
      </w:tr>
      <w:tr w14:paraId="4F069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tcMar>
              <w:top w:w="113" w:type="dxa"/>
              <w:left w:w="57" w:type="dxa"/>
              <w:bottom w:w="113" w:type="dxa"/>
              <w:right w:w="57" w:type="dxa"/>
            </w:tcMar>
            <w:vAlign w:val="center"/>
          </w:tcPr>
          <w:p w14:paraId="68EF9348">
            <w:pPr>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Ⅰ级</w:t>
            </w:r>
          </w:p>
        </w:tc>
        <w:tc>
          <w:tcPr>
            <w:tcW w:w="6131" w:type="dxa"/>
            <w:tcMar>
              <w:top w:w="113" w:type="dxa"/>
              <w:left w:w="57" w:type="dxa"/>
              <w:bottom w:w="113" w:type="dxa"/>
              <w:right w:w="57" w:type="dxa"/>
            </w:tcMar>
            <w:vAlign w:val="center"/>
          </w:tcPr>
          <w:p w14:paraId="1BDF52EB">
            <w:pPr>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5人以上重伤、2人以上死亡，或者直接经济损失500万元以上的事故。</w:t>
            </w:r>
          </w:p>
        </w:tc>
        <w:tc>
          <w:tcPr>
            <w:tcW w:w="1811" w:type="dxa"/>
            <w:tcMar>
              <w:top w:w="113" w:type="dxa"/>
              <w:left w:w="57" w:type="dxa"/>
              <w:bottom w:w="113" w:type="dxa"/>
              <w:right w:w="57" w:type="dxa"/>
            </w:tcMar>
            <w:vAlign w:val="center"/>
          </w:tcPr>
          <w:p w14:paraId="203A873E">
            <w:pPr>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区级以上相关政府或部门</w:t>
            </w:r>
          </w:p>
        </w:tc>
      </w:tr>
      <w:tr w14:paraId="0F556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tcMar>
              <w:top w:w="113" w:type="dxa"/>
              <w:left w:w="57" w:type="dxa"/>
              <w:bottom w:w="113" w:type="dxa"/>
              <w:right w:w="57" w:type="dxa"/>
            </w:tcMar>
            <w:vAlign w:val="center"/>
          </w:tcPr>
          <w:p w14:paraId="435596E1">
            <w:pPr>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Ⅱ级</w:t>
            </w:r>
          </w:p>
        </w:tc>
        <w:tc>
          <w:tcPr>
            <w:tcW w:w="6131" w:type="dxa"/>
            <w:tcMar>
              <w:top w:w="113" w:type="dxa"/>
              <w:left w:w="57" w:type="dxa"/>
              <w:bottom w:w="113" w:type="dxa"/>
              <w:right w:w="57" w:type="dxa"/>
            </w:tcMar>
            <w:vAlign w:val="center"/>
          </w:tcPr>
          <w:p w14:paraId="44053521">
            <w:pPr>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5人以下重伤、2人以下死亡，或者直接经济损失500万元以下的事故，且事故单位不能自行处置的。</w:t>
            </w:r>
          </w:p>
        </w:tc>
        <w:tc>
          <w:tcPr>
            <w:tcW w:w="1811" w:type="dxa"/>
            <w:tcMar>
              <w:top w:w="113" w:type="dxa"/>
              <w:left w:w="57" w:type="dxa"/>
              <w:bottom w:w="113" w:type="dxa"/>
              <w:right w:w="57" w:type="dxa"/>
            </w:tcMar>
            <w:vAlign w:val="center"/>
          </w:tcPr>
          <w:p w14:paraId="5050FB0B">
            <w:pPr>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街道应急组织</w:t>
            </w:r>
          </w:p>
        </w:tc>
      </w:tr>
      <w:tr w14:paraId="50515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tcMar>
              <w:top w:w="113" w:type="dxa"/>
              <w:left w:w="57" w:type="dxa"/>
              <w:bottom w:w="113" w:type="dxa"/>
              <w:right w:w="57" w:type="dxa"/>
            </w:tcMar>
            <w:vAlign w:val="center"/>
          </w:tcPr>
          <w:p w14:paraId="4965CCC6">
            <w:pPr>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Ⅲ级</w:t>
            </w:r>
          </w:p>
        </w:tc>
        <w:tc>
          <w:tcPr>
            <w:tcW w:w="6131" w:type="dxa"/>
            <w:tcMar>
              <w:top w:w="113" w:type="dxa"/>
              <w:left w:w="57" w:type="dxa"/>
              <w:bottom w:w="113" w:type="dxa"/>
              <w:right w:w="57" w:type="dxa"/>
            </w:tcMar>
            <w:vAlign w:val="center"/>
          </w:tcPr>
          <w:p w14:paraId="46EEE242">
            <w:pPr>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5人以下重伤、2人以下死亡，或者直接经济损失500万元以下的事故，且事故单位能自行处置的。</w:t>
            </w:r>
          </w:p>
        </w:tc>
        <w:tc>
          <w:tcPr>
            <w:tcW w:w="1811" w:type="dxa"/>
            <w:tcMar>
              <w:top w:w="113" w:type="dxa"/>
              <w:left w:w="57" w:type="dxa"/>
              <w:bottom w:w="113" w:type="dxa"/>
              <w:right w:w="57" w:type="dxa"/>
            </w:tcMar>
            <w:vAlign w:val="center"/>
          </w:tcPr>
          <w:p w14:paraId="786F1E21">
            <w:pPr>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事故单位自行处置；街道协助处置</w:t>
            </w:r>
          </w:p>
        </w:tc>
      </w:tr>
      <w:tr w14:paraId="684A1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8959" w:type="dxa"/>
            <w:gridSpan w:val="3"/>
            <w:tcMar>
              <w:top w:w="113" w:type="dxa"/>
              <w:left w:w="57" w:type="dxa"/>
              <w:bottom w:w="113" w:type="dxa"/>
              <w:right w:w="57" w:type="dxa"/>
            </w:tcMar>
            <w:vAlign w:val="center"/>
          </w:tcPr>
          <w:p w14:paraId="33750C76">
            <w:pPr>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注：表中“以上”包括本数，“以下”不包括本数。</w:t>
            </w:r>
          </w:p>
        </w:tc>
      </w:tr>
    </w:tbl>
    <w:p w14:paraId="6626BC90">
      <w:pPr>
        <w:pStyle w:val="3"/>
        <w:overflowPunct w:val="0"/>
        <w:topLinePunct/>
        <w:adjustRightInd w:val="0"/>
        <w:snapToGrid w:val="0"/>
        <w:spacing w:before="312" w:beforeLines="100" w:after="156" w:afterLines="50" w:line="360" w:lineRule="auto"/>
        <w:jc w:val="center"/>
        <w:textAlignment w:val="top"/>
        <w:rPr>
          <w:rFonts w:ascii="黑体" w:hAnsi="黑体" w:eastAsia="黑体"/>
          <w:color w:val="auto"/>
          <w:sz w:val="36"/>
          <w:szCs w:val="36"/>
        </w:rPr>
      </w:pPr>
      <w:bookmarkStart w:id="59" w:name="_Toc155861784"/>
      <w:r>
        <w:rPr>
          <w:rFonts w:ascii="黑体" w:hAnsi="黑体" w:eastAsia="黑体"/>
          <w:color w:val="auto"/>
          <w:sz w:val="36"/>
          <w:szCs w:val="36"/>
        </w:rPr>
        <w:t xml:space="preserve">4  </w:t>
      </w:r>
      <w:r>
        <w:rPr>
          <w:rFonts w:hint="eastAsia" w:ascii="黑体" w:hAnsi="黑体" w:eastAsia="黑体"/>
          <w:color w:val="auto"/>
          <w:sz w:val="36"/>
          <w:szCs w:val="36"/>
        </w:rPr>
        <w:t>应急响应</w:t>
      </w:r>
      <w:bookmarkEnd w:id="59"/>
    </w:p>
    <w:p w14:paraId="3A9BA84B">
      <w:pPr>
        <w:pStyle w:val="4"/>
        <w:overflowPunct w:val="0"/>
        <w:topLinePunct/>
        <w:adjustRightInd w:val="0"/>
        <w:snapToGrid w:val="0"/>
        <w:spacing w:before="156" w:beforeLines="50" w:after="0" w:line="360" w:lineRule="auto"/>
        <w:textAlignment w:val="top"/>
        <w:rPr>
          <w:rFonts w:ascii="Times New Roman" w:hAnsi="Times New Roman" w:eastAsia="黑体" w:cs="Times New Roman"/>
          <w:color w:val="auto"/>
          <w:sz w:val="30"/>
          <w:szCs w:val="30"/>
        </w:rPr>
      </w:pPr>
      <w:bookmarkStart w:id="60" w:name="_Toc155861785"/>
      <w:bookmarkStart w:id="61" w:name="_Hlk154593389"/>
      <w:r>
        <w:rPr>
          <w:rFonts w:ascii="Times New Roman" w:hAnsi="Times New Roman" w:eastAsia="黑体" w:cs="Times New Roman"/>
          <w:color w:val="auto"/>
          <w:sz w:val="30"/>
          <w:szCs w:val="30"/>
        </w:rPr>
        <w:t xml:space="preserve">4.1  </w:t>
      </w:r>
      <w:r>
        <w:rPr>
          <w:rFonts w:hint="eastAsia" w:ascii="Times New Roman" w:hAnsi="Times New Roman" w:eastAsia="黑体" w:cs="Times New Roman"/>
          <w:color w:val="auto"/>
          <w:sz w:val="30"/>
          <w:szCs w:val="30"/>
        </w:rPr>
        <w:t>信息报告</w:t>
      </w:r>
      <w:bookmarkEnd w:id="60"/>
    </w:p>
    <w:bookmarkEnd w:id="61"/>
    <w:p w14:paraId="3211E87A">
      <w:pPr>
        <w:pStyle w:val="5"/>
        <w:overflowPunct w:val="0"/>
        <w:topLinePunct/>
        <w:adjustRightInd w:val="0"/>
        <w:snapToGrid w:val="0"/>
        <w:spacing w:before="0" w:after="0" w:line="360" w:lineRule="auto"/>
        <w:textAlignment w:val="top"/>
        <w:rPr>
          <w:rFonts w:hint="eastAsia" w:ascii="仿宋_GB2312" w:hAnsi="仿宋_GB2312" w:eastAsia="仿宋_GB2312" w:cs="仿宋_GB2312"/>
          <w:color w:val="auto"/>
          <w:sz w:val="28"/>
          <w:szCs w:val="28"/>
        </w:rPr>
      </w:pPr>
      <w:bookmarkStart w:id="62" w:name="_Toc155861786"/>
      <w:bookmarkStart w:id="63" w:name="_Toc154202602"/>
      <w:r>
        <w:rPr>
          <w:rFonts w:hint="eastAsia" w:ascii="仿宋_GB2312" w:hAnsi="仿宋_GB2312" w:eastAsia="仿宋_GB2312" w:cs="仿宋_GB2312"/>
          <w:color w:val="auto"/>
          <w:sz w:val="28"/>
          <w:szCs w:val="28"/>
        </w:rPr>
        <w:t>4.1.1  应急值守电话</w:t>
      </w:r>
      <w:bookmarkEnd w:id="62"/>
      <w:bookmarkEnd w:id="63"/>
    </w:p>
    <w:p w14:paraId="1161C68E">
      <w:pPr>
        <w:widowControl/>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唐王街道设置应急办公室。应急办公室是唐王街道应急管理委员会下属的办公机构，在唐王街道应急管理委员会的领导下进行工作。</w:t>
      </w:r>
    </w:p>
    <w:p w14:paraId="21836213">
      <w:pPr>
        <w:widowControl/>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唐王街道应急办设有应急联系电话，实行24小时电话畅通。</w:t>
      </w:r>
    </w:p>
    <w:p w14:paraId="27AF7051">
      <w:pPr>
        <w:widowControl/>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唐王街道应急联系电话为：0531-88705080</w:t>
      </w:r>
    </w:p>
    <w:p w14:paraId="67FB2232">
      <w:pPr>
        <w:pStyle w:val="5"/>
        <w:overflowPunct w:val="0"/>
        <w:topLinePunct/>
        <w:adjustRightInd w:val="0"/>
        <w:snapToGrid w:val="0"/>
        <w:spacing w:before="0" w:after="0" w:line="360" w:lineRule="auto"/>
        <w:textAlignment w:val="top"/>
        <w:rPr>
          <w:rFonts w:hint="eastAsia" w:ascii="仿宋_GB2312" w:hAnsi="仿宋_GB2312" w:eastAsia="仿宋_GB2312" w:cs="仿宋_GB2312"/>
          <w:color w:val="auto"/>
          <w:sz w:val="28"/>
          <w:szCs w:val="28"/>
        </w:rPr>
      </w:pPr>
      <w:bookmarkStart w:id="64" w:name="_Toc155861787"/>
      <w:bookmarkStart w:id="65" w:name="_Toc154202603"/>
      <w:bookmarkStart w:id="66" w:name="_Hlk154599139"/>
      <w:r>
        <w:rPr>
          <w:rFonts w:hint="eastAsia" w:ascii="仿宋_GB2312" w:hAnsi="仿宋_GB2312" w:eastAsia="仿宋_GB2312" w:cs="仿宋_GB2312"/>
          <w:color w:val="auto"/>
          <w:sz w:val="28"/>
          <w:szCs w:val="28"/>
        </w:rPr>
        <w:t>4.1.2  事故信息报警</w:t>
      </w:r>
      <w:bookmarkEnd w:id="64"/>
      <w:bookmarkEnd w:id="65"/>
    </w:p>
    <w:bookmarkEnd w:id="66"/>
    <w:p w14:paraId="20687FF5">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街道辖区村（社区）或单位发生火灾事故后，事故现场有关人员应当立即报告村（社区）或单位负责人。村（社区）或单位负责人接到报告后，应立即采取应急救援措施，并同时上报唐王街道应急办公室。</w:t>
      </w:r>
    </w:p>
    <w:p w14:paraId="659823DE">
      <w:pPr>
        <w:pStyle w:val="5"/>
        <w:overflowPunct w:val="0"/>
        <w:topLinePunct/>
        <w:adjustRightInd w:val="0"/>
        <w:snapToGrid w:val="0"/>
        <w:spacing w:before="0" w:after="0" w:line="360" w:lineRule="auto"/>
        <w:textAlignment w:val="top"/>
        <w:rPr>
          <w:rFonts w:hint="eastAsia" w:ascii="仿宋_GB2312" w:hAnsi="仿宋_GB2312" w:eastAsia="仿宋_GB2312" w:cs="仿宋_GB2312"/>
          <w:color w:val="auto"/>
          <w:sz w:val="28"/>
          <w:szCs w:val="28"/>
        </w:rPr>
      </w:pPr>
      <w:bookmarkStart w:id="67" w:name="_Toc155861788"/>
      <w:bookmarkStart w:id="68" w:name="_Hlk154599245"/>
      <w:r>
        <w:rPr>
          <w:rFonts w:hint="eastAsia" w:ascii="仿宋_GB2312" w:hAnsi="仿宋_GB2312" w:eastAsia="仿宋_GB2312" w:cs="仿宋_GB2312"/>
          <w:color w:val="auto"/>
          <w:sz w:val="28"/>
          <w:szCs w:val="28"/>
        </w:rPr>
        <w:t>4.1.3  事故信息接警</w:t>
      </w:r>
      <w:bookmarkEnd w:id="67"/>
    </w:p>
    <w:bookmarkEnd w:id="68"/>
    <w:p w14:paraId="7BFC09E1">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街道设立应急办公室，负责火灾事故信息的接收工作。街道应急办公室接到火灾事故的险情报警后，应用最快的时间问明事故地点、发生时间、事故性质、伤亡人数以及报告人姓名等基本情况，并做好记录；同时，应采用电话、手机等方式，将火灾事故的基本情况立即向街道应急指挥部总指挥汇报，总指挥电话不通联系不上时，依次向指挥部副指挥、成员汇报。同时，应急办公室人员可根据指挥部事先的应急授权，采取临时紧急措施，组织有关人员前往事故现场了解情况和应急处置。</w:t>
      </w:r>
    </w:p>
    <w:p w14:paraId="415A3F2B">
      <w:pPr>
        <w:pStyle w:val="5"/>
        <w:overflowPunct w:val="0"/>
        <w:topLinePunct/>
        <w:adjustRightInd w:val="0"/>
        <w:snapToGrid w:val="0"/>
        <w:spacing w:before="0" w:after="0" w:line="360" w:lineRule="auto"/>
        <w:textAlignment w:val="top"/>
        <w:rPr>
          <w:rFonts w:hint="eastAsia" w:ascii="仿宋_GB2312" w:hAnsi="仿宋_GB2312" w:eastAsia="仿宋_GB2312" w:cs="仿宋_GB2312"/>
          <w:color w:val="auto"/>
          <w:sz w:val="28"/>
          <w:szCs w:val="28"/>
        </w:rPr>
      </w:pPr>
      <w:bookmarkStart w:id="69" w:name="_Toc155861789"/>
      <w:r>
        <w:rPr>
          <w:rFonts w:hint="eastAsia" w:ascii="仿宋_GB2312" w:hAnsi="仿宋_GB2312" w:eastAsia="仿宋_GB2312" w:cs="仿宋_GB2312"/>
          <w:color w:val="auto"/>
          <w:sz w:val="28"/>
          <w:szCs w:val="28"/>
        </w:rPr>
        <w:t>4.1.4  事故信息处置</w:t>
      </w:r>
      <w:bookmarkEnd w:id="69"/>
    </w:p>
    <w:p w14:paraId="529957AE">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bookmarkStart w:id="70" w:name="_Hlk55058432"/>
      <w:bookmarkStart w:id="71" w:name="_Hlk54902912"/>
      <w:r>
        <w:rPr>
          <w:rFonts w:hint="eastAsia" w:ascii="仿宋_GB2312" w:hAnsi="仿宋_GB2312" w:eastAsia="仿宋_GB2312" w:cs="仿宋_GB2312"/>
          <w:color w:val="auto"/>
        </w:rPr>
        <w:t>街道应急办接到事故报警后，应立即向街道应急指挥部汇报。街道应急指挥部对事故信息进行分析和研判后，应根据不同事态情况作出相应决定。</w:t>
      </w:r>
    </w:p>
    <w:bookmarkEnd w:id="70"/>
    <w:bookmarkEnd w:id="71"/>
    <w:p w14:paraId="60BC7279">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bookmarkStart w:id="72" w:name="_Hlk55034311"/>
      <w:r>
        <w:rPr>
          <w:rFonts w:hint="eastAsia" w:ascii="仿宋_GB2312" w:hAnsi="仿宋_GB2312" w:eastAsia="仿宋_GB2312" w:cs="仿宋_GB2312"/>
          <w:color w:val="auto"/>
        </w:rPr>
        <w:t>1. 事故发生的可能性小，达不到预警及处置启动条件，且已采取措施得到有效处置，此种情况下，应急指挥部可作出不启动预警及处置决定。</w:t>
      </w:r>
    </w:p>
    <w:p w14:paraId="0BD7CF49">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 事故尚未发生，但有发生或扩大风险，需要采取措施进行应急准备，此种情况下，应急指挥部应作出启动应急预警的决定。</w:t>
      </w:r>
    </w:p>
    <w:p w14:paraId="10F677AB">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3. 事故已经发生或者即将发生，需要立即采取措施进行应急处置，此种情况下，应急指挥部应作出启动应急响应的决定。</w:t>
      </w:r>
    </w:p>
    <w:bookmarkEnd w:id="72"/>
    <w:p w14:paraId="6EA769BA">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bookmarkStart w:id="73" w:name="_Hlk55041693"/>
      <w:bookmarkStart w:id="74" w:name="_Hlk154608553"/>
      <w:r>
        <w:rPr>
          <w:rFonts w:hint="eastAsia" w:ascii="仿宋_GB2312" w:hAnsi="仿宋_GB2312" w:eastAsia="仿宋_GB2312" w:cs="仿宋_GB2312"/>
          <w:color w:val="auto"/>
        </w:rPr>
        <w:t>街道应急指挥部对火灾事故报警信息的处置</w:t>
      </w:r>
      <w:bookmarkEnd w:id="73"/>
      <w:r>
        <w:rPr>
          <w:rFonts w:hint="eastAsia" w:ascii="仿宋_GB2312" w:hAnsi="仿宋_GB2312" w:eastAsia="仿宋_GB2312" w:cs="仿宋_GB2312"/>
          <w:color w:val="auto"/>
        </w:rPr>
        <w:t>流程</w:t>
      </w:r>
      <w:bookmarkEnd w:id="74"/>
      <w:r>
        <w:rPr>
          <w:rFonts w:hint="eastAsia" w:ascii="仿宋_GB2312" w:hAnsi="仿宋_GB2312" w:eastAsia="仿宋_GB2312" w:cs="仿宋_GB2312"/>
          <w:color w:val="auto"/>
        </w:rPr>
        <w:t>，如图4.1-1所示。</w:t>
      </w:r>
    </w:p>
    <w:p w14:paraId="4A7401DD">
      <w:pPr>
        <w:overflowPunct w:val="0"/>
        <w:topLinePunct/>
        <w:adjustRightInd w:val="0"/>
        <w:snapToGrid w:val="0"/>
        <w:spacing w:line="360" w:lineRule="auto"/>
        <w:jc w:val="center"/>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drawing>
          <wp:inline distT="0" distB="0" distL="0" distR="0">
            <wp:extent cx="5039995" cy="3599815"/>
            <wp:effectExtent l="0" t="0" r="8255" b="635"/>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6"/>
                    <a:srcRect l="19774" t="22579" r="26387" b="18915"/>
                    <a:stretch>
                      <a:fillRect/>
                    </a:stretch>
                  </pic:blipFill>
                  <pic:spPr>
                    <a:xfrm>
                      <a:off x="0" y="0"/>
                      <a:ext cx="5040000" cy="3600000"/>
                    </a:xfrm>
                    <a:prstGeom prst="rect">
                      <a:avLst/>
                    </a:prstGeom>
                    <a:ln>
                      <a:noFill/>
                    </a:ln>
                  </pic:spPr>
                </pic:pic>
              </a:graphicData>
            </a:graphic>
          </wp:inline>
        </w:drawing>
      </w:r>
    </w:p>
    <w:p w14:paraId="356F39C7">
      <w:pPr>
        <w:overflowPunct w:val="0"/>
        <w:topLinePunct/>
        <w:adjustRightInd w:val="0"/>
        <w:snapToGrid w:val="0"/>
        <w:spacing w:after="156" w:afterLines="50" w:line="360" w:lineRule="auto"/>
        <w:jc w:val="center"/>
        <w:textAlignment w:val="top"/>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图 4.1-1  街道应急指挥部对火灾事故报警信息的处置流程图</w:t>
      </w:r>
    </w:p>
    <w:p w14:paraId="6732D0A9">
      <w:pPr>
        <w:pStyle w:val="5"/>
        <w:overflowPunct w:val="0"/>
        <w:topLinePunct/>
        <w:adjustRightInd w:val="0"/>
        <w:snapToGrid w:val="0"/>
        <w:spacing w:before="0" w:after="0" w:line="360" w:lineRule="auto"/>
        <w:textAlignment w:val="top"/>
        <w:rPr>
          <w:rFonts w:hint="eastAsia" w:ascii="仿宋_GB2312" w:hAnsi="仿宋_GB2312" w:eastAsia="仿宋_GB2312" w:cs="仿宋_GB2312"/>
          <w:color w:val="auto"/>
          <w:sz w:val="28"/>
          <w:szCs w:val="28"/>
        </w:rPr>
      </w:pPr>
      <w:bookmarkStart w:id="75" w:name="_Toc154202605"/>
      <w:bookmarkStart w:id="76" w:name="_Toc155861790"/>
      <w:r>
        <w:rPr>
          <w:rFonts w:hint="eastAsia" w:ascii="仿宋_GB2312" w:hAnsi="仿宋_GB2312" w:eastAsia="仿宋_GB2312" w:cs="仿宋_GB2312"/>
          <w:color w:val="auto"/>
          <w:sz w:val="28"/>
          <w:szCs w:val="28"/>
        </w:rPr>
        <w:t>4.1.5  事故信息通报</w:t>
      </w:r>
      <w:bookmarkEnd w:id="75"/>
      <w:bookmarkEnd w:id="76"/>
    </w:p>
    <w:p w14:paraId="35A1B960">
      <w:pPr>
        <w:widowControl/>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对需要进行预警或者应急处置的火灾事故，由街道应急办公室负责，向街道内可能受火灾事故影响的其他单位及人员传达火灾事故信息，安排其他单位及人员做好预警或者应急处置准备。</w:t>
      </w:r>
    </w:p>
    <w:p w14:paraId="41960BDF">
      <w:pPr>
        <w:widowControl/>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通报时限：街道应急办公室接到火灾事故险情报警后，在应急指挥部的指令下，应及时安排有关单位及人员做好预警或者应急处置准备。</w:t>
      </w:r>
    </w:p>
    <w:p w14:paraId="56FB4BB6">
      <w:pPr>
        <w:widowControl/>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通报方式：可采用广播、电视、新闻网站、传真、电话、手机、微信、短信、QQ、有线广播、高音喇叭等方式。</w:t>
      </w:r>
    </w:p>
    <w:p w14:paraId="19B199E2">
      <w:pPr>
        <w:pStyle w:val="5"/>
        <w:overflowPunct w:val="0"/>
        <w:topLinePunct/>
        <w:adjustRightInd w:val="0"/>
        <w:snapToGrid w:val="0"/>
        <w:spacing w:before="0" w:after="0" w:line="360" w:lineRule="auto"/>
        <w:textAlignment w:val="top"/>
        <w:rPr>
          <w:rFonts w:hint="eastAsia" w:ascii="仿宋_GB2312" w:hAnsi="仿宋_GB2312" w:eastAsia="仿宋_GB2312" w:cs="仿宋_GB2312"/>
          <w:color w:val="auto"/>
          <w:sz w:val="28"/>
          <w:szCs w:val="28"/>
        </w:rPr>
      </w:pPr>
      <w:bookmarkStart w:id="77" w:name="_Toc155861791"/>
      <w:bookmarkStart w:id="78" w:name="_Toc154202606"/>
      <w:r>
        <w:rPr>
          <w:rFonts w:hint="eastAsia" w:ascii="仿宋_GB2312" w:hAnsi="仿宋_GB2312" w:eastAsia="仿宋_GB2312" w:cs="仿宋_GB2312"/>
          <w:color w:val="auto"/>
          <w:sz w:val="28"/>
          <w:szCs w:val="28"/>
        </w:rPr>
        <w:t>4.1.6  事故信息上报</w:t>
      </w:r>
      <w:bookmarkEnd w:id="77"/>
      <w:bookmarkEnd w:id="78"/>
    </w:p>
    <w:p w14:paraId="09EA3603">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街道发生火灾事故险情后，指挥部在了解现场事故情况并采取应急措施后，应根据事故已有的后果或可能发生的后果情况，按规定的时限和程序，向上级有关部门进行信息上报。</w:t>
      </w:r>
    </w:p>
    <w:p w14:paraId="77CA01A5">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信息上报条件：初估达到Ⅰ级时，向上级政府或有关部门报告。</w:t>
      </w:r>
    </w:p>
    <w:p w14:paraId="74C6002C">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信息上报部门：历城区应急管理局；对按要求需要向公安、消防、环保等部门汇报的，也应按要求向有关部门汇报。</w:t>
      </w:r>
    </w:p>
    <w:p w14:paraId="1EAC55E9">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信息上报时限：街道接到报告</w:t>
      </w:r>
      <w:r>
        <w:rPr>
          <w:rFonts w:hint="eastAsia" w:ascii="仿宋_GB2312" w:hAnsi="仿宋_GB2312" w:eastAsia="仿宋_GB2312" w:cs="仿宋_GB2312"/>
          <w:color w:val="auto"/>
          <w:lang w:eastAsia="zh-CN"/>
        </w:rPr>
        <w:t>后</w:t>
      </w:r>
      <w:r>
        <w:rPr>
          <w:rFonts w:hint="eastAsia" w:ascii="仿宋_GB2312" w:hAnsi="仿宋_GB2312" w:eastAsia="仿宋_GB2312" w:cs="仿宋_GB2312"/>
          <w:color w:val="auto"/>
        </w:rPr>
        <w:t>，必须在1小时内上报。</w:t>
      </w:r>
    </w:p>
    <w:p w14:paraId="047D138E">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信息上报方式：先电话，后书面；其内容和格式，应执行政府及有关部门要求；政府及有关部门无具体要求时，按照本预案格式化文本上报。</w:t>
      </w:r>
    </w:p>
    <w:p w14:paraId="4DFD3AD7">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信息上报内容：事故发生时间、地点、单位；事故的简要经过、伤亡人数，直接经济损失的初步估计；事故发生的初步原因的初步判断等。</w:t>
      </w:r>
    </w:p>
    <w:p w14:paraId="1E7BAFB2">
      <w:pPr>
        <w:pStyle w:val="5"/>
        <w:overflowPunct w:val="0"/>
        <w:topLinePunct/>
        <w:adjustRightInd w:val="0"/>
        <w:snapToGrid w:val="0"/>
        <w:spacing w:before="0" w:after="0" w:line="360" w:lineRule="auto"/>
        <w:textAlignment w:val="top"/>
        <w:rPr>
          <w:rFonts w:hint="eastAsia" w:ascii="仿宋_GB2312" w:hAnsi="仿宋_GB2312" w:eastAsia="仿宋_GB2312" w:cs="仿宋_GB2312"/>
          <w:color w:val="auto"/>
          <w:sz w:val="28"/>
          <w:szCs w:val="28"/>
        </w:rPr>
      </w:pPr>
      <w:bookmarkStart w:id="79" w:name="_Toc155861792"/>
      <w:r>
        <w:rPr>
          <w:rFonts w:hint="eastAsia" w:ascii="仿宋_GB2312" w:hAnsi="仿宋_GB2312" w:eastAsia="仿宋_GB2312" w:cs="仿宋_GB2312"/>
          <w:color w:val="auto"/>
          <w:sz w:val="28"/>
          <w:szCs w:val="28"/>
        </w:rPr>
        <w:t>4.1.7  事故补报续报</w:t>
      </w:r>
      <w:bookmarkEnd w:id="79"/>
    </w:p>
    <w:p w14:paraId="021A15C1">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在事故上报的基础上，根据上报内容的完整情况，对事故要素不完整、事故情况不清晰的，应根据实际情况及时进行补报、续报，直至救援结束。</w:t>
      </w:r>
    </w:p>
    <w:p w14:paraId="233E02DA">
      <w:pPr>
        <w:pStyle w:val="4"/>
        <w:overflowPunct w:val="0"/>
        <w:topLinePunct/>
        <w:adjustRightInd w:val="0"/>
        <w:snapToGrid w:val="0"/>
        <w:spacing w:before="0" w:after="0" w:line="360" w:lineRule="auto"/>
        <w:textAlignment w:val="top"/>
        <w:rPr>
          <w:rFonts w:ascii="Times New Roman" w:hAnsi="Times New Roman" w:eastAsia="黑体" w:cs="Times New Roman"/>
          <w:color w:val="auto"/>
          <w:sz w:val="30"/>
          <w:szCs w:val="30"/>
        </w:rPr>
      </w:pPr>
      <w:bookmarkStart w:id="80" w:name="_Toc155861793"/>
      <w:r>
        <w:rPr>
          <w:rFonts w:ascii="Times New Roman" w:hAnsi="Times New Roman" w:eastAsia="黑体" w:cs="Times New Roman"/>
          <w:color w:val="auto"/>
          <w:sz w:val="30"/>
          <w:szCs w:val="30"/>
        </w:rPr>
        <w:t xml:space="preserve">4.2  </w:t>
      </w:r>
      <w:r>
        <w:rPr>
          <w:rFonts w:hint="eastAsia" w:ascii="Times New Roman" w:hAnsi="Times New Roman" w:eastAsia="黑体" w:cs="Times New Roman"/>
          <w:color w:val="auto"/>
          <w:sz w:val="30"/>
          <w:szCs w:val="30"/>
        </w:rPr>
        <w:t>预警</w:t>
      </w:r>
      <w:bookmarkEnd w:id="80"/>
    </w:p>
    <w:p w14:paraId="1785B250">
      <w:pPr>
        <w:pStyle w:val="5"/>
        <w:overflowPunct w:val="0"/>
        <w:topLinePunct/>
        <w:adjustRightInd w:val="0"/>
        <w:snapToGrid w:val="0"/>
        <w:spacing w:before="0" w:after="0" w:line="360" w:lineRule="auto"/>
        <w:textAlignment w:val="top"/>
        <w:rPr>
          <w:rFonts w:hint="eastAsia" w:ascii="仿宋_GB2312" w:hAnsi="仿宋_GB2312" w:eastAsia="仿宋_GB2312" w:cs="仿宋_GB2312"/>
          <w:color w:val="auto"/>
          <w:sz w:val="28"/>
          <w:szCs w:val="28"/>
        </w:rPr>
      </w:pPr>
      <w:bookmarkStart w:id="81" w:name="_Toc155861794"/>
      <w:r>
        <w:rPr>
          <w:rFonts w:hint="eastAsia" w:ascii="仿宋_GB2312" w:hAnsi="仿宋_GB2312" w:eastAsia="仿宋_GB2312" w:cs="仿宋_GB2312"/>
          <w:color w:val="auto"/>
          <w:sz w:val="28"/>
          <w:szCs w:val="28"/>
        </w:rPr>
        <w:t>4.2.1  预警级别划分</w:t>
      </w:r>
      <w:bookmarkEnd w:id="81"/>
    </w:p>
    <w:p w14:paraId="7F05DCCA">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本预案按照唐王街道辖区可能发生的火灾事故级别，将火灾事故的预警级别由高到低划分为一级、二级、三级，一级最高，三级最低，分别针对Ⅰ级、Ⅱ级、Ⅲ级火灾事故，依次用红色、黄色和蓝色为标志进行预警。本预案</w:t>
      </w:r>
      <w:bookmarkStart w:id="82" w:name="_Hlk108283520"/>
      <w:r>
        <w:rPr>
          <w:rFonts w:hint="eastAsia" w:ascii="仿宋_GB2312" w:hAnsi="仿宋_GB2312" w:eastAsia="仿宋_GB2312" w:cs="仿宋_GB2312"/>
          <w:color w:val="auto"/>
        </w:rPr>
        <w:t>关于不同等级火灾事故的预警级别及预警行动等情况</w:t>
      </w:r>
      <w:bookmarkEnd w:id="82"/>
      <w:r>
        <w:rPr>
          <w:rFonts w:hint="eastAsia" w:ascii="仿宋_GB2312" w:hAnsi="仿宋_GB2312" w:eastAsia="仿宋_GB2312" w:cs="仿宋_GB2312"/>
          <w:color w:val="auto"/>
        </w:rPr>
        <w:t>，如表4.2-1所示。</w:t>
      </w:r>
    </w:p>
    <w:p w14:paraId="20B0A50B">
      <w:pPr>
        <w:widowControl/>
        <w:overflowPunct w:val="0"/>
        <w:topLinePunct/>
        <w:adjustRightInd w:val="0"/>
        <w:snapToGrid w:val="0"/>
        <w:spacing w:before="78" w:beforeLines="25" w:after="78" w:afterLines="25"/>
        <w:jc w:val="center"/>
        <w:textAlignment w:val="top"/>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表 4.2-1  本预案关于不同等级火灾事故的预警级别及预警行动情况一览表</w:t>
      </w:r>
    </w:p>
    <w:tbl>
      <w:tblPr>
        <w:tblStyle w:val="20"/>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658"/>
        <w:gridCol w:w="2100"/>
        <w:gridCol w:w="1428"/>
        <w:gridCol w:w="1441"/>
        <w:gridCol w:w="2357"/>
      </w:tblGrid>
      <w:tr w14:paraId="2F95D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75" w:type="dxa"/>
            <w:tcMar>
              <w:top w:w="113" w:type="dxa"/>
              <w:left w:w="57" w:type="dxa"/>
              <w:bottom w:w="113" w:type="dxa"/>
              <w:right w:w="57" w:type="dxa"/>
            </w:tcMar>
            <w:vAlign w:val="center"/>
          </w:tcPr>
          <w:p w14:paraId="07BA63C3">
            <w:pPr>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预警级别</w:t>
            </w:r>
          </w:p>
        </w:tc>
        <w:tc>
          <w:tcPr>
            <w:tcW w:w="658" w:type="dxa"/>
            <w:tcMar>
              <w:top w:w="113" w:type="dxa"/>
              <w:left w:w="57" w:type="dxa"/>
              <w:bottom w:w="113" w:type="dxa"/>
              <w:right w:w="57" w:type="dxa"/>
            </w:tcMar>
            <w:vAlign w:val="center"/>
          </w:tcPr>
          <w:p w14:paraId="63FF80DB">
            <w:pPr>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色标</w:t>
            </w:r>
          </w:p>
        </w:tc>
        <w:tc>
          <w:tcPr>
            <w:tcW w:w="2100" w:type="dxa"/>
            <w:tcMar>
              <w:top w:w="113" w:type="dxa"/>
              <w:left w:w="57" w:type="dxa"/>
              <w:bottom w:w="113" w:type="dxa"/>
              <w:right w:w="57" w:type="dxa"/>
            </w:tcMar>
            <w:vAlign w:val="center"/>
          </w:tcPr>
          <w:p w14:paraId="72A77B4C">
            <w:pPr>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预警条件</w:t>
            </w:r>
          </w:p>
        </w:tc>
        <w:tc>
          <w:tcPr>
            <w:tcW w:w="1428" w:type="dxa"/>
            <w:tcMar>
              <w:top w:w="113" w:type="dxa"/>
              <w:left w:w="57" w:type="dxa"/>
              <w:bottom w:w="113" w:type="dxa"/>
              <w:right w:w="57" w:type="dxa"/>
            </w:tcMar>
            <w:vAlign w:val="center"/>
          </w:tcPr>
          <w:p w14:paraId="76A145F7">
            <w:pPr>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预警级别确定</w:t>
            </w:r>
          </w:p>
        </w:tc>
        <w:tc>
          <w:tcPr>
            <w:tcW w:w="1441" w:type="dxa"/>
            <w:tcMar>
              <w:top w:w="113" w:type="dxa"/>
              <w:left w:w="57" w:type="dxa"/>
              <w:bottom w:w="113" w:type="dxa"/>
              <w:right w:w="57" w:type="dxa"/>
            </w:tcMar>
            <w:vAlign w:val="center"/>
          </w:tcPr>
          <w:p w14:paraId="307752A4">
            <w:pPr>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预警级别决定</w:t>
            </w:r>
          </w:p>
        </w:tc>
        <w:tc>
          <w:tcPr>
            <w:tcW w:w="2357" w:type="dxa"/>
            <w:tcMar>
              <w:top w:w="113" w:type="dxa"/>
              <w:left w:w="57" w:type="dxa"/>
              <w:bottom w:w="113" w:type="dxa"/>
              <w:right w:w="57" w:type="dxa"/>
            </w:tcMar>
            <w:vAlign w:val="center"/>
          </w:tcPr>
          <w:p w14:paraId="6CB70AEF">
            <w:pPr>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预警行动流程</w:t>
            </w:r>
          </w:p>
        </w:tc>
      </w:tr>
      <w:tr w14:paraId="64628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5" w:type="dxa"/>
            <w:tcMar>
              <w:top w:w="113" w:type="dxa"/>
              <w:left w:w="57" w:type="dxa"/>
              <w:bottom w:w="113" w:type="dxa"/>
              <w:right w:w="57" w:type="dxa"/>
            </w:tcMar>
            <w:vAlign w:val="center"/>
          </w:tcPr>
          <w:p w14:paraId="7FFDAC6E">
            <w:pPr>
              <w:overflowPunct w:val="0"/>
              <w:topLinePunct/>
              <w:contextualSpacing/>
              <w:jc w:val="center"/>
              <w:textAlignment w:val="top"/>
              <w:rPr>
                <w:rFonts w:hint="eastAsia" w:ascii="仿宋_GB2312" w:hAnsi="仿宋_GB2312" w:eastAsia="仿宋_GB2312" w:cs="仿宋_GB2312"/>
                <w:bCs/>
                <w:color w:val="auto"/>
                <w:kern w:val="0"/>
                <w:sz w:val="21"/>
                <w:szCs w:val="21"/>
              </w:rPr>
            </w:pPr>
            <w:bookmarkStart w:id="83" w:name="_Hlk154012609"/>
            <w:r>
              <w:rPr>
                <w:rFonts w:hint="eastAsia" w:ascii="仿宋_GB2312" w:hAnsi="仿宋_GB2312" w:eastAsia="仿宋_GB2312" w:cs="仿宋_GB2312"/>
                <w:bCs/>
                <w:color w:val="auto"/>
                <w:kern w:val="0"/>
                <w:sz w:val="21"/>
                <w:szCs w:val="21"/>
              </w:rPr>
              <w:t>一级</w:t>
            </w:r>
          </w:p>
        </w:tc>
        <w:tc>
          <w:tcPr>
            <w:tcW w:w="658" w:type="dxa"/>
            <w:tcMar>
              <w:top w:w="113" w:type="dxa"/>
              <w:left w:w="57" w:type="dxa"/>
              <w:bottom w:w="113" w:type="dxa"/>
              <w:right w:w="57" w:type="dxa"/>
            </w:tcMar>
            <w:vAlign w:val="center"/>
          </w:tcPr>
          <w:p w14:paraId="207DF750">
            <w:pPr>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红色</w:t>
            </w:r>
          </w:p>
        </w:tc>
        <w:tc>
          <w:tcPr>
            <w:tcW w:w="2100" w:type="dxa"/>
            <w:tcMar>
              <w:top w:w="113" w:type="dxa"/>
              <w:left w:w="57" w:type="dxa"/>
              <w:bottom w:w="113" w:type="dxa"/>
              <w:right w:w="57" w:type="dxa"/>
            </w:tcMar>
            <w:vAlign w:val="center"/>
          </w:tcPr>
          <w:p w14:paraId="2082A4EE">
            <w:pPr>
              <w:overflowPunct w:val="0"/>
              <w:topLinePunct/>
              <w:contextualSpacing/>
              <w:textAlignment w:val="top"/>
              <w:rPr>
                <w:rFonts w:hint="eastAsia" w:ascii="仿宋_GB2312" w:hAnsi="仿宋_GB2312" w:eastAsia="仿宋_GB2312" w:cs="仿宋_GB2312"/>
                <w:bCs/>
                <w:color w:val="auto"/>
                <w:kern w:val="0"/>
                <w:sz w:val="21"/>
                <w:szCs w:val="21"/>
              </w:rPr>
            </w:pPr>
            <w:bookmarkStart w:id="84" w:name="_Hlk154062639"/>
            <w:r>
              <w:rPr>
                <w:rFonts w:hint="eastAsia" w:ascii="仿宋_GB2312" w:hAnsi="仿宋_GB2312" w:eastAsia="仿宋_GB2312" w:cs="仿宋_GB2312"/>
                <w:bCs/>
                <w:color w:val="auto"/>
                <w:kern w:val="0"/>
                <w:sz w:val="21"/>
                <w:szCs w:val="21"/>
              </w:rPr>
              <w:t>预计将要发生Ⅰ级生产安全事故，</w:t>
            </w:r>
            <w:bookmarkStart w:id="85" w:name="_Hlk154616882"/>
            <w:r>
              <w:rPr>
                <w:rFonts w:hint="eastAsia" w:ascii="仿宋_GB2312" w:hAnsi="仿宋_GB2312" w:eastAsia="仿宋_GB2312" w:cs="仿宋_GB2312"/>
                <w:bCs/>
                <w:color w:val="auto"/>
                <w:kern w:val="0"/>
                <w:sz w:val="21"/>
                <w:szCs w:val="21"/>
              </w:rPr>
              <w:t>如不及时采取措施可能会导致严重后果</w:t>
            </w:r>
            <w:bookmarkEnd w:id="84"/>
            <w:bookmarkEnd w:id="85"/>
            <w:r>
              <w:rPr>
                <w:rFonts w:hint="eastAsia" w:ascii="仿宋_GB2312" w:hAnsi="仿宋_GB2312" w:eastAsia="仿宋_GB2312" w:cs="仿宋_GB2312"/>
                <w:bCs/>
                <w:color w:val="auto"/>
                <w:kern w:val="0"/>
                <w:sz w:val="21"/>
                <w:szCs w:val="21"/>
              </w:rPr>
              <w:t>。</w:t>
            </w:r>
          </w:p>
        </w:tc>
        <w:tc>
          <w:tcPr>
            <w:tcW w:w="1428" w:type="dxa"/>
            <w:tcMar>
              <w:top w:w="113" w:type="dxa"/>
              <w:left w:w="57" w:type="dxa"/>
              <w:bottom w:w="113" w:type="dxa"/>
              <w:right w:w="57" w:type="dxa"/>
            </w:tcMar>
            <w:vAlign w:val="center"/>
          </w:tcPr>
          <w:p w14:paraId="54750B24">
            <w:pPr>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由唐王街道应急管理委员会初步确定预警级别</w:t>
            </w:r>
          </w:p>
        </w:tc>
        <w:tc>
          <w:tcPr>
            <w:tcW w:w="1441" w:type="dxa"/>
            <w:tcMar>
              <w:top w:w="113" w:type="dxa"/>
              <w:left w:w="57" w:type="dxa"/>
              <w:bottom w:w="113" w:type="dxa"/>
              <w:right w:w="57" w:type="dxa"/>
            </w:tcMar>
            <w:vAlign w:val="center"/>
          </w:tcPr>
          <w:p w14:paraId="549DF4F1">
            <w:pPr>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区级以上政府或应急管理部门</w:t>
            </w:r>
          </w:p>
        </w:tc>
        <w:tc>
          <w:tcPr>
            <w:tcW w:w="2357" w:type="dxa"/>
            <w:tcMar>
              <w:top w:w="113" w:type="dxa"/>
              <w:left w:w="57" w:type="dxa"/>
              <w:bottom w:w="113" w:type="dxa"/>
              <w:right w:w="57" w:type="dxa"/>
            </w:tcMar>
            <w:vAlign w:val="center"/>
          </w:tcPr>
          <w:p w14:paraId="4BFDB1EE">
            <w:pPr>
              <w:overflowPunct w:val="0"/>
              <w:topLinePunct/>
              <w:contextualSpacing/>
              <w:textAlignment w:val="top"/>
              <w:rPr>
                <w:rFonts w:hint="eastAsia" w:ascii="仿宋_GB2312" w:hAnsi="仿宋_GB2312" w:eastAsia="仿宋_GB2312" w:cs="仿宋_GB2312"/>
                <w:bCs/>
                <w:color w:val="auto"/>
                <w:kern w:val="0"/>
                <w:sz w:val="21"/>
                <w:szCs w:val="21"/>
              </w:rPr>
            </w:pPr>
            <w:bookmarkStart w:id="86" w:name="_Hlk154011372"/>
            <w:r>
              <w:rPr>
                <w:rFonts w:hint="eastAsia" w:ascii="仿宋_GB2312" w:hAnsi="仿宋_GB2312" w:eastAsia="仿宋_GB2312" w:cs="仿宋_GB2312"/>
                <w:bCs/>
                <w:color w:val="auto"/>
                <w:kern w:val="0"/>
                <w:sz w:val="21"/>
                <w:szCs w:val="21"/>
              </w:rPr>
              <w:t>预警级别经审批后，由唐王街道应急办发布预警信息，通知有关单位、村庄、社区采取预警措施</w:t>
            </w:r>
            <w:bookmarkEnd w:id="86"/>
            <w:r>
              <w:rPr>
                <w:rFonts w:hint="eastAsia" w:ascii="仿宋_GB2312" w:hAnsi="仿宋_GB2312" w:eastAsia="仿宋_GB2312" w:cs="仿宋_GB2312"/>
                <w:bCs/>
                <w:color w:val="auto"/>
                <w:kern w:val="0"/>
                <w:sz w:val="21"/>
                <w:szCs w:val="21"/>
              </w:rPr>
              <w:t>。</w:t>
            </w:r>
          </w:p>
        </w:tc>
      </w:tr>
      <w:tr w14:paraId="41EC1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5" w:type="dxa"/>
            <w:tcMar>
              <w:top w:w="113" w:type="dxa"/>
              <w:left w:w="57" w:type="dxa"/>
              <w:bottom w:w="113" w:type="dxa"/>
              <w:right w:w="57" w:type="dxa"/>
            </w:tcMar>
            <w:vAlign w:val="center"/>
          </w:tcPr>
          <w:p w14:paraId="4F223201">
            <w:pPr>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二级</w:t>
            </w:r>
          </w:p>
        </w:tc>
        <w:tc>
          <w:tcPr>
            <w:tcW w:w="658" w:type="dxa"/>
            <w:tcMar>
              <w:top w:w="113" w:type="dxa"/>
              <w:left w:w="57" w:type="dxa"/>
              <w:bottom w:w="113" w:type="dxa"/>
              <w:right w:w="57" w:type="dxa"/>
            </w:tcMar>
            <w:vAlign w:val="center"/>
          </w:tcPr>
          <w:p w14:paraId="68A4A8E9">
            <w:pPr>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黄色</w:t>
            </w:r>
          </w:p>
        </w:tc>
        <w:tc>
          <w:tcPr>
            <w:tcW w:w="2100" w:type="dxa"/>
            <w:tcMar>
              <w:top w:w="113" w:type="dxa"/>
              <w:left w:w="57" w:type="dxa"/>
              <w:bottom w:w="113" w:type="dxa"/>
              <w:right w:w="57" w:type="dxa"/>
            </w:tcMar>
            <w:vAlign w:val="center"/>
          </w:tcPr>
          <w:p w14:paraId="066413BF">
            <w:pPr>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预计将要发生Ⅱ级生产安全事故，</w:t>
            </w:r>
            <w:bookmarkStart w:id="87" w:name="_Hlk154616933"/>
            <w:r>
              <w:rPr>
                <w:rFonts w:hint="eastAsia" w:ascii="仿宋_GB2312" w:hAnsi="仿宋_GB2312" w:eastAsia="仿宋_GB2312" w:cs="仿宋_GB2312"/>
                <w:bCs/>
                <w:color w:val="auto"/>
                <w:kern w:val="0"/>
                <w:sz w:val="21"/>
                <w:szCs w:val="21"/>
              </w:rPr>
              <w:t>如不及时采取措施可能会导致较重后果。</w:t>
            </w:r>
            <w:bookmarkEnd w:id="87"/>
          </w:p>
        </w:tc>
        <w:tc>
          <w:tcPr>
            <w:tcW w:w="1428" w:type="dxa"/>
            <w:tcMar>
              <w:top w:w="113" w:type="dxa"/>
              <w:left w:w="57" w:type="dxa"/>
              <w:bottom w:w="113" w:type="dxa"/>
              <w:right w:w="57" w:type="dxa"/>
            </w:tcMar>
            <w:vAlign w:val="center"/>
          </w:tcPr>
          <w:p w14:paraId="4E24B3F0">
            <w:pPr>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由唐王街道应急管理委员会初步确定预警级别。</w:t>
            </w:r>
          </w:p>
        </w:tc>
        <w:tc>
          <w:tcPr>
            <w:tcW w:w="1441" w:type="dxa"/>
            <w:tcMar>
              <w:top w:w="113" w:type="dxa"/>
              <w:left w:w="57" w:type="dxa"/>
              <w:bottom w:w="113" w:type="dxa"/>
              <w:right w:w="57" w:type="dxa"/>
            </w:tcMar>
            <w:vAlign w:val="center"/>
          </w:tcPr>
          <w:p w14:paraId="7CA60B4F">
            <w:pPr>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街道应急管理委员会</w:t>
            </w:r>
          </w:p>
        </w:tc>
        <w:tc>
          <w:tcPr>
            <w:tcW w:w="2357" w:type="dxa"/>
            <w:tcMar>
              <w:top w:w="113" w:type="dxa"/>
              <w:left w:w="57" w:type="dxa"/>
              <w:bottom w:w="113" w:type="dxa"/>
              <w:right w:w="57" w:type="dxa"/>
            </w:tcMar>
            <w:vAlign w:val="center"/>
          </w:tcPr>
          <w:p w14:paraId="3611AB86">
            <w:pPr>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预警决定后，由唐王街道应急办发布预警信息，通知有关单位、村庄、社区采取预警措施。</w:t>
            </w:r>
          </w:p>
        </w:tc>
      </w:tr>
      <w:tr w14:paraId="28ED3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5" w:type="dxa"/>
            <w:tcMar>
              <w:top w:w="113" w:type="dxa"/>
              <w:left w:w="57" w:type="dxa"/>
              <w:bottom w:w="113" w:type="dxa"/>
              <w:right w:w="57" w:type="dxa"/>
            </w:tcMar>
            <w:vAlign w:val="center"/>
          </w:tcPr>
          <w:p w14:paraId="4A1968CE">
            <w:pPr>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三级</w:t>
            </w:r>
          </w:p>
        </w:tc>
        <w:tc>
          <w:tcPr>
            <w:tcW w:w="658" w:type="dxa"/>
            <w:tcMar>
              <w:top w:w="113" w:type="dxa"/>
              <w:left w:w="57" w:type="dxa"/>
              <w:bottom w:w="113" w:type="dxa"/>
              <w:right w:w="57" w:type="dxa"/>
            </w:tcMar>
            <w:vAlign w:val="center"/>
          </w:tcPr>
          <w:p w14:paraId="0FEF3BD8">
            <w:pPr>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蓝色</w:t>
            </w:r>
          </w:p>
        </w:tc>
        <w:tc>
          <w:tcPr>
            <w:tcW w:w="2100" w:type="dxa"/>
            <w:tcMar>
              <w:top w:w="113" w:type="dxa"/>
              <w:left w:w="57" w:type="dxa"/>
              <w:bottom w:w="113" w:type="dxa"/>
              <w:right w:w="57" w:type="dxa"/>
            </w:tcMar>
            <w:vAlign w:val="center"/>
          </w:tcPr>
          <w:p w14:paraId="4660D1E6">
            <w:pPr>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预计将要发生Ⅲ级生产安全事故，</w:t>
            </w:r>
            <w:bookmarkStart w:id="88" w:name="_Hlk154616955"/>
            <w:r>
              <w:rPr>
                <w:rFonts w:hint="eastAsia" w:ascii="仿宋_GB2312" w:hAnsi="仿宋_GB2312" w:eastAsia="仿宋_GB2312" w:cs="仿宋_GB2312"/>
                <w:bCs/>
                <w:color w:val="auto"/>
                <w:kern w:val="0"/>
                <w:sz w:val="21"/>
                <w:szCs w:val="21"/>
              </w:rPr>
              <w:t>如不及时采取措施可能会导致一般后果。</w:t>
            </w:r>
            <w:bookmarkEnd w:id="88"/>
          </w:p>
        </w:tc>
        <w:tc>
          <w:tcPr>
            <w:tcW w:w="1428" w:type="dxa"/>
            <w:tcMar>
              <w:top w:w="113" w:type="dxa"/>
              <w:left w:w="57" w:type="dxa"/>
              <w:bottom w:w="113" w:type="dxa"/>
              <w:right w:w="57" w:type="dxa"/>
            </w:tcMar>
            <w:vAlign w:val="center"/>
          </w:tcPr>
          <w:p w14:paraId="2BFD45F8">
            <w:pPr>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由唐王街道应急管理委员会初步确定预警级别</w:t>
            </w:r>
          </w:p>
        </w:tc>
        <w:tc>
          <w:tcPr>
            <w:tcW w:w="1441" w:type="dxa"/>
            <w:tcMar>
              <w:top w:w="113" w:type="dxa"/>
              <w:left w:w="57" w:type="dxa"/>
              <w:bottom w:w="113" w:type="dxa"/>
              <w:right w:w="57" w:type="dxa"/>
            </w:tcMar>
            <w:vAlign w:val="center"/>
          </w:tcPr>
          <w:p w14:paraId="62DDB216">
            <w:pPr>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街道应急管理委员会</w:t>
            </w:r>
          </w:p>
        </w:tc>
        <w:tc>
          <w:tcPr>
            <w:tcW w:w="2357" w:type="dxa"/>
            <w:tcMar>
              <w:top w:w="113" w:type="dxa"/>
              <w:left w:w="57" w:type="dxa"/>
              <w:bottom w:w="113" w:type="dxa"/>
              <w:right w:w="57" w:type="dxa"/>
            </w:tcMar>
            <w:vAlign w:val="center"/>
          </w:tcPr>
          <w:p w14:paraId="463B623B">
            <w:pPr>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预警级别决定后，由唐王街道应急办发布预警信息，通知有关单位、村庄、社区采取预警措施。</w:t>
            </w:r>
          </w:p>
        </w:tc>
      </w:tr>
      <w:bookmarkEnd w:id="83"/>
    </w:tbl>
    <w:p w14:paraId="369A5A51">
      <w:pPr>
        <w:pStyle w:val="5"/>
        <w:overflowPunct w:val="0"/>
        <w:topLinePunct/>
        <w:adjustRightInd w:val="0"/>
        <w:snapToGrid w:val="0"/>
        <w:spacing w:before="156" w:beforeLines="50" w:after="0" w:line="360" w:lineRule="auto"/>
        <w:textAlignment w:val="top"/>
        <w:rPr>
          <w:rFonts w:hint="eastAsia" w:ascii="仿宋_GB2312" w:hAnsi="仿宋_GB2312" w:eastAsia="仿宋_GB2312" w:cs="仿宋_GB2312"/>
          <w:color w:val="auto"/>
          <w:sz w:val="28"/>
          <w:szCs w:val="28"/>
        </w:rPr>
      </w:pPr>
      <w:bookmarkStart w:id="89" w:name="_Toc155861795"/>
      <w:bookmarkStart w:id="90" w:name="_Hlk154616723"/>
      <w:r>
        <w:rPr>
          <w:rFonts w:hint="eastAsia" w:ascii="仿宋_GB2312" w:hAnsi="仿宋_GB2312" w:eastAsia="仿宋_GB2312" w:cs="仿宋_GB2312"/>
          <w:color w:val="auto"/>
          <w:sz w:val="28"/>
          <w:szCs w:val="28"/>
        </w:rPr>
        <w:t>4.2.2  预警启动条件</w:t>
      </w:r>
      <w:bookmarkEnd w:id="89"/>
    </w:p>
    <w:bookmarkEnd w:id="90"/>
    <w:p w14:paraId="634A0B0B">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bookmarkStart w:id="91" w:name="_Hlk107148860"/>
      <w:r>
        <w:rPr>
          <w:rFonts w:hint="eastAsia" w:ascii="仿宋_GB2312" w:hAnsi="仿宋_GB2312" w:eastAsia="仿宋_GB2312" w:cs="仿宋_GB2312"/>
          <w:color w:val="auto"/>
        </w:rPr>
        <w:t>一级预警（红色）：预计发生Ⅰ级火灾事故，</w:t>
      </w:r>
      <w:r>
        <w:rPr>
          <w:rFonts w:hint="eastAsia" w:ascii="仿宋_GB2312" w:hAnsi="仿宋_GB2312" w:eastAsia="仿宋_GB2312" w:cs="仿宋_GB2312"/>
          <w:bCs/>
          <w:color w:val="auto"/>
        </w:rPr>
        <w:t>如不及时采取措施可能会导致严重后果</w:t>
      </w:r>
      <w:r>
        <w:rPr>
          <w:rFonts w:hint="eastAsia" w:ascii="仿宋_GB2312" w:hAnsi="仿宋_GB2312" w:eastAsia="仿宋_GB2312" w:cs="仿宋_GB2312"/>
          <w:color w:val="auto"/>
        </w:rPr>
        <w:t>。</w:t>
      </w:r>
    </w:p>
    <w:p w14:paraId="4B96B088">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二级预警（黄色）：预计发生Ⅱ级火灾事故，</w:t>
      </w:r>
      <w:r>
        <w:rPr>
          <w:rFonts w:hint="eastAsia" w:ascii="仿宋_GB2312" w:hAnsi="仿宋_GB2312" w:eastAsia="仿宋_GB2312" w:cs="仿宋_GB2312"/>
          <w:bCs/>
          <w:color w:val="auto"/>
        </w:rPr>
        <w:t>如不及时采取措施可能会导致较重后果。</w:t>
      </w:r>
    </w:p>
    <w:p w14:paraId="22C9E87C">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三级预警（蓝色）：预计发生Ⅲ级火灾事故，</w:t>
      </w:r>
      <w:r>
        <w:rPr>
          <w:rFonts w:hint="eastAsia" w:ascii="仿宋_GB2312" w:hAnsi="仿宋_GB2312" w:eastAsia="仿宋_GB2312" w:cs="仿宋_GB2312"/>
          <w:bCs/>
          <w:color w:val="auto"/>
        </w:rPr>
        <w:t>如不及时采取措施可能会导致一般后果。</w:t>
      </w:r>
    </w:p>
    <w:p w14:paraId="386265B4">
      <w:pPr>
        <w:pStyle w:val="5"/>
        <w:overflowPunct w:val="0"/>
        <w:topLinePunct/>
        <w:adjustRightInd w:val="0"/>
        <w:snapToGrid w:val="0"/>
        <w:spacing w:before="0" w:after="0" w:line="360" w:lineRule="auto"/>
        <w:textAlignment w:val="top"/>
        <w:rPr>
          <w:rFonts w:hint="eastAsia" w:ascii="仿宋_GB2312" w:hAnsi="仿宋_GB2312" w:eastAsia="仿宋_GB2312" w:cs="仿宋_GB2312"/>
          <w:color w:val="auto"/>
          <w:sz w:val="28"/>
          <w:szCs w:val="28"/>
        </w:rPr>
      </w:pPr>
      <w:bookmarkStart w:id="92" w:name="_Toc155861796"/>
      <w:r>
        <w:rPr>
          <w:rFonts w:hint="eastAsia" w:ascii="仿宋_GB2312" w:hAnsi="仿宋_GB2312" w:eastAsia="仿宋_GB2312" w:cs="仿宋_GB2312"/>
          <w:color w:val="auto"/>
          <w:sz w:val="28"/>
          <w:szCs w:val="28"/>
        </w:rPr>
        <w:t>4.2.3  预警启动流程</w:t>
      </w:r>
      <w:bookmarkEnd w:id="92"/>
    </w:p>
    <w:p w14:paraId="2D2486B8">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bookmarkStart w:id="93" w:name="_Hlk154617122"/>
      <w:r>
        <w:rPr>
          <w:rFonts w:hint="eastAsia" w:ascii="仿宋_GB2312" w:hAnsi="仿宋_GB2312" w:eastAsia="仿宋_GB2312" w:cs="仿宋_GB2312"/>
          <w:color w:val="auto"/>
        </w:rPr>
        <w:t>唐王街道火灾事故预警启动程序流程图</w:t>
      </w:r>
      <w:bookmarkEnd w:id="93"/>
      <w:r>
        <w:rPr>
          <w:rFonts w:hint="eastAsia" w:ascii="仿宋_GB2312" w:hAnsi="仿宋_GB2312" w:eastAsia="仿宋_GB2312" w:cs="仿宋_GB2312"/>
          <w:color w:val="auto"/>
        </w:rPr>
        <w:t>，如图4.2-1所示。</w:t>
      </w:r>
    </w:p>
    <w:p w14:paraId="28A885C7">
      <w:pPr>
        <w:overflowPunct w:val="0"/>
        <w:topLinePunct/>
        <w:adjustRightInd w:val="0"/>
        <w:snapToGrid w:val="0"/>
        <w:spacing w:line="360" w:lineRule="auto"/>
        <w:jc w:val="center"/>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drawing>
          <wp:inline distT="0" distB="0" distL="0" distR="0">
            <wp:extent cx="5039995" cy="3959860"/>
            <wp:effectExtent l="0" t="0" r="8255" b="2540"/>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7"/>
                    <a:srcRect l="23670" t="20783" r="23351" b="13777"/>
                    <a:stretch>
                      <a:fillRect/>
                    </a:stretch>
                  </pic:blipFill>
                  <pic:spPr>
                    <a:xfrm>
                      <a:off x="0" y="0"/>
                      <a:ext cx="5040000" cy="3960000"/>
                    </a:xfrm>
                    <a:prstGeom prst="rect">
                      <a:avLst/>
                    </a:prstGeom>
                    <a:ln>
                      <a:noFill/>
                    </a:ln>
                  </pic:spPr>
                </pic:pic>
              </a:graphicData>
            </a:graphic>
          </wp:inline>
        </w:drawing>
      </w:r>
    </w:p>
    <w:p w14:paraId="38190AEE">
      <w:pPr>
        <w:widowControl/>
        <w:overflowPunct w:val="0"/>
        <w:topLinePunct/>
        <w:adjustRightInd w:val="0"/>
        <w:snapToGrid w:val="0"/>
        <w:spacing w:after="312" w:afterLines="100" w:line="360" w:lineRule="auto"/>
        <w:jc w:val="center"/>
        <w:textAlignment w:val="top"/>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
          <w:bCs/>
          <w:color w:val="auto"/>
          <w:kern w:val="0"/>
          <w:sz w:val="24"/>
          <w:szCs w:val="24"/>
        </w:rPr>
        <w:t>图 4.2-1  唐王街道火灾事故预警启动程序流程图</w:t>
      </w:r>
    </w:p>
    <w:bookmarkEnd w:id="57"/>
    <w:bookmarkEnd w:id="91"/>
    <w:p w14:paraId="411D06FD">
      <w:pPr>
        <w:pStyle w:val="5"/>
        <w:overflowPunct w:val="0"/>
        <w:topLinePunct/>
        <w:adjustRightInd w:val="0"/>
        <w:snapToGrid w:val="0"/>
        <w:spacing w:before="0" w:after="0" w:line="360" w:lineRule="auto"/>
        <w:textAlignment w:val="top"/>
        <w:rPr>
          <w:rFonts w:hint="eastAsia" w:ascii="仿宋_GB2312" w:hAnsi="仿宋_GB2312" w:eastAsia="仿宋_GB2312" w:cs="仿宋_GB2312"/>
          <w:color w:val="auto"/>
          <w:sz w:val="28"/>
          <w:szCs w:val="28"/>
        </w:rPr>
      </w:pPr>
      <w:bookmarkStart w:id="94" w:name="_Toc155861797"/>
      <w:r>
        <w:rPr>
          <w:rFonts w:hint="eastAsia" w:ascii="仿宋_GB2312" w:hAnsi="仿宋_GB2312" w:eastAsia="仿宋_GB2312" w:cs="仿宋_GB2312"/>
          <w:color w:val="auto"/>
          <w:sz w:val="28"/>
          <w:szCs w:val="28"/>
        </w:rPr>
        <w:t>4.2.4  预警信息发布</w:t>
      </w:r>
      <w:bookmarkEnd w:id="94"/>
    </w:p>
    <w:p w14:paraId="3C13B0A4">
      <w:pPr>
        <w:overflowPunct w:val="0"/>
        <w:topLinePunct/>
        <w:adjustRightInd w:val="0"/>
        <w:snapToGrid w:val="0"/>
        <w:spacing w:line="360" w:lineRule="auto"/>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4.2.4.1  预警信息发布决定</w:t>
      </w:r>
    </w:p>
    <w:p w14:paraId="0E1E4750">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bookmarkStart w:id="95" w:name="_Hlk108283847"/>
      <w:r>
        <w:rPr>
          <w:rFonts w:hint="eastAsia" w:ascii="仿宋_GB2312" w:hAnsi="仿宋_GB2312" w:eastAsia="仿宋_GB2312" w:cs="仿宋_GB2312"/>
          <w:color w:val="auto"/>
        </w:rPr>
        <w:t>一级</w:t>
      </w:r>
      <w:bookmarkStart w:id="96" w:name="_Hlk154835357"/>
      <w:r>
        <w:rPr>
          <w:rFonts w:hint="eastAsia" w:ascii="仿宋_GB2312" w:hAnsi="仿宋_GB2312" w:eastAsia="仿宋_GB2312" w:cs="仿宋_GB2312"/>
          <w:color w:val="auto"/>
        </w:rPr>
        <w:t>生产安全事故的预警，由</w:t>
      </w:r>
      <w:r>
        <w:rPr>
          <w:rFonts w:hint="eastAsia" w:ascii="仿宋_GB2312" w:hAnsi="仿宋_GB2312" w:eastAsia="仿宋_GB2312" w:cs="仿宋_GB2312"/>
          <w:bCs/>
          <w:color w:val="auto"/>
        </w:rPr>
        <w:t>区级以上政府或应急管理部门决定</w:t>
      </w:r>
      <w:bookmarkEnd w:id="96"/>
      <w:r>
        <w:rPr>
          <w:rFonts w:hint="eastAsia" w:ascii="仿宋_GB2312" w:hAnsi="仿宋_GB2312" w:eastAsia="仿宋_GB2312" w:cs="仿宋_GB2312"/>
          <w:bCs/>
          <w:color w:val="auto"/>
        </w:rPr>
        <w:t>；二级、三级生产安全事故的预警，由街道应急管理委员会决定。</w:t>
      </w:r>
    </w:p>
    <w:bookmarkEnd w:id="95"/>
    <w:p w14:paraId="0EAD322D">
      <w:pPr>
        <w:overflowPunct w:val="0"/>
        <w:topLinePunct/>
        <w:adjustRightInd w:val="0"/>
        <w:snapToGrid w:val="0"/>
        <w:spacing w:line="360" w:lineRule="auto"/>
        <w:textAlignment w:val="top"/>
        <w:rPr>
          <w:rFonts w:hint="eastAsia" w:ascii="仿宋_GB2312" w:hAnsi="仿宋_GB2312" w:eastAsia="仿宋_GB2312" w:cs="仿宋_GB2312"/>
          <w:color w:val="auto"/>
        </w:rPr>
      </w:pPr>
      <w:bookmarkStart w:id="97" w:name="_Hlk107149953"/>
      <w:r>
        <w:rPr>
          <w:rFonts w:hint="eastAsia" w:ascii="仿宋_GB2312" w:hAnsi="仿宋_GB2312" w:eastAsia="仿宋_GB2312" w:cs="仿宋_GB2312"/>
          <w:color w:val="auto"/>
        </w:rPr>
        <w:t>4.2.4.2  预警信息发布内容</w:t>
      </w:r>
      <w:bookmarkEnd w:id="97"/>
    </w:p>
    <w:p w14:paraId="1E8E4118">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预警信息的内容包括预警信息名称、预警级别、预警区域或场所、预警期起止时间、应对措施、发布机关和发布时间等。预警信息发布后，预警信息内容变更或解除的，应当及时发布变更或解除信息。</w:t>
      </w:r>
    </w:p>
    <w:p w14:paraId="38B0F3E9">
      <w:pPr>
        <w:overflowPunct w:val="0"/>
        <w:topLinePunct/>
        <w:adjustRightInd w:val="0"/>
        <w:snapToGrid w:val="0"/>
        <w:spacing w:line="360" w:lineRule="auto"/>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4.2.4.3  预警信息发布方式</w:t>
      </w:r>
    </w:p>
    <w:p w14:paraId="46430B2F">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1. 预警信息的发布，可通过广播、电视、报刊、通信、信息网络、报警器、宣传车或组织人员逐户通知等方式进行，对老、幼、病、残、孕等特殊人群以及学校等特殊场所和警报盲区应采取有针对性的通告方式。</w:t>
      </w:r>
    </w:p>
    <w:p w14:paraId="45636F64">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 各居民委员会、村民委员会、其他基层组织信息员或基层工作人员接到预警信息后，应当及时利用手机短信、</w:t>
      </w:r>
      <w:bookmarkStart w:id="98" w:name="_Hlk154060651"/>
      <w:r>
        <w:rPr>
          <w:rFonts w:hint="eastAsia" w:ascii="仿宋_GB2312" w:hAnsi="仿宋_GB2312" w:eastAsia="仿宋_GB2312" w:cs="仿宋_GB2312"/>
          <w:color w:val="auto"/>
        </w:rPr>
        <w:t>有线广播、高音喇叭、鸣锣吹哨</w:t>
      </w:r>
      <w:bookmarkEnd w:id="98"/>
      <w:r>
        <w:rPr>
          <w:rFonts w:hint="eastAsia" w:ascii="仿宋_GB2312" w:hAnsi="仿宋_GB2312" w:eastAsia="仿宋_GB2312" w:cs="仿宋_GB2312"/>
          <w:color w:val="auto"/>
        </w:rPr>
        <w:t>等多种方式向受影响群众传递预警信息及防御措施。</w:t>
      </w:r>
    </w:p>
    <w:p w14:paraId="1F9A635F">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3. 街道辖区内的有关部门、学校、社区、广场、公园、旅游景点、企业等人员密集区和公共场所，应当指定专人负责预警信息接收和传播工作。</w:t>
      </w:r>
    </w:p>
    <w:p w14:paraId="21D70FF6">
      <w:pPr>
        <w:overflowPunct w:val="0"/>
        <w:topLinePunct/>
        <w:adjustRightInd w:val="0"/>
        <w:snapToGrid w:val="0"/>
        <w:spacing w:line="360" w:lineRule="auto"/>
        <w:textAlignment w:val="top"/>
        <w:rPr>
          <w:rFonts w:hint="eastAsia" w:ascii="仿宋_GB2312" w:hAnsi="仿宋_GB2312" w:eastAsia="仿宋_GB2312" w:cs="仿宋_GB2312"/>
          <w:color w:val="auto"/>
        </w:rPr>
      </w:pPr>
      <w:bookmarkStart w:id="99" w:name="_Hlk154012716"/>
      <w:r>
        <w:rPr>
          <w:rFonts w:hint="eastAsia" w:ascii="仿宋_GB2312" w:hAnsi="仿宋_GB2312" w:eastAsia="仿宋_GB2312" w:cs="仿宋_GB2312"/>
          <w:color w:val="auto"/>
        </w:rPr>
        <w:t>4.2.4.4  预警信息发布渠道</w:t>
      </w:r>
      <w:bookmarkEnd w:id="99"/>
    </w:p>
    <w:p w14:paraId="071AFB94">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bCs/>
          <w:color w:val="auto"/>
        </w:rPr>
      </w:pPr>
      <w:bookmarkStart w:id="100" w:name="_Hlk108284145"/>
      <w:bookmarkStart w:id="101" w:name="_Hlk108284207"/>
      <w:r>
        <w:rPr>
          <w:rFonts w:hint="eastAsia" w:ascii="仿宋_GB2312" w:hAnsi="仿宋_GB2312" w:eastAsia="仿宋_GB2312" w:cs="仿宋_GB2312"/>
          <w:bCs/>
          <w:color w:val="auto"/>
        </w:rPr>
        <w:t>街道应急管理委员会接到上级政府或部门的预警信息决定后，应指令街道应急办公室向辖区</w:t>
      </w:r>
      <w:bookmarkStart w:id="102" w:name="_Hlk154013091"/>
      <w:r>
        <w:rPr>
          <w:rFonts w:hint="eastAsia" w:ascii="仿宋_GB2312" w:hAnsi="仿宋_GB2312" w:eastAsia="仿宋_GB2312" w:cs="仿宋_GB2312"/>
          <w:bCs/>
          <w:color w:val="auto"/>
        </w:rPr>
        <w:t>有关的企事业单位、村庄、社区或其他组织</w:t>
      </w:r>
      <w:bookmarkEnd w:id="102"/>
      <w:r>
        <w:rPr>
          <w:rFonts w:hint="eastAsia" w:ascii="仿宋_GB2312" w:hAnsi="仿宋_GB2312" w:eastAsia="仿宋_GB2312" w:cs="仿宋_GB2312"/>
          <w:bCs/>
          <w:color w:val="auto"/>
        </w:rPr>
        <w:t>转发相关预警信息；辖区有关的企事业单位、村庄、社区或其他组织接到火灾事故预警信息后，应按预警信息的要求，做好相关预警准备。</w:t>
      </w:r>
    </w:p>
    <w:bookmarkEnd w:id="100"/>
    <w:bookmarkEnd w:id="101"/>
    <w:p w14:paraId="57FC91B8">
      <w:pPr>
        <w:pStyle w:val="5"/>
        <w:overflowPunct w:val="0"/>
        <w:topLinePunct/>
        <w:adjustRightInd w:val="0"/>
        <w:snapToGrid w:val="0"/>
        <w:spacing w:before="0" w:after="0" w:line="360" w:lineRule="auto"/>
        <w:textAlignment w:val="top"/>
        <w:rPr>
          <w:rFonts w:hint="eastAsia" w:ascii="仿宋_GB2312" w:hAnsi="仿宋_GB2312" w:eastAsia="仿宋_GB2312" w:cs="仿宋_GB2312"/>
          <w:color w:val="auto"/>
          <w:sz w:val="28"/>
          <w:szCs w:val="28"/>
        </w:rPr>
      </w:pPr>
      <w:bookmarkStart w:id="103" w:name="_Toc155861798"/>
      <w:bookmarkStart w:id="104" w:name="_Hlk153914494"/>
      <w:r>
        <w:rPr>
          <w:rFonts w:hint="eastAsia" w:ascii="仿宋_GB2312" w:hAnsi="仿宋_GB2312" w:eastAsia="仿宋_GB2312" w:cs="仿宋_GB2312"/>
          <w:color w:val="auto"/>
          <w:sz w:val="28"/>
          <w:szCs w:val="28"/>
        </w:rPr>
        <w:t>4.2.5  预警响应措施</w:t>
      </w:r>
      <w:bookmarkEnd w:id="103"/>
    </w:p>
    <w:bookmarkEnd w:id="104"/>
    <w:p w14:paraId="73DEA1D1">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发布预警信息后，唐王街道应根据预警级别和实际情况以及分级负责的原则，采取下列一项或多项措施。</w:t>
      </w:r>
    </w:p>
    <w:p w14:paraId="3F0EE50C">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1. 加强预报，畅通信息接收渠道，及时收集、报告有关信息。</w:t>
      </w:r>
    </w:p>
    <w:p w14:paraId="14103C6E">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 加强公众沟通，公布信息接收和咨询电话，向社会公告采取的有关特定措施、避免或减轻危害的建议和劝告等。</w:t>
      </w:r>
    </w:p>
    <w:p w14:paraId="410A88FA">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3. 组织应急救援队伍和负有特定职责的人员进入待命状态，动员后备人员做好参加应急处置和救援工作的准备。</w:t>
      </w:r>
    </w:p>
    <w:p w14:paraId="5C1EDD6F">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4. 调集应急处置和救援所需物资、设备、工具，准备应急设施和避难场所，并确保其处于良好状态、随时可投入正常使用。</w:t>
      </w:r>
    </w:p>
    <w:p w14:paraId="4F00FA16">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5. 加强对受影响的学校、幼儿园、医院、养老院、地下空间等重点场所、重要部位和重要基础设施的安全巡查。</w:t>
      </w:r>
    </w:p>
    <w:p w14:paraId="54F2FD40">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6. 采取必要措施，确保交通、通信、供水、排水、供电、供气、供热等公共设施的安全和正常运行。</w:t>
      </w:r>
    </w:p>
    <w:p w14:paraId="73A11BB3">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7. 转移、疏散或者撤离易受火灾事故危害的人员，并予以妥善安置，转移重要财产。</w:t>
      </w:r>
    </w:p>
    <w:p w14:paraId="3B0A790C">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8. 关闭或者限制使用易受火灾事故危害的场所，控制或者限制容易导致危害扩大的公共场所的活动。</w:t>
      </w:r>
    </w:p>
    <w:p w14:paraId="3AC7B83B">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9. 街道和相关部门、单位，应及时组织分析本辖区和本行业可能受到影响的范围、程度等，安排部署有关防范性措施。</w:t>
      </w:r>
    </w:p>
    <w:p w14:paraId="60978751">
      <w:pPr>
        <w:pStyle w:val="5"/>
        <w:overflowPunct w:val="0"/>
        <w:topLinePunct/>
        <w:adjustRightInd w:val="0"/>
        <w:snapToGrid w:val="0"/>
        <w:spacing w:before="0" w:after="0" w:line="360" w:lineRule="auto"/>
        <w:textAlignment w:val="top"/>
        <w:rPr>
          <w:rFonts w:hint="eastAsia" w:ascii="仿宋_GB2312" w:hAnsi="仿宋_GB2312" w:eastAsia="仿宋_GB2312" w:cs="仿宋_GB2312"/>
          <w:color w:val="auto"/>
          <w:sz w:val="28"/>
          <w:szCs w:val="28"/>
        </w:rPr>
      </w:pPr>
      <w:bookmarkStart w:id="105" w:name="_Toc155861799"/>
      <w:r>
        <w:rPr>
          <w:rFonts w:hint="eastAsia" w:ascii="仿宋_GB2312" w:hAnsi="仿宋_GB2312" w:eastAsia="仿宋_GB2312" w:cs="仿宋_GB2312"/>
          <w:color w:val="auto"/>
          <w:sz w:val="28"/>
          <w:szCs w:val="28"/>
        </w:rPr>
        <w:t>4.2.6  预警信息解除</w:t>
      </w:r>
      <w:bookmarkEnd w:id="105"/>
    </w:p>
    <w:p w14:paraId="0E696DAD">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当火灾事故的风险已经解除，决定预警信息发布的政府或有关部门宣布解除警报，街道要适时宣布上级部门解除警报的通知，终止预警期，解除已经采取的有关措施。</w:t>
      </w:r>
    </w:p>
    <w:p w14:paraId="22232886">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街道应急管理委员会（应急指挥部）根据上级政府或部门的预警信息解除决定，指令街道应急办公室，向涉事有关单位村（社区）下达解除通知。</w:t>
      </w:r>
    </w:p>
    <w:p w14:paraId="13EF6C55">
      <w:pPr>
        <w:pStyle w:val="4"/>
        <w:overflowPunct w:val="0"/>
        <w:topLinePunct/>
        <w:adjustRightInd w:val="0"/>
        <w:snapToGrid w:val="0"/>
        <w:spacing w:before="0" w:after="0" w:line="360" w:lineRule="auto"/>
        <w:textAlignment w:val="top"/>
        <w:rPr>
          <w:rFonts w:ascii="黑体" w:hAnsi="黑体" w:eastAsia="黑体"/>
          <w:color w:val="auto"/>
          <w:sz w:val="36"/>
          <w:szCs w:val="36"/>
        </w:rPr>
      </w:pPr>
      <w:bookmarkStart w:id="106" w:name="_Toc155861800"/>
      <w:bookmarkStart w:id="107" w:name="_Hlk153922242"/>
      <w:r>
        <w:rPr>
          <w:rFonts w:ascii="Times New Roman" w:hAnsi="Times New Roman" w:eastAsia="黑体" w:cs="Times New Roman"/>
          <w:color w:val="auto"/>
          <w:sz w:val="30"/>
          <w:szCs w:val="30"/>
        </w:rPr>
        <w:t xml:space="preserve">4.3  </w:t>
      </w:r>
      <w:r>
        <w:rPr>
          <w:rFonts w:hint="eastAsia" w:ascii="Times New Roman" w:hAnsi="Times New Roman" w:eastAsia="黑体" w:cs="Times New Roman"/>
          <w:color w:val="auto"/>
          <w:sz w:val="30"/>
          <w:szCs w:val="30"/>
        </w:rPr>
        <w:t>应急处置</w:t>
      </w:r>
      <w:bookmarkEnd w:id="106"/>
    </w:p>
    <w:bookmarkEnd w:id="107"/>
    <w:p w14:paraId="1329E973">
      <w:pPr>
        <w:pStyle w:val="5"/>
        <w:overflowPunct w:val="0"/>
        <w:topLinePunct/>
        <w:adjustRightInd w:val="0"/>
        <w:snapToGrid w:val="0"/>
        <w:spacing w:before="0" w:after="0" w:line="360" w:lineRule="auto"/>
        <w:textAlignment w:val="top"/>
        <w:rPr>
          <w:rFonts w:hint="eastAsia" w:ascii="仿宋_GB2312" w:hAnsi="仿宋_GB2312" w:eastAsia="仿宋_GB2312" w:cs="仿宋_GB2312"/>
          <w:color w:val="auto"/>
          <w:sz w:val="28"/>
          <w:szCs w:val="28"/>
        </w:rPr>
      </w:pPr>
      <w:bookmarkStart w:id="108" w:name="_Toc155861801"/>
      <w:bookmarkStart w:id="109" w:name="_Hlk153919559"/>
      <w:r>
        <w:rPr>
          <w:rFonts w:hint="eastAsia" w:ascii="仿宋_GB2312" w:hAnsi="仿宋_GB2312" w:eastAsia="仿宋_GB2312" w:cs="仿宋_GB2312"/>
          <w:color w:val="auto"/>
          <w:sz w:val="28"/>
          <w:szCs w:val="28"/>
        </w:rPr>
        <w:t>4.3.1  响应级别划分</w:t>
      </w:r>
      <w:bookmarkEnd w:id="108"/>
    </w:p>
    <w:bookmarkEnd w:id="109"/>
    <w:p w14:paraId="26C7F71C">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bookmarkStart w:id="110" w:name="_Hlk151928898"/>
      <w:bookmarkStart w:id="111" w:name="_Hlk56684335"/>
      <w:bookmarkStart w:id="112" w:name="_Hlk55057003"/>
      <w:bookmarkStart w:id="113" w:name="_Hlk56681304"/>
      <w:r>
        <w:rPr>
          <w:rFonts w:hint="eastAsia" w:ascii="仿宋_GB2312" w:hAnsi="仿宋_GB2312" w:eastAsia="仿宋_GB2312" w:cs="仿宋_GB2312"/>
          <w:color w:val="auto"/>
        </w:rPr>
        <w:t>根据街道辖区已经发生火灾事故的危害程度，本预案将火灾事故的应急级别划分为一级、二级、三级，一级最高，三级最低。对应的色标分别为红色、黄色、蓝色。</w:t>
      </w:r>
      <w:bookmarkEnd w:id="110"/>
    </w:p>
    <w:p w14:paraId="62013E52">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本预案关于火灾事故的响应级别分级情况，如表4.3-1所示。</w:t>
      </w:r>
    </w:p>
    <w:p w14:paraId="2EAAAD2B">
      <w:pPr>
        <w:widowControl/>
        <w:overflowPunct w:val="0"/>
        <w:topLinePunct/>
        <w:adjustRightInd w:val="0"/>
        <w:snapToGrid w:val="0"/>
        <w:spacing w:before="78" w:beforeLines="25" w:after="78" w:afterLines="25"/>
        <w:jc w:val="center"/>
        <w:textAlignment w:val="top"/>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表4.3-1  本预案不同响应级别情况一览表</w:t>
      </w:r>
    </w:p>
    <w:tbl>
      <w:tblPr>
        <w:tblStyle w:val="29"/>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966"/>
        <w:gridCol w:w="3966"/>
        <w:gridCol w:w="3010"/>
      </w:tblGrid>
      <w:tr w14:paraId="02C29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17" w:type="dxa"/>
            <w:tcMar>
              <w:top w:w="113" w:type="dxa"/>
              <w:left w:w="57" w:type="dxa"/>
              <w:bottom w:w="113" w:type="dxa"/>
              <w:right w:w="57" w:type="dxa"/>
            </w:tcMar>
            <w:vAlign w:val="center"/>
          </w:tcPr>
          <w:p w14:paraId="01A82DE9">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响应分级</w:t>
            </w:r>
          </w:p>
        </w:tc>
        <w:tc>
          <w:tcPr>
            <w:tcW w:w="966" w:type="dxa"/>
            <w:tcMar>
              <w:top w:w="113" w:type="dxa"/>
              <w:left w:w="57" w:type="dxa"/>
              <w:bottom w:w="113" w:type="dxa"/>
              <w:right w:w="57" w:type="dxa"/>
            </w:tcMar>
            <w:vAlign w:val="center"/>
          </w:tcPr>
          <w:p w14:paraId="1006F782">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对应色标</w:t>
            </w:r>
          </w:p>
        </w:tc>
        <w:tc>
          <w:tcPr>
            <w:tcW w:w="3966" w:type="dxa"/>
            <w:tcMar>
              <w:top w:w="113" w:type="dxa"/>
              <w:left w:w="57" w:type="dxa"/>
              <w:bottom w:w="113" w:type="dxa"/>
              <w:right w:w="57" w:type="dxa"/>
            </w:tcMar>
            <w:vAlign w:val="center"/>
          </w:tcPr>
          <w:p w14:paraId="61658FE8">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响应条件</w:t>
            </w:r>
          </w:p>
        </w:tc>
        <w:tc>
          <w:tcPr>
            <w:tcW w:w="3010" w:type="dxa"/>
            <w:tcMar>
              <w:top w:w="113" w:type="dxa"/>
              <w:left w:w="57" w:type="dxa"/>
              <w:bottom w:w="113" w:type="dxa"/>
              <w:right w:w="57" w:type="dxa"/>
            </w:tcMar>
            <w:vAlign w:val="center"/>
          </w:tcPr>
          <w:p w14:paraId="78C5DC30">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响应主体</w:t>
            </w:r>
          </w:p>
        </w:tc>
      </w:tr>
      <w:tr w14:paraId="7D0D5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17" w:type="dxa"/>
            <w:tcMar>
              <w:top w:w="113" w:type="dxa"/>
              <w:left w:w="57" w:type="dxa"/>
              <w:bottom w:w="113" w:type="dxa"/>
              <w:right w:w="57" w:type="dxa"/>
            </w:tcMar>
            <w:vAlign w:val="center"/>
          </w:tcPr>
          <w:p w14:paraId="226CDA3F">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一级</w:t>
            </w:r>
          </w:p>
        </w:tc>
        <w:tc>
          <w:tcPr>
            <w:tcW w:w="966" w:type="dxa"/>
            <w:tcMar>
              <w:top w:w="113" w:type="dxa"/>
              <w:left w:w="57" w:type="dxa"/>
              <w:bottom w:w="113" w:type="dxa"/>
              <w:right w:w="57" w:type="dxa"/>
            </w:tcMar>
            <w:vAlign w:val="center"/>
          </w:tcPr>
          <w:p w14:paraId="3E6751CC">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红色</w:t>
            </w:r>
          </w:p>
        </w:tc>
        <w:tc>
          <w:tcPr>
            <w:tcW w:w="3966" w:type="dxa"/>
            <w:tcMar>
              <w:top w:w="113" w:type="dxa"/>
              <w:left w:w="57" w:type="dxa"/>
              <w:bottom w:w="113" w:type="dxa"/>
              <w:right w:w="57" w:type="dxa"/>
            </w:tcMar>
            <w:vAlign w:val="center"/>
          </w:tcPr>
          <w:p w14:paraId="4EFE1650">
            <w:pPr>
              <w:overflowPunct w:val="0"/>
              <w:topLinePunct/>
              <w:contextualSpacing/>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bCs/>
                <w:color w:val="auto"/>
                <w:kern w:val="0"/>
                <w:sz w:val="21"/>
                <w:szCs w:val="21"/>
              </w:rPr>
              <w:t>5人以上重伤、2人以上死亡，或者直接经济损失500万元以上的事故。</w:t>
            </w:r>
          </w:p>
        </w:tc>
        <w:tc>
          <w:tcPr>
            <w:tcW w:w="3010" w:type="dxa"/>
            <w:tcMar>
              <w:top w:w="113" w:type="dxa"/>
              <w:left w:w="57" w:type="dxa"/>
              <w:bottom w:w="113" w:type="dxa"/>
              <w:right w:w="57" w:type="dxa"/>
            </w:tcMar>
            <w:vAlign w:val="center"/>
          </w:tcPr>
          <w:p w14:paraId="2E1EFC46">
            <w:pPr>
              <w:overflowPunct w:val="0"/>
              <w:topLinePunct/>
              <w:contextualSpacing/>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区级以上相关政府或部门负责；本街道先期处置及配合处置。</w:t>
            </w:r>
          </w:p>
        </w:tc>
      </w:tr>
      <w:tr w14:paraId="479FD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17" w:type="dxa"/>
            <w:tcMar>
              <w:top w:w="113" w:type="dxa"/>
              <w:left w:w="57" w:type="dxa"/>
              <w:bottom w:w="113" w:type="dxa"/>
              <w:right w:w="57" w:type="dxa"/>
            </w:tcMar>
            <w:vAlign w:val="center"/>
          </w:tcPr>
          <w:p w14:paraId="3060D719">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二级</w:t>
            </w:r>
          </w:p>
        </w:tc>
        <w:tc>
          <w:tcPr>
            <w:tcW w:w="966" w:type="dxa"/>
            <w:tcMar>
              <w:top w:w="113" w:type="dxa"/>
              <w:left w:w="57" w:type="dxa"/>
              <w:bottom w:w="113" w:type="dxa"/>
              <w:right w:w="57" w:type="dxa"/>
            </w:tcMar>
            <w:vAlign w:val="center"/>
          </w:tcPr>
          <w:p w14:paraId="0B283B1A">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黄色</w:t>
            </w:r>
          </w:p>
        </w:tc>
        <w:tc>
          <w:tcPr>
            <w:tcW w:w="3966" w:type="dxa"/>
            <w:tcMar>
              <w:top w:w="113" w:type="dxa"/>
              <w:left w:w="57" w:type="dxa"/>
              <w:bottom w:w="113" w:type="dxa"/>
              <w:right w:w="57" w:type="dxa"/>
            </w:tcMar>
            <w:vAlign w:val="center"/>
          </w:tcPr>
          <w:p w14:paraId="64B6D6EA">
            <w:pPr>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5人以下重伤、2人以下死亡，或者直接经济损失500万元以下的事故，</w:t>
            </w:r>
            <w:bookmarkStart w:id="114" w:name="_Hlk154835830"/>
            <w:r>
              <w:rPr>
                <w:rFonts w:hint="eastAsia" w:ascii="仿宋_GB2312" w:hAnsi="仿宋_GB2312" w:eastAsia="仿宋_GB2312" w:cs="仿宋_GB2312"/>
                <w:bCs/>
                <w:color w:val="auto"/>
                <w:kern w:val="0"/>
                <w:sz w:val="21"/>
                <w:szCs w:val="21"/>
              </w:rPr>
              <w:t>且事故单位不能自行处置的。</w:t>
            </w:r>
            <w:bookmarkEnd w:id="114"/>
          </w:p>
        </w:tc>
        <w:tc>
          <w:tcPr>
            <w:tcW w:w="3010" w:type="dxa"/>
            <w:tcMar>
              <w:top w:w="113" w:type="dxa"/>
              <w:left w:w="57" w:type="dxa"/>
              <w:bottom w:w="113" w:type="dxa"/>
              <w:right w:w="57" w:type="dxa"/>
            </w:tcMar>
            <w:vAlign w:val="center"/>
          </w:tcPr>
          <w:p w14:paraId="4CE38A19">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bCs/>
                <w:color w:val="auto"/>
                <w:kern w:val="0"/>
                <w:sz w:val="21"/>
                <w:szCs w:val="21"/>
              </w:rPr>
              <w:t>街道应急组织</w:t>
            </w:r>
          </w:p>
        </w:tc>
      </w:tr>
      <w:tr w14:paraId="4DCBD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17" w:type="dxa"/>
            <w:tcMar>
              <w:top w:w="113" w:type="dxa"/>
              <w:left w:w="57" w:type="dxa"/>
              <w:bottom w:w="113" w:type="dxa"/>
              <w:right w:w="57" w:type="dxa"/>
            </w:tcMar>
            <w:vAlign w:val="center"/>
          </w:tcPr>
          <w:p w14:paraId="7E562844">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三级</w:t>
            </w:r>
          </w:p>
        </w:tc>
        <w:tc>
          <w:tcPr>
            <w:tcW w:w="966" w:type="dxa"/>
            <w:tcMar>
              <w:top w:w="113" w:type="dxa"/>
              <w:left w:w="57" w:type="dxa"/>
              <w:bottom w:w="113" w:type="dxa"/>
              <w:right w:w="57" w:type="dxa"/>
            </w:tcMar>
            <w:vAlign w:val="center"/>
          </w:tcPr>
          <w:p w14:paraId="19761B0F">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蓝色</w:t>
            </w:r>
          </w:p>
        </w:tc>
        <w:tc>
          <w:tcPr>
            <w:tcW w:w="3966" w:type="dxa"/>
            <w:tcMar>
              <w:top w:w="113" w:type="dxa"/>
              <w:left w:w="57" w:type="dxa"/>
              <w:bottom w:w="113" w:type="dxa"/>
              <w:right w:w="57" w:type="dxa"/>
            </w:tcMar>
            <w:vAlign w:val="center"/>
          </w:tcPr>
          <w:p w14:paraId="1755FBC6">
            <w:pPr>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5人以下重伤、2人以下死亡，或者直接经济损失500万元以下的事故，且事故单位能自行处置的。</w:t>
            </w:r>
          </w:p>
        </w:tc>
        <w:tc>
          <w:tcPr>
            <w:tcW w:w="3010" w:type="dxa"/>
            <w:tcMar>
              <w:top w:w="113" w:type="dxa"/>
              <w:left w:w="57" w:type="dxa"/>
              <w:bottom w:w="113" w:type="dxa"/>
              <w:right w:w="57" w:type="dxa"/>
            </w:tcMar>
            <w:vAlign w:val="center"/>
          </w:tcPr>
          <w:p w14:paraId="7CF831AA">
            <w:pPr>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事故单位自行处置；</w:t>
            </w:r>
          </w:p>
          <w:p w14:paraId="6878BB0F">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bCs/>
                <w:color w:val="auto"/>
                <w:kern w:val="0"/>
                <w:sz w:val="21"/>
                <w:szCs w:val="21"/>
              </w:rPr>
              <w:t>本街道协助处置</w:t>
            </w:r>
          </w:p>
        </w:tc>
      </w:tr>
    </w:tbl>
    <w:p w14:paraId="37D7F5A0">
      <w:pPr>
        <w:widowControl/>
        <w:overflowPunct w:val="0"/>
        <w:topLinePunct/>
        <w:adjustRightInd w:val="0"/>
        <w:snapToGrid w:val="0"/>
        <w:spacing w:before="78" w:beforeLines="25" w:after="78" w:afterLines="25"/>
        <w:jc w:val="center"/>
        <w:textAlignment w:val="top"/>
        <w:rPr>
          <w:rFonts w:hint="eastAsia" w:ascii="仿宋_GB2312" w:hAnsi="仿宋_GB2312" w:eastAsia="仿宋_GB2312" w:cs="仿宋_GB2312"/>
          <w:b/>
          <w:bCs/>
          <w:color w:val="auto"/>
          <w:sz w:val="24"/>
          <w:szCs w:val="24"/>
        </w:rPr>
      </w:pPr>
    </w:p>
    <w:bookmarkEnd w:id="111"/>
    <w:p w14:paraId="448DB951">
      <w:pPr>
        <w:pStyle w:val="5"/>
        <w:overflowPunct w:val="0"/>
        <w:topLinePunct/>
        <w:adjustRightInd w:val="0"/>
        <w:snapToGrid w:val="0"/>
        <w:spacing w:before="156" w:beforeLines="50" w:after="0" w:line="360" w:lineRule="auto"/>
        <w:textAlignment w:val="top"/>
        <w:rPr>
          <w:rFonts w:hint="eastAsia" w:ascii="仿宋_GB2312" w:hAnsi="仿宋_GB2312" w:eastAsia="仿宋_GB2312" w:cs="仿宋_GB2312"/>
          <w:color w:val="auto"/>
          <w:sz w:val="28"/>
          <w:szCs w:val="28"/>
        </w:rPr>
      </w:pPr>
      <w:bookmarkStart w:id="115" w:name="_Toc155861802"/>
      <w:r>
        <w:rPr>
          <w:rFonts w:hint="eastAsia" w:ascii="仿宋_GB2312" w:hAnsi="仿宋_GB2312" w:eastAsia="仿宋_GB2312" w:cs="仿宋_GB2312"/>
          <w:color w:val="auto"/>
          <w:sz w:val="28"/>
          <w:szCs w:val="28"/>
        </w:rPr>
        <w:t>4.3.2  响应启动条件</w:t>
      </w:r>
      <w:bookmarkEnd w:id="115"/>
    </w:p>
    <w:p w14:paraId="73A0C561">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bookmarkStart w:id="116" w:name="_Hlk154616652"/>
      <w:r>
        <w:rPr>
          <w:rFonts w:hint="eastAsia" w:ascii="仿宋_GB2312" w:hAnsi="仿宋_GB2312" w:eastAsia="仿宋_GB2312" w:cs="仿宋_GB2312"/>
          <w:color w:val="auto"/>
        </w:rPr>
        <w:t>一级响应（红色）：发生Ⅰ级火灾事故。</w:t>
      </w:r>
    </w:p>
    <w:p w14:paraId="1D4AF25B">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二级响应（黄色）：发生Ⅱ级火灾事故</w:t>
      </w:r>
      <w:r>
        <w:rPr>
          <w:rFonts w:hint="eastAsia" w:ascii="仿宋_GB2312" w:hAnsi="仿宋_GB2312" w:eastAsia="仿宋_GB2312" w:cs="仿宋_GB2312"/>
          <w:bCs/>
          <w:color w:val="auto"/>
        </w:rPr>
        <w:t>。</w:t>
      </w:r>
    </w:p>
    <w:p w14:paraId="1B2F6935">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三级响应（蓝色）：发生Ⅲ级火灾事故。</w:t>
      </w:r>
    </w:p>
    <w:bookmarkEnd w:id="116"/>
    <w:p w14:paraId="6F432CBC">
      <w:pPr>
        <w:pStyle w:val="5"/>
        <w:overflowPunct w:val="0"/>
        <w:topLinePunct/>
        <w:adjustRightInd w:val="0"/>
        <w:snapToGrid w:val="0"/>
        <w:spacing w:before="0" w:after="0" w:line="360" w:lineRule="auto"/>
        <w:textAlignment w:val="top"/>
        <w:rPr>
          <w:rFonts w:hint="eastAsia" w:ascii="仿宋_GB2312" w:hAnsi="仿宋_GB2312" w:eastAsia="仿宋_GB2312" w:cs="仿宋_GB2312"/>
          <w:color w:val="auto"/>
          <w:sz w:val="28"/>
          <w:szCs w:val="28"/>
        </w:rPr>
      </w:pPr>
      <w:bookmarkStart w:id="117" w:name="_Toc155861803"/>
      <w:r>
        <w:rPr>
          <w:rFonts w:hint="eastAsia" w:ascii="仿宋_GB2312" w:hAnsi="仿宋_GB2312" w:eastAsia="仿宋_GB2312" w:cs="仿宋_GB2312"/>
          <w:color w:val="auto"/>
          <w:sz w:val="28"/>
          <w:szCs w:val="28"/>
        </w:rPr>
        <w:t xml:space="preserve">4.3.3  </w:t>
      </w:r>
      <w:bookmarkStart w:id="118" w:name="_Hlk128322328"/>
      <w:r>
        <w:rPr>
          <w:rFonts w:hint="eastAsia" w:ascii="仿宋_GB2312" w:hAnsi="仿宋_GB2312" w:eastAsia="仿宋_GB2312" w:cs="仿宋_GB2312"/>
          <w:color w:val="auto"/>
          <w:sz w:val="28"/>
          <w:szCs w:val="28"/>
        </w:rPr>
        <w:t>应急响应启动</w:t>
      </w:r>
      <w:bookmarkEnd w:id="117"/>
      <w:bookmarkEnd w:id="118"/>
    </w:p>
    <w:p w14:paraId="13FF2316">
      <w:pPr>
        <w:widowControl/>
        <w:overflowPunct w:val="0"/>
        <w:topLinePunct/>
        <w:adjustRightInd w:val="0"/>
        <w:snapToGrid w:val="0"/>
        <w:spacing w:line="360" w:lineRule="auto"/>
        <w:textAlignment w:val="top"/>
        <w:rPr>
          <w:rFonts w:hint="eastAsia" w:ascii="仿宋_GB2312" w:hAnsi="仿宋_GB2312" w:eastAsia="仿宋_GB2312" w:cs="仿宋_GB2312"/>
          <w:color w:val="auto"/>
        </w:rPr>
      </w:pPr>
      <w:bookmarkStart w:id="119" w:name="_Hlk154630396"/>
      <w:bookmarkStart w:id="120" w:name="_Hlk154630261"/>
      <w:bookmarkStart w:id="121" w:name="_Hlk127775136"/>
      <w:bookmarkStart w:id="122" w:name="_Hlk127775476"/>
      <w:r>
        <w:rPr>
          <w:rFonts w:hint="eastAsia" w:ascii="仿宋_GB2312" w:hAnsi="仿宋_GB2312" w:eastAsia="仿宋_GB2312" w:cs="仿宋_GB2312"/>
          <w:color w:val="auto"/>
        </w:rPr>
        <w:t>4.3.3.1  应急启动主体</w:t>
      </w:r>
    </w:p>
    <w:bookmarkEnd w:id="119"/>
    <w:p w14:paraId="2D2BBB21">
      <w:pPr>
        <w:widowControl/>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1. 一级响应（红色）</w:t>
      </w:r>
    </w:p>
    <w:p w14:paraId="7780BABD">
      <w:pPr>
        <w:widowControl/>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由区级以上相关政府或部门负责；本街道先期处置及配合处置。</w:t>
      </w:r>
    </w:p>
    <w:p w14:paraId="43F17082">
      <w:pPr>
        <w:widowControl/>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 二级响应（黄色）</w:t>
      </w:r>
    </w:p>
    <w:p w14:paraId="6BE52606">
      <w:pPr>
        <w:widowControl/>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由本街道负责处置；事故单位先期处置及配合处置。</w:t>
      </w:r>
    </w:p>
    <w:p w14:paraId="40BA844A">
      <w:pPr>
        <w:widowControl/>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3. 三级响应（蓝色）</w:t>
      </w:r>
    </w:p>
    <w:p w14:paraId="7BA7B9F3">
      <w:pPr>
        <w:widowControl/>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由事故单位自行处置；本街道根据事故单位申请，协助处置。</w:t>
      </w:r>
    </w:p>
    <w:bookmarkEnd w:id="120"/>
    <w:p w14:paraId="1B42A82C">
      <w:pPr>
        <w:widowControl/>
        <w:overflowPunct w:val="0"/>
        <w:topLinePunct/>
        <w:adjustRightInd w:val="0"/>
        <w:snapToGrid w:val="0"/>
        <w:spacing w:line="360" w:lineRule="auto"/>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4.3.3.2  应急响应部署</w:t>
      </w:r>
    </w:p>
    <w:p w14:paraId="5F2B4CBD">
      <w:pPr>
        <w:widowControl/>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街道应急总指挥接到火灾事故报告后，应迅速召集街道应急管理委员会成员开会，确定并部署以下主要事项：</w:t>
      </w:r>
    </w:p>
    <w:p w14:paraId="58267DF8">
      <w:pPr>
        <w:widowControl/>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1. 根据火灾事故的可能后果情况，初步确定应急响应级别；</w:t>
      </w:r>
    </w:p>
    <w:p w14:paraId="4DA35AFA">
      <w:pPr>
        <w:widowControl/>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 确定火灾事故救人及事故处置方案；</w:t>
      </w:r>
    </w:p>
    <w:p w14:paraId="17056176">
      <w:pPr>
        <w:widowControl/>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3. 组织各应急小组紧急</w:t>
      </w:r>
      <w:r>
        <w:rPr>
          <w:rFonts w:hint="eastAsia" w:ascii="仿宋_GB2312" w:hAnsi="仿宋_GB2312" w:eastAsia="仿宋_GB2312" w:cs="仿宋_GB2312"/>
          <w:color w:val="auto"/>
          <w:lang w:eastAsia="zh-CN"/>
        </w:rPr>
        <w:t>赶赴现场</w:t>
      </w:r>
      <w:r>
        <w:rPr>
          <w:rFonts w:hint="eastAsia" w:ascii="仿宋_GB2312" w:hAnsi="仿宋_GB2312" w:eastAsia="仿宋_GB2312" w:cs="仿宋_GB2312"/>
          <w:color w:val="auto"/>
        </w:rPr>
        <w:t>，按各自的职责进行应急处置；</w:t>
      </w:r>
    </w:p>
    <w:p w14:paraId="61C8763C">
      <w:pPr>
        <w:widowControl/>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4. 需信息上报和信息通报的，在规定时间进行信息上报和信息通报；</w:t>
      </w:r>
    </w:p>
    <w:p w14:paraId="30800A73">
      <w:pPr>
        <w:widowControl/>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5. 协调街道内有关单位的应急物资调配；</w:t>
      </w:r>
    </w:p>
    <w:p w14:paraId="2DBCEE6B">
      <w:pPr>
        <w:widowControl/>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6. 部署应急资金及其他应急保障事项等。</w:t>
      </w:r>
    </w:p>
    <w:bookmarkEnd w:id="121"/>
    <w:bookmarkEnd w:id="122"/>
    <w:p w14:paraId="59D2E437">
      <w:pPr>
        <w:pStyle w:val="5"/>
        <w:overflowPunct w:val="0"/>
        <w:topLinePunct/>
        <w:adjustRightInd w:val="0"/>
        <w:snapToGrid w:val="0"/>
        <w:spacing w:before="0" w:after="0" w:line="360" w:lineRule="auto"/>
        <w:textAlignment w:val="top"/>
        <w:rPr>
          <w:rFonts w:hint="eastAsia" w:ascii="仿宋_GB2312" w:hAnsi="仿宋_GB2312" w:eastAsia="仿宋_GB2312" w:cs="仿宋_GB2312"/>
          <w:color w:val="auto"/>
          <w:sz w:val="28"/>
          <w:szCs w:val="28"/>
        </w:rPr>
      </w:pPr>
      <w:bookmarkStart w:id="123" w:name="_Toc155861804"/>
      <w:r>
        <w:rPr>
          <w:rFonts w:hint="eastAsia" w:ascii="仿宋_GB2312" w:hAnsi="仿宋_GB2312" w:eastAsia="仿宋_GB2312" w:cs="仿宋_GB2312"/>
          <w:color w:val="auto"/>
          <w:sz w:val="28"/>
          <w:szCs w:val="28"/>
        </w:rPr>
        <w:t xml:space="preserve">4.3.4  </w:t>
      </w:r>
      <w:bookmarkStart w:id="124" w:name="_Hlk108439637"/>
      <w:r>
        <w:rPr>
          <w:rFonts w:hint="eastAsia" w:ascii="仿宋_GB2312" w:hAnsi="仿宋_GB2312" w:eastAsia="仿宋_GB2312" w:cs="仿宋_GB2312"/>
          <w:color w:val="auto"/>
          <w:sz w:val="28"/>
          <w:szCs w:val="28"/>
        </w:rPr>
        <w:t>应急响应流程</w:t>
      </w:r>
      <w:bookmarkEnd w:id="123"/>
      <w:bookmarkEnd w:id="124"/>
    </w:p>
    <w:p w14:paraId="4C583E96">
      <w:pPr>
        <w:widowControl/>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街道火灾事故的应急响应流程，如图4.3-1所示：</w:t>
      </w:r>
    </w:p>
    <w:p w14:paraId="2B556AC0">
      <w:pPr>
        <w:widowControl/>
        <w:overflowPunct w:val="0"/>
        <w:topLinePunct/>
        <w:adjustRightInd w:val="0"/>
        <w:snapToGrid w:val="0"/>
        <w:spacing w:line="360" w:lineRule="auto"/>
        <w:jc w:val="center"/>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drawing>
          <wp:inline distT="0" distB="0" distL="0" distR="0">
            <wp:extent cx="5039995" cy="4319905"/>
            <wp:effectExtent l="0" t="0" r="8255" b="4445"/>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a:srcRect l="23382" t="19500" r="24656" b="15325"/>
                    <a:stretch>
                      <a:fillRect/>
                    </a:stretch>
                  </pic:blipFill>
                  <pic:spPr>
                    <a:xfrm>
                      <a:off x="0" y="0"/>
                      <a:ext cx="5040000" cy="4320000"/>
                    </a:xfrm>
                    <a:prstGeom prst="rect">
                      <a:avLst/>
                    </a:prstGeom>
                    <a:ln>
                      <a:noFill/>
                    </a:ln>
                  </pic:spPr>
                </pic:pic>
              </a:graphicData>
            </a:graphic>
          </wp:inline>
        </w:drawing>
      </w:r>
    </w:p>
    <w:p w14:paraId="3B4DE959">
      <w:pPr>
        <w:widowControl/>
        <w:overflowPunct w:val="0"/>
        <w:topLinePunct/>
        <w:adjustRightInd w:val="0"/>
        <w:snapToGrid w:val="0"/>
        <w:spacing w:after="156" w:afterLines="50" w:line="360" w:lineRule="auto"/>
        <w:jc w:val="center"/>
        <w:textAlignment w:val="top"/>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图 4.3-1  唐王街道火灾事故应急响应流程图</w:t>
      </w:r>
    </w:p>
    <w:bookmarkEnd w:id="112"/>
    <w:bookmarkEnd w:id="113"/>
    <w:p w14:paraId="365D7F48">
      <w:pPr>
        <w:pStyle w:val="5"/>
        <w:overflowPunct w:val="0"/>
        <w:topLinePunct/>
        <w:adjustRightInd w:val="0"/>
        <w:snapToGrid w:val="0"/>
        <w:spacing w:before="0" w:after="0" w:line="360" w:lineRule="auto"/>
        <w:textAlignment w:val="top"/>
        <w:rPr>
          <w:rFonts w:hint="eastAsia" w:ascii="仿宋_GB2312" w:hAnsi="仿宋_GB2312" w:eastAsia="仿宋_GB2312" w:cs="仿宋_GB2312"/>
          <w:color w:val="auto"/>
          <w:sz w:val="28"/>
          <w:szCs w:val="28"/>
        </w:rPr>
      </w:pPr>
      <w:bookmarkStart w:id="125" w:name="_Toc155861805"/>
      <w:bookmarkStart w:id="126" w:name="_Hlk153921981"/>
      <w:r>
        <w:rPr>
          <w:rFonts w:hint="eastAsia" w:ascii="仿宋_GB2312" w:hAnsi="仿宋_GB2312" w:eastAsia="仿宋_GB2312" w:cs="仿宋_GB2312"/>
          <w:color w:val="auto"/>
          <w:sz w:val="28"/>
          <w:szCs w:val="28"/>
        </w:rPr>
        <w:t>4.3.5  应急处置措施</w:t>
      </w:r>
      <w:bookmarkEnd w:id="125"/>
    </w:p>
    <w:bookmarkEnd w:id="126"/>
    <w:p w14:paraId="5D537FBC">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火灾事故发生后，街道应急指挥部及其工作组要立即组织调动应急救援队伍和社会力量开展应急处置工作，并视情采取下列措施：</w:t>
      </w:r>
    </w:p>
    <w:p w14:paraId="09667785">
      <w:pPr>
        <w:overflowPunct w:val="0"/>
        <w:topLinePunct/>
        <w:adjustRightInd w:val="0"/>
        <w:snapToGrid w:val="0"/>
        <w:spacing w:line="360" w:lineRule="auto"/>
        <w:textAlignment w:val="top"/>
        <w:rPr>
          <w:rFonts w:hint="eastAsia" w:ascii="仿宋_GB2312" w:hAnsi="仿宋_GB2312" w:eastAsia="仿宋_GB2312" w:cs="仿宋_GB2312"/>
          <w:b/>
          <w:bCs/>
          <w:color w:val="auto"/>
        </w:rPr>
      </w:pPr>
      <w:r>
        <w:rPr>
          <w:rFonts w:hint="eastAsia" w:ascii="仿宋_GB2312" w:hAnsi="仿宋_GB2312" w:eastAsia="仿宋_GB2312" w:cs="仿宋_GB2312"/>
          <w:color w:val="auto"/>
        </w:rPr>
        <w:t>4.3.5.1  事故单位应急措施</w:t>
      </w:r>
    </w:p>
    <w:p w14:paraId="15C0F025">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事故单位是事故的第一应急响应者，应立即组织做好先期处置工作：</w:t>
      </w:r>
    </w:p>
    <w:p w14:paraId="13167967">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1. 立即启动相关应急预案，在确保安全的前提下组织抢救遇险人员，控制危险源，封锁危险场所，杜绝盲目施救，防止事态扩大。</w:t>
      </w:r>
    </w:p>
    <w:p w14:paraId="7E558696">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 优先使用本单位微型消防站、消火栓、灭火器等现有设施开展初期火灾扑救，避免火势扩大、失控。</w:t>
      </w:r>
    </w:p>
    <w:p w14:paraId="379B5E65">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3</w:t>
      </w:r>
      <w:r>
        <w:rPr>
          <w:rFonts w:hint="eastAsia" w:ascii="仿宋_GB2312" w:hAnsi="仿宋_GB2312" w:eastAsia="仿宋_GB2312" w:cs="仿宋_GB2312"/>
          <w:color w:val="auto"/>
        </w:rPr>
        <w:t>. 立即下达停产撤人命令，组织现场人员及时、有序撤离到安全地点，减少人员伤亡。</w:t>
      </w:r>
    </w:p>
    <w:p w14:paraId="1A4703D9">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4</w:t>
      </w:r>
      <w:r>
        <w:rPr>
          <w:rFonts w:hint="eastAsia" w:ascii="仿宋_GB2312" w:hAnsi="仿宋_GB2312" w:eastAsia="仿宋_GB2312" w:cs="仿宋_GB2312"/>
          <w:color w:val="auto"/>
        </w:rPr>
        <w:t>. 应及时、如实向当地政府、行业主管部门和应急管理部门报告事故情况，不得瞒报、谎报、迟报、漏报，不得故意破坏事故现场、毁灭证据。</w:t>
      </w:r>
    </w:p>
    <w:p w14:paraId="05EC8A89">
      <w:pPr>
        <w:overflowPunct w:val="0"/>
        <w:topLinePunct/>
        <w:adjustRightInd w:val="0"/>
        <w:snapToGrid w:val="0"/>
        <w:spacing w:line="360" w:lineRule="auto"/>
        <w:textAlignment w:val="top"/>
        <w:rPr>
          <w:rFonts w:hint="eastAsia" w:ascii="仿宋_GB2312" w:hAnsi="仿宋_GB2312" w:eastAsia="仿宋_GB2312" w:cs="仿宋_GB2312"/>
          <w:b/>
          <w:bCs/>
          <w:color w:val="auto"/>
        </w:rPr>
      </w:pPr>
      <w:bookmarkStart w:id="127" w:name="_Hlk154838507"/>
      <w:r>
        <w:rPr>
          <w:rFonts w:hint="eastAsia" w:ascii="仿宋_GB2312" w:hAnsi="仿宋_GB2312" w:eastAsia="仿宋_GB2312" w:cs="仿宋_GB2312"/>
          <w:color w:val="auto"/>
        </w:rPr>
        <w:t>4.3.5.2  街道应急措施</w:t>
      </w:r>
    </w:p>
    <w:bookmarkEnd w:id="127"/>
    <w:p w14:paraId="43E19FAD">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bookmarkStart w:id="128" w:name="_Hlk154840759"/>
      <w:r>
        <w:rPr>
          <w:rFonts w:hint="eastAsia" w:ascii="仿宋_GB2312" w:hAnsi="仿宋_GB2312" w:eastAsia="仿宋_GB2312" w:cs="仿宋_GB2312"/>
          <w:color w:val="auto"/>
        </w:rPr>
        <w:t>1. 主要应急程序</w:t>
      </w:r>
    </w:p>
    <w:p w14:paraId="099D8DE2">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（1）当启动Ⅰ级响应时，在上一级应急指挥机构到达之前，按照属地管理的原则，街道应启动应急处置程序，进入响应状态，调动应急救援队伍和社会力量，赶赴事故现场，组织事故单位进行先期处置。</w:t>
      </w:r>
    </w:p>
    <w:bookmarkEnd w:id="128"/>
    <w:p w14:paraId="29DB4307">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bookmarkStart w:id="129" w:name="_Hlk154840800"/>
      <w:r>
        <w:rPr>
          <w:rFonts w:hint="eastAsia" w:ascii="仿宋_GB2312" w:hAnsi="仿宋_GB2312" w:eastAsia="仿宋_GB2312" w:cs="仿宋_GB2312"/>
          <w:color w:val="auto"/>
        </w:rPr>
        <w:t>（2）当启动Ⅱ级响应时，街道应启动应急处置程序，进入响应状态，调动应急救援队伍和社会力量，赶赴事故现场，组织事故单位进行应急处置。</w:t>
      </w:r>
    </w:p>
    <w:bookmarkEnd w:id="129"/>
    <w:p w14:paraId="69CEDD87">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（3）当启动Ⅲ级响应时，由事故单位自行进行处置，街道应做好扩大应急准备，当事故单位申请增援时，随时进入响应状态，赶赴现场增援。</w:t>
      </w:r>
    </w:p>
    <w:p w14:paraId="493847AD">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bookmarkStart w:id="130" w:name="_Hlk154841254"/>
      <w:r>
        <w:rPr>
          <w:rFonts w:hint="eastAsia" w:ascii="仿宋_GB2312" w:hAnsi="仿宋_GB2312" w:eastAsia="仿宋_GB2312" w:cs="仿宋_GB2312"/>
          <w:color w:val="auto"/>
        </w:rPr>
        <w:t>2. 现场应急措施</w:t>
      </w:r>
    </w:p>
    <w:bookmarkEnd w:id="130"/>
    <w:p w14:paraId="71547EA1">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街道应急组织到达事故现场后，应采取以下应急措施：</w:t>
      </w:r>
    </w:p>
    <w:p w14:paraId="089FFAA9">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1）根据事故救援需要和现场实际需要划定警戒区域，及时疏散和安置事故可能影响的周边居民和群众，疏导劝离与救援无关的人员，维护现场秩序，确保救援工作高效有序。必要时，对事故现场实行隔离保护，火区灾区入口等重要部位，要实行专人值守，未经指挥部批准，任何人不准进入。对现场周边及有关区域实行交通管制，确保应急救援通道畅通</w:t>
      </w:r>
    </w:p>
    <w:p w14:paraId="2DB970E7">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（2）了解有关危险因素，明确防范措施，科学组织救援，积极搜救遇险人员。遇到突发情况危及救援人员生命安全时，救援队伍指挥员有权作出处置决定，迅速带领救援人员撤出危险区域，并及时报告指挥部。</w:t>
      </w:r>
    </w:p>
    <w:p w14:paraId="054C03E1">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（3）及时上报事故情况和人员伤亡情况，分配救援任务，协调各级各类救援队伍开展救援。</w:t>
      </w:r>
    </w:p>
    <w:p w14:paraId="3EB2656E">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（4）查明并及时组织力量消除次生灾害，组织抢修公共设施、接收与分配援助物资。</w:t>
      </w:r>
    </w:p>
    <w:p w14:paraId="309C5A88">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（5）街道将现场实际情况上报至区应急局，事态超出本街道处置能力时，及时向上级政府或部门请求增援。</w:t>
      </w:r>
    </w:p>
    <w:p w14:paraId="1F116510">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6）对继续救援可能直接威胁救援人员生命安全、极易造成次生衍生事故等情况时，指挥部要组织专家充分论证，作出暂停救援的决定；在事故现场得以控制、导致次生衍生事故隐患消除后，经指挥部组织研究，确认符合继续施救条件时，再行组织施救，直至救援任务完成。</w:t>
      </w:r>
    </w:p>
    <w:p w14:paraId="45CE201D">
      <w:pPr>
        <w:overflowPunct w:val="0"/>
        <w:topLinePunct/>
        <w:adjustRightInd w:val="0"/>
        <w:snapToGrid w:val="0"/>
        <w:spacing w:line="360" w:lineRule="auto"/>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4.3.5.3  医疗卫生救护措施</w:t>
      </w:r>
    </w:p>
    <w:p w14:paraId="710E5186">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街道卫生部门负责组织医疗机构对事故伤亡人员的紧急医疗救护和卫生防疫工作，必要时及时协调有关医护专家、特种药品和特种救治装备增援。卫生和派出所等部门应当积极协助运送伤员，必要时可征用过往车辆。</w:t>
      </w:r>
    </w:p>
    <w:p w14:paraId="55DCF89D">
      <w:pPr>
        <w:overflowPunct w:val="0"/>
        <w:topLinePunct/>
        <w:adjustRightInd w:val="0"/>
        <w:snapToGrid w:val="0"/>
        <w:spacing w:line="360" w:lineRule="auto"/>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4.3.5.4  应急救援人员安全防护</w:t>
      </w:r>
    </w:p>
    <w:p w14:paraId="70FFA238">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参加现场应急救援的人员，必须按规定着装并佩</w:t>
      </w:r>
      <w:r>
        <w:rPr>
          <w:rFonts w:hint="eastAsia" w:ascii="仿宋_GB2312" w:hAnsi="仿宋_GB2312" w:eastAsia="仿宋_GB2312" w:cs="仿宋_GB2312"/>
          <w:color w:val="auto"/>
          <w:lang w:eastAsia="zh-CN"/>
        </w:rPr>
        <w:t>戴</w:t>
      </w:r>
      <w:r>
        <w:rPr>
          <w:rFonts w:hint="eastAsia" w:ascii="仿宋_GB2312" w:hAnsi="仿宋_GB2312" w:eastAsia="仿宋_GB2312" w:cs="仿宋_GB2312"/>
          <w:color w:val="auto"/>
        </w:rPr>
        <w:t>明显标识，加强个人安全防护。现场灭火指挥部负责组织采取各种现场安全防护措施，严格执行应急处置人员进出事故现场的管理规定。</w:t>
      </w:r>
    </w:p>
    <w:p w14:paraId="6D03E09C">
      <w:pPr>
        <w:overflowPunct w:val="0"/>
        <w:topLinePunct/>
        <w:adjustRightInd w:val="0"/>
        <w:snapToGrid w:val="0"/>
        <w:spacing w:line="360" w:lineRule="auto"/>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4.3.5.5  群众安全防护</w:t>
      </w:r>
    </w:p>
    <w:p w14:paraId="2582C948">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现场抢险救援指挥部根据事故具体情况，明确群众安全防护的必要措施，决定应急状态下群众疏散的范围、方式、程序并组织实施。派出所负责设置事故现场警戒，实施交通管制，疏散现场无关人员，防止事态扩大。</w:t>
      </w:r>
    </w:p>
    <w:p w14:paraId="4817FEB7">
      <w:pPr>
        <w:overflowPunct w:val="0"/>
        <w:topLinePunct/>
        <w:adjustRightInd w:val="0"/>
        <w:snapToGrid w:val="0"/>
        <w:spacing w:line="360" w:lineRule="auto"/>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4.3.5.6  火灾事故处置</w:t>
      </w:r>
    </w:p>
    <w:p w14:paraId="5A6E7616">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1. 初期火灾处置</w:t>
      </w:r>
    </w:p>
    <w:p w14:paraId="1DE60021">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发生火灾时，对初期火灾的扑救，现场作业人员应迅速采取如下措施：</w:t>
      </w:r>
    </w:p>
    <w:p w14:paraId="0B19F76E">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（1）迅速查清着火部位、着火物及来源，利用现有消防设施及灭火器材进行灭火。若火势一时难以扑灭，要采取防止火势蔓延措施，保护要害部位。</w:t>
      </w:r>
    </w:p>
    <w:p w14:paraId="20302AA2">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（2）专业消防人员到达火场时应主动及时地向消防指挥人员介绍情况。</w:t>
      </w:r>
    </w:p>
    <w:p w14:paraId="4139A2BA">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 可燃物火灾处置</w:t>
      </w:r>
    </w:p>
    <w:p w14:paraId="22A8A4F9">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（1）发生火灾事故后，应本着人员和救援人员的生命优先、防止事故蔓延优先的原则，根据不同程度、不同类型的火灾事故，及时给予正确处理；当现场情况危及灭火救援人员生命时应立即撤离到安全区。</w:t>
      </w:r>
    </w:p>
    <w:p w14:paraId="7E607C92">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（2）用就近的灭火器灭火。</w:t>
      </w:r>
    </w:p>
    <w:p w14:paraId="1D1E8480">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（3）全力救助伤员，采取隔离、警戒措施，避免无关人员进入危险区域。</w:t>
      </w:r>
    </w:p>
    <w:p w14:paraId="7E040215">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（4）制定灭火方案，合理布置消防和救援力量。</w:t>
      </w:r>
    </w:p>
    <w:p w14:paraId="26A2156D">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（5）灭火完毕，立即清理火灾现场。</w:t>
      </w:r>
    </w:p>
    <w:p w14:paraId="7C2A1E03">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3. 电气火灾处置</w:t>
      </w:r>
    </w:p>
    <w:p w14:paraId="5F051C5E">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（1）电气设施着火，应首先切断供电线路及电气设备电源。</w:t>
      </w:r>
    </w:p>
    <w:p w14:paraId="0DCE8A23">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（2）灭火人员应充分利用现有消防设施进行灭火。</w:t>
      </w:r>
    </w:p>
    <w:p w14:paraId="201ECF95">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（3）及时疏散事故现场有关人员，抢救着火源周围的物资。</w:t>
      </w:r>
    </w:p>
    <w:p w14:paraId="5D915506">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（4）电气火灾严禁用水灭火，在不能确定电源是否被切断的情况下，只可用干粉、二氧化碳等灭火剂扑救；不得使用水、泡沫灭火器灭火。</w:t>
      </w:r>
    </w:p>
    <w:p w14:paraId="499236C3">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（5）灭火人员应穿绝缘鞋、戴绝缘手套，防毒面具等措施加强自我保护。</w:t>
      </w:r>
    </w:p>
    <w:p w14:paraId="3B113BD3">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（）消防队到达后，协同配合消防队灭火抢险。</w:t>
      </w:r>
    </w:p>
    <w:p w14:paraId="63C3B48D">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4. 现场受伤人员救治</w:t>
      </w:r>
    </w:p>
    <w:p w14:paraId="73B2513D">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（1）被救人员衣服着火时，应迅速脱去着火的衣服，伤处的衣、裤、袜等可剪开脱去，不可硬行撕拉，伤处用消毒纱布或干净棉布覆盖，并立即送往医院救治。</w:t>
      </w:r>
    </w:p>
    <w:p w14:paraId="34184287">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（2）对烧伤面积较大的伤员要注意呼吸，心跳的变化，必要时进行心脏复苏。对有骨折出血的伤员，应作相应的包扎，固定处理。</w:t>
      </w:r>
    </w:p>
    <w:p w14:paraId="5D1E186B">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（3）抢救受伤严重或在进行抢救伤员的同时，应及时拨打急救中心电话，由医务人员进行现场抢救，并派人接应急救车辆。</w:t>
      </w:r>
    </w:p>
    <w:p w14:paraId="54C7FDD2">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（4）火灾伴有爆炸时，可能因爆炸造成骨折及其他伤害。爆炸造成的创伤急救，原则上是先抢救，后固定，再搬运，并采取措施，防止伤情加重。</w:t>
      </w:r>
    </w:p>
    <w:p w14:paraId="5BB0C679">
      <w:pPr>
        <w:overflowPunct w:val="0"/>
        <w:topLinePunct/>
        <w:adjustRightInd w:val="0"/>
        <w:snapToGrid w:val="0"/>
        <w:spacing w:line="360" w:lineRule="auto"/>
        <w:textAlignment w:val="top"/>
        <w:rPr>
          <w:rFonts w:hint="eastAsia" w:ascii="仿宋_GB2312" w:hAnsi="仿宋_GB2312" w:eastAsia="仿宋_GB2312" w:cs="仿宋_GB2312"/>
          <w:color w:val="auto"/>
        </w:rPr>
      </w:pPr>
      <w:bookmarkStart w:id="131" w:name="_Hlk154842589"/>
      <w:r>
        <w:rPr>
          <w:rFonts w:hint="eastAsia" w:ascii="仿宋_GB2312" w:hAnsi="仿宋_GB2312" w:eastAsia="仿宋_GB2312" w:cs="仿宋_GB2312"/>
          <w:color w:val="auto"/>
        </w:rPr>
        <w:t>4.3.5.7  事故信息发布</w:t>
      </w:r>
    </w:p>
    <w:bookmarkEnd w:id="131"/>
    <w:p w14:paraId="3A568D15">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信息发布及新闻报道应坚持及时、准确、客观、全面的原则，充分重视并发挥媒体的舆论导向作用，党建工作办公室应配合火灾事故应急指挥部，及时采用授权发布、发新闻稿、接受采访、举行新闻发布会等方式发布信息，组织报道。</w:t>
      </w:r>
    </w:p>
    <w:p w14:paraId="04EDB00A">
      <w:pPr>
        <w:pStyle w:val="5"/>
        <w:overflowPunct w:val="0"/>
        <w:topLinePunct/>
        <w:adjustRightInd w:val="0"/>
        <w:snapToGrid w:val="0"/>
        <w:spacing w:before="0" w:after="0" w:line="360" w:lineRule="auto"/>
        <w:textAlignment w:val="top"/>
        <w:rPr>
          <w:rFonts w:hint="eastAsia" w:ascii="仿宋_GB2312" w:hAnsi="仿宋_GB2312" w:eastAsia="仿宋_GB2312" w:cs="仿宋_GB2312"/>
          <w:color w:val="auto"/>
          <w:sz w:val="28"/>
          <w:szCs w:val="28"/>
        </w:rPr>
      </w:pPr>
      <w:bookmarkStart w:id="132" w:name="_Toc154843498"/>
      <w:bookmarkStart w:id="133" w:name="_Toc155861806"/>
      <w:r>
        <w:rPr>
          <w:rFonts w:hint="eastAsia" w:ascii="仿宋_GB2312" w:hAnsi="仿宋_GB2312" w:eastAsia="仿宋_GB2312" w:cs="仿宋_GB2312"/>
          <w:color w:val="auto"/>
          <w:sz w:val="28"/>
          <w:szCs w:val="28"/>
        </w:rPr>
        <w:t>4.3.6  应急处置结束</w:t>
      </w:r>
      <w:bookmarkEnd w:id="132"/>
      <w:bookmarkEnd w:id="133"/>
    </w:p>
    <w:p w14:paraId="55FF8355">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应急处置结束的条件是：火灾事故的紧急处置工作完成；事故次生灾害的后果基本消除；采取了必要的防范措施。</w:t>
      </w:r>
    </w:p>
    <w:p w14:paraId="6A5CA1D0">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达到上述条件，由街道应急指挥部根据上级政府或部门的决定，宣布火灾事故应急处置结束，已采取的应急措施解除，由街道应急办公室负责向灾区有关单位、村（社区）下达火灾事故应急终止的通告。</w:t>
      </w:r>
    </w:p>
    <w:p w14:paraId="09FBF8FE">
      <w:pPr>
        <w:pStyle w:val="3"/>
        <w:overflowPunct w:val="0"/>
        <w:topLinePunct/>
        <w:adjustRightInd w:val="0"/>
        <w:snapToGrid w:val="0"/>
        <w:spacing w:before="156" w:beforeLines="50" w:after="156" w:afterLines="50" w:line="360" w:lineRule="auto"/>
        <w:jc w:val="center"/>
        <w:textAlignment w:val="top"/>
        <w:rPr>
          <w:rFonts w:ascii="黑体" w:hAnsi="黑体" w:eastAsia="黑体"/>
          <w:color w:val="auto"/>
          <w:sz w:val="36"/>
          <w:szCs w:val="36"/>
        </w:rPr>
      </w:pPr>
      <w:bookmarkStart w:id="134" w:name="_Toc155861807"/>
      <w:bookmarkStart w:id="135" w:name="_Hlk153922518"/>
      <w:r>
        <w:rPr>
          <w:rFonts w:ascii="黑体" w:hAnsi="黑体" w:eastAsia="黑体"/>
          <w:color w:val="auto"/>
          <w:sz w:val="36"/>
          <w:szCs w:val="36"/>
        </w:rPr>
        <w:t xml:space="preserve">5  </w:t>
      </w:r>
      <w:r>
        <w:rPr>
          <w:rFonts w:hint="eastAsia" w:ascii="黑体" w:hAnsi="黑体" w:eastAsia="黑体"/>
          <w:color w:val="auto"/>
          <w:sz w:val="36"/>
          <w:szCs w:val="36"/>
        </w:rPr>
        <w:t>后期处置</w:t>
      </w:r>
      <w:bookmarkEnd w:id="134"/>
    </w:p>
    <w:bookmarkEnd w:id="135"/>
    <w:p w14:paraId="4C87F439">
      <w:pPr>
        <w:pStyle w:val="4"/>
        <w:overflowPunct w:val="0"/>
        <w:topLinePunct/>
        <w:adjustRightInd w:val="0"/>
        <w:snapToGrid w:val="0"/>
        <w:spacing w:before="0" w:after="0" w:line="360" w:lineRule="auto"/>
        <w:textAlignment w:val="top"/>
        <w:rPr>
          <w:rFonts w:ascii="Times New Roman" w:hAnsi="Times New Roman" w:eastAsia="黑体" w:cs="Times New Roman"/>
          <w:color w:val="auto"/>
          <w:sz w:val="30"/>
          <w:szCs w:val="30"/>
        </w:rPr>
      </w:pPr>
      <w:bookmarkStart w:id="136" w:name="_Toc155861808"/>
      <w:bookmarkStart w:id="137" w:name="_Hlk153922466"/>
      <w:r>
        <w:rPr>
          <w:rFonts w:ascii="Times New Roman" w:hAnsi="Times New Roman" w:eastAsia="黑体" w:cs="Times New Roman"/>
          <w:color w:val="auto"/>
          <w:sz w:val="30"/>
          <w:szCs w:val="30"/>
        </w:rPr>
        <w:t xml:space="preserve">5.1 </w:t>
      </w:r>
      <w:r>
        <w:rPr>
          <w:rFonts w:hint="eastAsia" w:ascii="Times New Roman" w:hAnsi="Times New Roman" w:eastAsia="黑体" w:cs="Times New Roman"/>
          <w:color w:val="auto"/>
          <w:sz w:val="30"/>
          <w:szCs w:val="30"/>
        </w:rPr>
        <w:t xml:space="preserve"> 善后处理</w:t>
      </w:r>
      <w:bookmarkEnd w:id="136"/>
    </w:p>
    <w:bookmarkEnd w:id="137"/>
    <w:p w14:paraId="238DE4CD">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善后处理工作在上级政府或部门的统一领导下，由街道办事处和有关部门负责组织实施。</w:t>
      </w:r>
    </w:p>
    <w:p w14:paraId="5D461890">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对火灾事故中的伤亡人员、应急处置工作人员，以及紧急调集、征用有关单位及个人的物资，要按照规定给予抚恤、补助或补偿。</w:t>
      </w:r>
    </w:p>
    <w:p w14:paraId="6C8F4D3D">
      <w:pPr>
        <w:pStyle w:val="4"/>
        <w:overflowPunct w:val="0"/>
        <w:topLinePunct/>
        <w:adjustRightInd w:val="0"/>
        <w:snapToGrid w:val="0"/>
        <w:spacing w:before="0" w:after="0" w:line="360" w:lineRule="auto"/>
        <w:textAlignment w:val="top"/>
        <w:rPr>
          <w:rFonts w:ascii="Times New Roman" w:hAnsi="Times New Roman" w:eastAsia="黑体" w:cs="Times New Roman"/>
          <w:color w:val="auto"/>
          <w:sz w:val="30"/>
          <w:szCs w:val="30"/>
        </w:rPr>
      </w:pPr>
      <w:bookmarkStart w:id="138" w:name="_Toc155861809"/>
      <w:r>
        <w:rPr>
          <w:rFonts w:ascii="Times New Roman" w:hAnsi="Times New Roman" w:eastAsia="黑体" w:cs="Times New Roman"/>
          <w:color w:val="auto"/>
          <w:sz w:val="30"/>
          <w:szCs w:val="30"/>
        </w:rPr>
        <w:t xml:space="preserve">5.2 </w:t>
      </w:r>
      <w:r>
        <w:rPr>
          <w:rFonts w:hint="eastAsia" w:ascii="Times New Roman" w:hAnsi="Times New Roman" w:eastAsia="黑体" w:cs="Times New Roman"/>
          <w:color w:val="auto"/>
          <w:sz w:val="30"/>
          <w:szCs w:val="30"/>
        </w:rPr>
        <w:t xml:space="preserve"> 社会救助</w:t>
      </w:r>
      <w:bookmarkEnd w:id="138"/>
    </w:p>
    <w:p w14:paraId="6B85814F">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1. 街道要建立健全与街道相适应的突发公共事故社会救助制度，鼓励和利用社会资源进行救助，逐步加大社会救助的比重。</w:t>
      </w:r>
    </w:p>
    <w:p w14:paraId="2393FBEF">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 </w:t>
      </w:r>
      <w:bookmarkStart w:id="139" w:name="_Hlk154331051"/>
      <w:r>
        <w:rPr>
          <w:rFonts w:hint="eastAsia" w:ascii="仿宋_GB2312" w:hAnsi="仿宋_GB2312" w:eastAsia="仿宋_GB2312" w:cs="仿宋_GB2312"/>
          <w:color w:val="auto"/>
        </w:rPr>
        <w:t>火灾事故发生后，</w:t>
      </w:r>
      <w:bookmarkEnd w:id="139"/>
      <w:r>
        <w:rPr>
          <w:rFonts w:hint="eastAsia" w:ascii="仿宋_GB2312" w:hAnsi="仿宋_GB2312" w:eastAsia="仿宋_GB2312" w:cs="仿宋_GB2312"/>
          <w:color w:val="auto"/>
        </w:rPr>
        <w:t>对因事故导致的无生活来源、无自救能力的灾民，街道政府予以协调解决灾民过渡性生活需求。</w:t>
      </w:r>
    </w:p>
    <w:p w14:paraId="19451F1F">
      <w:pPr>
        <w:pStyle w:val="4"/>
        <w:overflowPunct w:val="0"/>
        <w:topLinePunct/>
        <w:adjustRightInd w:val="0"/>
        <w:snapToGrid w:val="0"/>
        <w:spacing w:before="0" w:after="0" w:line="360" w:lineRule="auto"/>
        <w:textAlignment w:val="top"/>
        <w:rPr>
          <w:rFonts w:ascii="Times New Roman" w:hAnsi="Times New Roman" w:eastAsia="黑体" w:cs="Times New Roman"/>
          <w:color w:val="auto"/>
          <w:sz w:val="30"/>
          <w:szCs w:val="30"/>
        </w:rPr>
      </w:pPr>
      <w:bookmarkStart w:id="140" w:name="_Toc155861810"/>
      <w:r>
        <w:rPr>
          <w:rFonts w:ascii="Times New Roman" w:hAnsi="Times New Roman" w:eastAsia="黑体" w:cs="Times New Roman"/>
          <w:color w:val="auto"/>
          <w:sz w:val="30"/>
          <w:szCs w:val="30"/>
        </w:rPr>
        <w:t xml:space="preserve">5.3 </w:t>
      </w:r>
      <w:r>
        <w:rPr>
          <w:rFonts w:hint="eastAsia" w:ascii="Times New Roman" w:hAnsi="Times New Roman" w:eastAsia="黑体" w:cs="Times New Roman"/>
          <w:color w:val="auto"/>
          <w:sz w:val="30"/>
          <w:szCs w:val="30"/>
        </w:rPr>
        <w:t xml:space="preserve"> 保险理赔</w:t>
      </w:r>
      <w:bookmarkEnd w:id="140"/>
    </w:p>
    <w:p w14:paraId="4DD79423">
      <w:pPr>
        <w:overflowPunct w:val="0"/>
        <w:topLinePunct/>
        <w:adjustRightInd w:val="0"/>
        <w:snapToGrid w:val="0"/>
        <w:spacing w:line="360" w:lineRule="auto"/>
        <w:ind w:firstLine="560" w:firstLineChars="200"/>
        <w:textAlignment w:val="top"/>
        <w:rPr>
          <w:color w:val="auto"/>
        </w:rPr>
      </w:pPr>
      <w:r>
        <w:rPr>
          <w:rFonts w:hint="eastAsia" w:ascii="仿宋_GB2312" w:hAnsi="仿宋_GB2312" w:eastAsia="仿宋_GB2312" w:cs="仿宋_GB2312"/>
          <w:color w:val="auto"/>
        </w:rPr>
        <w:t>火灾事故发生后，街道应急指挥部要积极协调配合保险公司按照保险责任进行给付的各项活动，并配合有关部门做好灾区保险理赔工作。</w:t>
      </w:r>
    </w:p>
    <w:p w14:paraId="4A30EA5B">
      <w:pPr>
        <w:pStyle w:val="4"/>
        <w:overflowPunct w:val="0"/>
        <w:topLinePunct/>
        <w:adjustRightInd w:val="0"/>
        <w:snapToGrid w:val="0"/>
        <w:spacing w:before="0" w:after="0" w:line="360" w:lineRule="auto"/>
        <w:textAlignment w:val="top"/>
        <w:rPr>
          <w:rFonts w:ascii="Times New Roman" w:hAnsi="Times New Roman" w:eastAsia="黑体" w:cs="Times New Roman"/>
          <w:color w:val="auto"/>
          <w:sz w:val="30"/>
          <w:szCs w:val="30"/>
        </w:rPr>
      </w:pPr>
      <w:bookmarkStart w:id="141" w:name="_Toc155861811"/>
      <w:bookmarkStart w:id="142" w:name="_Hlk153922552"/>
      <w:r>
        <w:rPr>
          <w:rFonts w:ascii="Times New Roman" w:hAnsi="Times New Roman" w:eastAsia="黑体" w:cs="Times New Roman"/>
          <w:color w:val="auto"/>
          <w:sz w:val="30"/>
          <w:szCs w:val="30"/>
        </w:rPr>
        <w:t xml:space="preserve">5.4 </w:t>
      </w:r>
      <w:r>
        <w:rPr>
          <w:rFonts w:hint="eastAsia" w:ascii="Times New Roman" w:hAnsi="Times New Roman" w:eastAsia="黑体" w:cs="Times New Roman"/>
          <w:color w:val="auto"/>
          <w:sz w:val="30"/>
          <w:szCs w:val="30"/>
        </w:rPr>
        <w:t xml:space="preserve"> 评估总结</w:t>
      </w:r>
      <w:bookmarkEnd w:id="141"/>
    </w:p>
    <w:bookmarkEnd w:id="142"/>
    <w:p w14:paraId="49169764">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街道应急指挥部在火灾事故发生后，要积极配合</w:t>
      </w:r>
      <w:bookmarkStart w:id="143" w:name="_Hlk154331592"/>
      <w:r>
        <w:rPr>
          <w:rFonts w:hint="eastAsia" w:ascii="仿宋_GB2312" w:hAnsi="仿宋_GB2312" w:eastAsia="仿宋_GB2312" w:cs="仿宋_GB2312"/>
          <w:color w:val="auto"/>
        </w:rPr>
        <w:t>上级政府或有关部门</w:t>
      </w:r>
      <w:bookmarkEnd w:id="143"/>
      <w:r>
        <w:rPr>
          <w:rFonts w:hint="eastAsia" w:ascii="仿宋_GB2312" w:hAnsi="仿宋_GB2312" w:eastAsia="仿宋_GB2312" w:cs="仿宋_GB2312"/>
          <w:color w:val="auto"/>
        </w:rPr>
        <w:t>的调查，并负责会同有关部门评估火灾事故造成的损失。</w:t>
      </w:r>
    </w:p>
    <w:p w14:paraId="168F513D">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根据</w:t>
      </w:r>
      <w:bookmarkStart w:id="144" w:name="_Hlk154331694"/>
      <w:r>
        <w:rPr>
          <w:rFonts w:hint="eastAsia" w:ascii="仿宋_GB2312" w:hAnsi="仿宋_GB2312" w:eastAsia="仿宋_GB2312" w:cs="仿宋_GB2312"/>
          <w:color w:val="auto"/>
        </w:rPr>
        <w:t>上级政府或有关部门</w:t>
      </w:r>
      <w:bookmarkEnd w:id="144"/>
      <w:r>
        <w:rPr>
          <w:rFonts w:hint="eastAsia" w:ascii="仿宋_GB2312" w:hAnsi="仿宋_GB2312" w:eastAsia="仿宋_GB2312" w:cs="仿宋_GB2312"/>
          <w:color w:val="auto"/>
        </w:rPr>
        <w:t>的要求，向上级政府或有关部门报告火灾事故情况报告。报告的内容包括：火灾事故基本情况、人员伤亡和财产损失、应急处置情况、善后处置情况及采取的措施等。</w:t>
      </w:r>
    </w:p>
    <w:p w14:paraId="6B244157">
      <w:pPr>
        <w:pStyle w:val="3"/>
        <w:overflowPunct w:val="0"/>
        <w:topLinePunct/>
        <w:adjustRightInd w:val="0"/>
        <w:snapToGrid w:val="0"/>
        <w:spacing w:before="156" w:beforeLines="50" w:after="156" w:afterLines="50" w:line="360" w:lineRule="auto"/>
        <w:jc w:val="center"/>
        <w:textAlignment w:val="top"/>
        <w:rPr>
          <w:rFonts w:ascii="黑体" w:hAnsi="黑体" w:eastAsia="黑体"/>
          <w:color w:val="auto"/>
          <w:sz w:val="36"/>
          <w:szCs w:val="36"/>
        </w:rPr>
      </w:pPr>
      <w:bookmarkStart w:id="145" w:name="_Toc155861812"/>
      <w:r>
        <w:rPr>
          <w:rFonts w:ascii="黑体" w:hAnsi="黑体" w:eastAsia="黑体"/>
          <w:color w:val="auto"/>
          <w:sz w:val="36"/>
          <w:szCs w:val="36"/>
        </w:rPr>
        <w:t xml:space="preserve">6  </w:t>
      </w:r>
      <w:r>
        <w:rPr>
          <w:rFonts w:hint="eastAsia" w:ascii="黑体" w:hAnsi="黑体" w:eastAsia="黑体"/>
          <w:color w:val="auto"/>
          <w:sz w:val="36"/>
          <w:szCs w:val="36"/>
        </w:rPr>
        <w:t>应急保障</w:t>
      </w:r>
      <w:bookmarkEnd w:id="145"/>
    </w:p>
    <w:p w14:paraId="761309E7">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街道相关科室应和辖区内各企事业单位、村庄、社区及其他组织，应密切配合，严格履行职责，切实保证应急指挥信息畅通、应急物资充足、技术装备良好、现场救援及时、紧急动员迅速有效，确保应急处置工作顺利开展。</w:t>
      </w:r>
    </w:p>
    <w:p w14:paraId="0CD30BA6">
      <w:pPr>
        <w:pStyle w:val="4"/>
        <w:overflowPunct w:val="0"/>
        <w:topLinePunct/>
        <w:adjustRightInd w:val="0"/>
        <w:snapToGrid w:val="0"/>
        <w:spacing w:before="0" w:after="0" w:line="360" w:lineRule="auto"/>
        <w:textAlignment w:val="top"/>
        <w:rPr>
          <w:rFonts w:ascii="Times New Roman" w:hAnsi="Times New Roman" w:eastAsia="黑体" w:cs="Times New Roman"/>
          <w:color w:val="auto"/>
          <w:sz w:val="30"/>
          <w:szCs w:val="30"/>
        </w:rPr>
      </w:pPr>
      <w:bookmarkStart w:id="146" w:name="_Toc155861813"/>
      <w:bookmarkStart w:id="147" w:name="_Hlk153922864"/>
      <w:bookmarkStart w:id="148" w:name="_Hlk153972659"/>
      <w:r>
        <w:rPr>
          <w:rFonts w:ascii="Times New Roman" w:hAnsi="Times New Roman" w:eastAsia="黑体" w:cs="Times New Roman"/>
          <w:color w:val="auto"/>
          <w:sz w:val="30"/>
          <w:szCs w:val="30"/>
        </w:rPr>
        <w:t xml:space="preserve">6.1 </w:t>
      </w:r>
      <w:r>
        <w:rPr>
          <w:rFonts w:hint="eastAsia" w:ascii="Times New Roman" w:hAnsi="Times New Roman" w:eastAsia="黑体" w:cs="Times New Roman"/>
          <w:color w:val="auto"/>
          <w:sz w:val="30"/>
          <w:szCs w:val="30"/>
        </w:rPr>
        <w:t xml:space="preserve"> 通讯保障</w:t>
      </w:r>
      <w:bookmarkEnd w:id="146"/>
    </w:p>
    <w:bookmarkEnd w:id="147"/>
    <w:p w14:paraId="1EF95C6B">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 </w:t>
      </w:r>
      <w:bookmarkStart w:id="149" w:name="_Hlk153913035"/>
      <w:r>
        <w:rPr>
          <w:rFonts w:hint="eastAsia" w:ascii="仿宋_GB2312" w:hAnsi="仿宋_GB2312" w:eastAsia="仿宋_GB2312" w:cs="仿宋_GB2312"/>
          <w:bCs/>
          <w:color w:val="auto"/>
        </w:rPr>
        <w:t>中国联通唐王营业服务中心</w:t>
      </w:r>
      <w:bookmarkEnd w:id="149"/>
      <w:r>
        <w:rPr>
          <w:rFonts w:hint="eastAsia" w:ascii="仿宋_GB2312" w:hAnsi="仿宋_GB2312" w:eastAsia="仿宋_GB2312" w:cs="仿宋_GB2312"/>
          <w:color w:val="auto"/>
        </w:rPr>
        <w:t>负责牵头做好辖区</w:t>
      </w:r>
      <w:bookmarkStart w:id="150" w:name="_Hlk153966075"/>
      <w:r>
        <w:rPr>
          <w:rFonts w:hint="eastAsia" w:ascii="仿宋_GB2312" w:hAnsi="仿宋_GB2312" w:eastAsia="仿宋_GB2312" w:cs="仿宋_GB2312"/>
          <w:color w:val="auto"/>
        </w:rPr>
        <w:t>内的火灾事故的通信与信息保障工作</w:t>
      </w:r>
      <w:bookmarkEnd w:id="150"/>
      <w:r>
        <w:rPr>
          <w:rFonts w:hint="eastAsia" w:ascii="仿宋_GB2312" w:hAnsi="仿宋_GB2312" w:eastAsia="仿宋_GB2312" w:cs="仿宋_GB2312"/>
          <w:color w:val="auto"/>
        </w:rPr>
        <w:t>，</w:t>
      </w:r>
      <w:bookmarkStart w:id="151" w:name="_Hlk153966316"/>
      <w:r>
        <w:rPr>
          <w:rFonts w:hint="eastAsia" w:ascii="仿宋_GB2312" w:hAnsi="仿宋_GB2312" w:eastAsia="仿宋_GB2312" w:cs="仿宋_GB2312"/>
          <w:color w:val="auto"/>
        </w:rPr>
        <w:t>街道有关部门及辖区内的各企事业单位、村庄、社区</w:t>
      </w:r>
      <w:bookmarkEnd w:id="151"/>
      <w:r>
        <w:rPr>
          <w:rFonts w:hint="eastAsia" w:ascii="仿宋_GB2312" w:hAnsi="仿宋_GB2312" w:eastAsia="仿宋_GB2312" w:cs="仿宋_GB2312"/>
          <w:color w:val="auto"/>
        </w:rPr>
        <w:t>等，应积极配合，做好各自的火灾事故通信与信息保障工作。</w:t>
      </w:r>
    </w:p>
    <w:p w14:paraId="31041264">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 街道有关部门及辖区内的各企事业单位、村庄、社区及其他组织应做好各自单位的单位信息、人员信息、医疗卫生资源信息、建筑物信息、危险品使用和存储信息、特种设备信息、有限空间信息等，以便实现信息共享。</w:t>
      </w:r>
    </w:p>
    <w:p w14:paraId="15E192AF">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3. 街道有关部门应与辖区内的各企事业单位、村庄、社区及其他组织建立可靠快捷的通讯方式和分级联系方式，完善稳定、便捷、保密的通信手段，确保火灾事故处理期间信息畅通。</w:t>
      </w:r>
    </w:p>
    <w:p w14:paraId="5078FB93">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4. 街道应急指挥部组成人员、街道应急管理办公室组成人员及街道相关科室人员，在火灾事故应急期间，应确保指挥调度畅通，手机、电话、对讲机、网络等信息工具要确保24小时畅通。</w:t>
      </w:r>
    </w:p>
    <w:p w14:paraId="64088E78">
      <w:pPr>
        <w:pStyle w:val="4"/>
        <w:overflowPunct w:val="0"/>
        <w:topLinePunct/>
        <w:adjustRightInd w:val="0"/>
        <w:snapToGrid w:val="0"/>
        <w:spacing w:before="0" w:after="0" w:line="360" w:lineRule="auto"/>
        <w:textAlignment w:val="top"/>
        <w:rPr>
          <w:rFonts w:ascii="Times New Roman" w:hAnsi="Times New Roman" w:eastAsia="黑体" w:cs="Times New Roman"/>
          <w:color w:val="auto"/>
          <w:sz w:val="30"/>
          <w:szCs w:val="30"/>
        </w:rPr>
      </w:pPr>
      <w:bookmarkStart w:id="152" w:name="_Toc155861814"/>
      <w:r>
        <w:rPr>
          <w:rFonts w:ascii="Times New Roman" w:hAnsi="Times New Roman" w:eastAsia="黑体" w:cs="Times New Roman"/>
          <w:color w:val="auto"/>
          <w:sz w:val="30"/>
          <w:szCs w:val="30"/>
        </w:rPr>
        <w:t xml:space="preserve">6.2 </w:t>
      </w:r>
      <w:r>
        <w:rPr>
          <w:rFonts w:hint="eastAsia" w:ascii="Times New Roman" w:hAnsi="Times New Roman" w:eastAsia="黑体" w:cs="Times New Roman"/>
          <w:color w:val="auto"/>
          <w:sz w:val="30"/>
          <w:szCs w:val="30"/>
        </w:rPr>
        <w:t xml:space="preserve"> 队伍保障</w:t>
      </w:r>
      <w:bookmarkEnd w:id="152"/>
    </w:p>
    <w:bookmarkEnd w:id="148"/>
    <w:p w14:paraId="03DE24FA">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1. 本街道和街道辖区范围内机关单位、企事业单位、村庄、社区、其他组织等，应按照火灾事故应急预案的要求，健全应急机制，加强应急队伍配备，火灾事故发生时，应按照指令迅速到达现场，保障供电、交通运输、医疗保障、人员救助、群众疏散等紧急处置。</w:t>
      </w:r>
    </w:p>
    <w:p w14:paraId="3BF95383">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 应加强应急救援队伍建设，街道负责组织的应急救援队伍主要包括：由民兵等力量组成的骨干应急救援队伍；依托各级公安消防部队组建的综合应急救援队伍；由街道组建的配备专业装备器材并具备一定专业技术的专业应急救援队伍；由基层组织、企事业单位和社区、村（居）等群众自治组织组建的基层应急救援队伍；由各行业、各领域具备一定专业技术水平专家人才组成的专家应急救援队伍；由共青团、红十字会以及其他组织建立的志愿者应急救援队伍；由事发现场自发组织的自救互救“第一响应人”队伍。</w:t>
      </w:r>
    </w:p>
    <w:p w14:paraId="55AD493C">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3. 火灾事故发生后，负责或参与应急处置的指挥机构、相关部门或单位根据火灾事故情况，可调用街道、社区相关专业应急救援队伍。专业应急队伍到达事发现场后，接受专业救援队伍的统一指挥。</w:t>
      </w:r>
    </w:p>
    <w:p w14:paraId="0B7B4AF0">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4. 辖区各有关部门、单位，要加强应急救援队伍业务培训和应急演练工作，建立联动协调机制，提供符合要求的安全防护装备，采取必要防护措施，提高应急救援能力；动员社会团体、企事业单位以及志愿者等社会力量参与应急救援工作，发挥其在应对火灾事故中的重要作用。</w:t>
      </w:r>
    </w:p>
    <w:p w14:paraId="5385BC1F">
      <w:pPr>
        <w:pStyle w:val="4"/>
        <w:overflowPunct w:val="0"/>
        <w:topLinePunct/>
        <w:adjustRightInd w:val="0"/>
        <w:snapToGrid w:val="0"/>
        <w:spacing w:before="0" w:after="0" w:line="360" w:lineRule="auto"/>
        <w:textAlignment w:val="top"/>
        <w:rPr>
          <w:rFonts w:ascii="Times New Roman" w:hAnsi="Times New Roman" w:eastAsia="黑体" w:cs="Times New Roman"/>
          <w:color w:val="auto"/>
          <w:sz w:val="30"/>
          <w:szCs w:val="30"/>
        </w:rPr>
      </w:pPr>
      <w:bookmarkStart w:id="153" w:name="_Toc155861815"/>
      <w:bookmarkStart w:id="154" w:name="_Hlk153972975"/>
      <w:r>
        <w:rPr>
          <w:rFonts w:ascii="Times New Roman" w:hAnsi="Times New Roman" w:eastAsia="黑体" w:cs="Times New Roman"/>
          <w:color w:val="auto"/>
          <w:sz w:val="30"/>
          <w:szCs w:val="30"/>
        </w:rPr>
        <w:t xml:space="preserve">6.3 </w:t>
      </w:r>
      <w:r>
        <w:rPr>
          <w:rFonts w:hint="eastAsia" w:ascii="Times New Roman" w:hAnsi="Times New Roman" w:eastAsia="黑体" w:cs="Times New Roman"/>
          <w:color w:val="auto"/>
          <w:sz w:val="30"/>
          <w:szCs w:val="30"/>
        </w:rPr>
        <w:t xml:space="preserve"> 物资保障</w:t>
      </w:r>
      <w:bookmarkEnd w:id="153"/>
    </w:p>
    <w:bookmarkEnd w:id="154"/>
    <w:p w14:paraId="23987298">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1. 唐王街道制定应急物资储备规划，并组织实施。街道经济、财务、应急、交通运输、卫健、农业农村和社会发展等部门，应按照职能分工，建立健全唐王街道重要应急物资保障系统。</w:t>
      </w:r>
    </w:p>
    <w:p w14:paraId="782AC43A">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 唐王街道应根据应急需要，与有关企业签订协议，保障应急救援物资、生活必需品和应急处置装备的生产、供给。鼓励和引导村庄、社区、企业事业单位和家庭，储备基本的应急自救物资和生活必需品。</w:t>
      </w:r>
    </w:p>
    <w:p w14:paraId="6C9530FC">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3. 同时，要加强应急物资的维护保养，科学规划存放地点，确保装备性能完好，并定期进行检查调试，及时更新补充。</w:t>
      </w:r>
    </w:p>
    <w:p w14:paraId="10CFAFB2">
      <w:pPr>
        <w:pStyle w:val="4"/>
        <w:overflowPunct w:val="0"/>
        <w:topLinePunct/>
        <w:adjustRightInd w:val="0"/>
        <w:snapToGrid w:val="0"/>
        <w:spacing w:before="0" w:after="0" w:line="360" w:lineRule="auto"/>
        <w:textAlignment w:val="top"/>
        <w:rPr>
          <w:rFonts w:ascii="Times New Roman" w:hAnsi="Times New Roman" w:eastAsia="黑体" w:cs="Times New Roman"/>
          <w:color w:val="auto"/>
          <w:sz w:val="30"/>
          <w:szCs w:val="30"/>
        </w:rPr>
      </w:pPr>
      <w:bookmarkStart w:id="155" w:name="_Toc155861816"/>
      <w:r>
        <w:rPr>
          <w:rFonts w:ascii="Times New Roman" w:hAnsi="Times New Roman" w:eastAsia="黑体" w:cs="Times New Roman"/>
          <w:color w:val="auto"/>
          <w:sz w:val="30"/>
          <w:szCs w:val="30"/>
        </w:rPr>
        <w:t xml:space="preserve">6.4 </w:t>
      </w:r>
      <w:r>
        <w:rPr>
          <w:rFonts w:hint="eastAsia" w:ascii="Times New Roman" w:hAnsi="Times New Roman" w:eastAsia="黑体" w:cs="Times New Roman"/>
          <w:color w:val="auto"/>
          <w:sz w:val="30"/>
          <w:szCs w:val="30"/>
        </w:rPr>
        <w:t xml:space="preserve"> 资金保障</w:t>
      </w:r>
      <w:bookmarkEnd w:id="155"/>
    </w:p>
    <w:p w14:paraId="4DD7824D">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1. 街道应将应急预案编制与演练、平台建设、物资储备、培训和宣传教育、救援队伍建设，以及监测与预警等工作所需经费，纳入同级财政预算，并与当地经济社会发展水平相适应，保障火灾事故防范和应对工作所需经费。对受一般火灾事故影响较重的行业、企事业单位和个人，街道有关部门应及时研究提出相应的补偿或救助政策，报街道审批。财政和审计部门，要对火灾事故应急保障资金的使用和效果进行监管和评估，确保应急资金专款专用。</w:t>
      </w:r>
    </w:p>
    <w:p w14:paraId="2FBB3882">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1. 街道财务部门和各村居、各企事业单位要在一般支出预算中增设火灾事故的应急专项准备资金。鼓励公民、法人单位和其他组织为应对火灾事故的发生提供资金援助。</w:t>
      </w:r>
    </w:p>
    <w:p w14:paraId="5B85D85C">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 发生火灾事故后，各村居、各企事业单位一是根据实际情况，集中资金应对火灾事故的应急处置；二是经街道政府批准启动应急专项准备资金，必要时动用公共财政应急储备资金。</w:t>
      </w:r>
    </w:p>
    <w:p w14:paraId="7092FCCE">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3. 街道财务部门要按照“急事急办”的原则，当火灾事故发生时，应简化工作程序，凡街道政府批准的拨款事项，要在一个工作日内完成相关手续，确保火灾事故处置工作的顺利进行。</w:t>
      </w:r>
    </w:p>
    <w:p w14:paraId="1F0F9117">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4. 各级安排的资金必须专款专用，纪委、审计、财政部门要加强对资金使用的管理、监督、确保资金的使用效益。</w:t>
      </w:r>
    </w:p>
    <w:p w14:paraId="6EC0518F">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5. 鼓励公民、法人或其他组织（包括国际组织）按照《慈善法》、《公益事业捐赠法》等有关法律的规定，为政府应对火灾事故工作提供物资、装备、资金、技术支持和捐赠。引导社会资金参与应急体系项目建设。</w:t>
      </w:r>
    </w:p>
    <w:p w14:paraId="683430D5">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6. 建立健全灾害风险保险体系，鼓励单位和公民参加保险。推行安全生产、环境污染和食品安全责任保险等。各有关部门和单位，应当为专业应急救援人员购买人身意外伤害保险。</w:t>
      </w:r>
    </w:p>
    <w:p w14:paraId="37DE0CB9">
      <w:pPr>
        <w:pStyle w:val="4"/>
        <w:overflowPunct w:val="0"/>
        <w:topLinePunct/>
        <w:adjustRightInd w:val="0"/>
        <w:snapToGrid w:val="0"/>
        <w:spacing w:before="0" w:after="0" w:line="360" w:lineRule="auto"/>
        <w:textAlignment w:val="top"/>
        <w:rPr>
          <w:rFonts w:ascii="Times New Roman" w:hAnsi="Times New Roman" w:eastAsia="黑体" w:cs="Times New Roman"/>
          <w:color w:val="auto"/>
          <w:sz w:val="30"/>
          <w:szCs w:val="30"/>
        </w:rPr>
      </w:pPr>
      <w:bookmarkStart w:id="156" w:name="_Toc155861817"/>
      <w:bookmarkStart w:id="157" w:name="_Hlk153974947"/>
      <w:r>
        <w:rPr>
          <w:rFonts w:ascii="Times New Roman" w:hAnsi="Times New Roman" w:eastAsia="黑体" w:cs="Times New Roman"/>
          <w:color w:val="auto"/>
          <w:sz w:val="30"/>
          <w:szCs w:val="30"/>
        </w:rPr>
        <w:t xml:space="preserve">6.5 </w:t>
      </w:r>
      <w:r>
        <w:rPr>
          <w:rFonts w:hint="eastAsia" w:ascii="Times New Roman" w:hAnsi="Times New Roman" w:eastAsia="黑体" w:cs="Times New Roman"/>
          <w:color w:val="auto"/>
          <w:sz w:val="30"/>
          <w:szCs w:val="30"/>
        </w:rPr>
        <w:t xml:space="preserve"> 治安保障</w:t>
      </w:r>
      <w:bookmarkEnd w:id="156"/>
    </w:p>
    <w:bookmarkEnd w:id="157"/>
    <w:p w14:paraId="353A2A18">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1. 火灾事故发生后，街道辖区的公安派出所在街道应急指挥部的指挥下负责治安保障，立即在处置现场周围设立警戒区和警戒哨，做好现场控制、交通管制、疏散救助群众、维护公共秩序等工作。</w:t>
      </w:r>
    </w:p>
    <w:p w14:paraId="0B0FEC7E">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 火灾事故发生后，</w:t>
      </w:r>
      <w:bookmarkStart w:id="158" w:name="_Hlk154579495"/>
      <w:r>
        <w:rPr>
          <w:rFonts w:hint="eastAsia" w:ascii="仿宋_GB2312" w:hAnsi="仿宋_GB2312" w:eastAsia="仿宋_GB2312" w:cs="仿宋_GB2312"/>
          <w:color w:val="auto"/>
        </w:rPr>
        <w:t>街道辖区的公安派出所</w:t>
      </w:r>
      <w:bookmarkEnd w:id="158"/>
      <w:r>
        <w:rPr>
          <w:rFonts w:hint="eastAsia" w:ascii="仿宋_GB2312" w:hAnsi="仿宋_GB2312" w:eastAsia="仿宋_GB2312" w:cs="仿宋_GB2312"/>
          <w:color w:val="auto"/>
        </w:rPr>
        <w:t>，负责火灾事故现场的治安维护。派出所应制定不同类别、级别火灾事故应急状态下维护治安、交通秩序的行动方案，加强对重点地区、场所、人群、物资设备的安全防护，依法严厉打击违法犯罪活动。必要时，依法采取有效管制措施，控制事态，维护社会秩序。事发地相关单位和个人，应积极主动配合做好治安维护工作。</w:t>
      </w:r>
    </w:p>
    <w:p w14:paraId="27BE309B">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3. 各村居、各企事业单位要积极发动和组织社会力量开展自救互救，群防群治，严密防范各种违法犯罪活动，全力维护事发地的社会稳定。</w:t>
      </w:r>
    </w:p>
    <w:p w14:paraId="75EAAA24">
      <w:pPr>
        <w:pStyle w:val="4"/>
        <w:overflowPunct w:val="0"/>
        <w:topLinePunct/>
        <w:adjustRightInd w:val="0"/>
        <w:snapToGrid w:val="0"/>
        <w:spacing w:before="0" w:after="0" w:line="360" w:lineRule="auto"/>
        <w:textAlignment w:val="top"/>
        <w:rPr>
          <w:rFonts w:ascii="Times New Roman" w:hAnsi="Times New Roman" w:eastAsia="黑体" w:cs="Times New Roman"/>
          <w:color w:val="auto"/>
          <w:sz w:val="30"/>
          <w:szCs w:val="30"/>
        </w:rPr>
      </w:pPr>
      <w:bookmarkStart w:id="159" w:name="_Toc155861818"/>
      <w:r>
        <w:rPr>
          <w:rFonts w:ascii="Times New Roman" w:hAnsi="Times New Roman" w:eastAsia="黑体" w:cs="Times New Roman"/>
          <w:color w:val="auto"/>
          <w:sz w:val="30"/>
          <w:szCs w:val="30"/>
        </w:rPr>
        <w:t xml:space="preserve">6.6 </w:t>
      </w:r>
      <w:r>
        <w:rPr>
          <w:rFonts w:hint="eastAsia" w:ascii="Times New Roman" w:hAnsi="Times New Roman" w:eastAsia="黑体" w:cs="Times New Roman"/>
          <w:color w:val="auto"/>
          <w:sz w:val="30"/>
          <w:szCs w:val="30"/>
        </w:rPr>
        <w:t xml:space="preserve"> 医疗保障</w:t>
      </w:r>
      <w:bookmarkEnd w:id="159"/>
    </w:p>
    <w:p w14:paraId="71B82EEF">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1. 街道卫生院负责牵头做好医疗卫生保障工作。要加强医疗救助体系建设，研究制定适应不同类别火灾事故的应急准备措施，实现应急卫生资源的有机整合，全面提高医疗救助管理和紧急处置能力。</w:t>
      </w:r>
    </w:p>
    <w:p w14:paraId="40732EAD">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 街道医疗卫生应急专业救援队伍，应提高救治能力，保障医疗资源配备，增强救援能力建设，根据需要，及时赶赴现场，开展医疗救治、疾病预防控制和心理援助等卫生应急工作。</w:t>
      </w:r>
    </w:p>
    <w:p w14:paraId="57614F6B">
      <w:pPr>
        <w:pStyle w:val="4"/>
        <w:overflowPunct w:val="0"/>
        <w:topLinePunct/>
        <w:adjustRightInd w:val="0"/>
        <w:snapToGrid w:val="0"/>
        <w:spacing w:before="0" w:after="0" w:line="360" w:lineRule="auto"/>
        <w:textAlignment w:val="top"/>
        <w:rPr>
          <w:rFonts w:ascii="Times New Roman" w:hAnsi="Times New Roman" w:eastAsia="黑体" w:cs="Times New Roman"/>
          <w:color w:val="auto"/>
          <w:sz w:val="30"/>
          <w:szCs w:val="30"/>
        </w:rPr>
      </w:pPr>
      <w:bookmarkStart w:id="160" w:name="_Toc155861819"/>
      <w:r>
        <w:rPr>
          <w:rFonts w:ascii="Times New Roman" w:hAnsi="Times New Roman" w:eastAsia="黑体" w:cs="Times New Roman"/>
          <w:color w:val="auto"/>
          <w:sz w:val="30"/>
          <w:szCs w:val="30"/>
        </w:rPr>
        <w:t xml:space="preserve">6.7 </w:t>
      </w:r>
      <w:r>
        <w:rPr>
          <w:rFonts w:hint="eastAsia" w:ascii="Times New Roman" w:hAnsi="Times New Roman" w:eastAsia="黑体" w:cs="Times New Roman"/>
          <w:color w:val="auto"/>
          <w:sz w:val="30"/>
          <w:szCs w:val="30"/>
        </w:rPr>
        <w:t xml:space="preserve"> 交通保障</w:t>
      </w:r>
      <w:bookmarkEnd w:id="160"/>
    </w:p>
    <w:p w14:paraId="63E5FD7B">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1. 街道派出所等部门，负责应急处置交通运输保障的组织实施。建立和完善应急运力协调机制，加强交通应急抢险能力建设。加强应急物流体系建设，开辟应急运输绿色通道，提高人员、物资紧急运输能力。</w:t>
      </w:r>
    </w:p>
    <w:p w14:paraId="21BD43D2">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 整合各类资源，健全紧急运输服务队伍体系。进一步规范社会运力征用程序，完善补偿办法。深化军地合作，实现运输资源优势互补。</w:t>
      </w:r>
    </w:p>
    <w:p w14:paraId="4A216123">
      <w:pPr>
        <w:pStyle w:val="3"/>
        <w:overflowPunct w:val="0"/>
        <w:topLinePunct/>
        <w:adjustRightInd w:val="0"/>
        <w:snapToGrid w:val="0"/>
        <w:spacing w:before="156" w:beforeLines="50" w:after="156" w:afterLines="50" w:line="360" w:lineRule="auto"/>
        <w:jc w:val="center"/>
        <w:textAlignment w:val="top"/>
        <w:rPr>
          <w:rFonts w:ascii="黑体" w:hAnsi="黑体" w:eastAsia="黑体"/>
          <w:color w:val="auto"/>
          <w:sz w:val="36"/>
          <w:szCs w:val="36"/>
        </w:rPr>
      </w:pPr>
      <w:bookmarkStart w:id="161" w:name="_Toc155861820"/>
      <w:bookmarkStart w:id="162" w:name="_Hlk153922831"/>
      <w:r>
        <w:rPr>
          <w:rFonts w:ascii="黑体" w:hAnsi="黑体" w:eastAsia="黑体"/>
          <w:color w:val="auto"/>
          <w:sz w:val="36"/>
          <w:szCs w:val="36"/>
        </w:rPr>
        <w:t xml:space="preserve">7  </w:t>
      </w:r>
      <w:r>
        <w:rPr>
          <w:rFonts w:hint="eastAsia" w:ascii="黑体" w:hAnsi="黑体" w:eastAsia="黑体"/>
          <w:color w:val="auto"/>
          <w:sz w:val="36"/>
          <w:szCs w:val="36"/>
        </w:rPr>
        <w:t>预案管理</w:t>
      </w:r>
      <w:bookmarkEnd w:id="161"/>
    </w:p>
    <w:bookmarkEnd w:id="162"/>
    <w:p w14:paraId="7373657A">
      <w:pPr>
        <w:pStyle w:val="4"/>
        <w:overflowPunct w:val="0"/>
        <w:topLinePunct/>
        <w:adjustRightInd w:val="0"/>
        <w:snapToGrid w:val="0"/>
        <w:spacing w:before="0" w:after="0" w:line="360" w:lineRule="auto"/>
        <w:textAlignment w:val="top"/>
        <w:rPr>
          <w:rFonts w:ascii="Times New Roman" w:hAnsi="Times New Roman" w:eastAsia="黑体" w:cs="Times New Roman"/>
          <w:color w:val="auto"/>
          <w:sz w:val="30"/>
          <w:szCs w:val="30"/>
        </w:rPr>
      </w:pPr>
      <w:bookmarkStart w:id="163" w:name="_Toc155861821"/>
      <w:bookmarkStart w:id="164" w:name="_Hlk153923009"/>
      <w:r>
        <w:rPr>
          <w:rFonts w:ascii="Times New Roman" w:hAnsi="Times New Roman" w:eastAsia="黑体" w:cs="Times New Roman"/>
          <w:color w:val="auto"/>
          <w:sz w:val="30"/>
          <w:szCs w:val="30"/>
        </w:rPr>
        <w:t xml:space="preserve">7.1 </w:t>
      </w:r>
      <w:r>
        <w:rPr>
          <w:rFonts w:hint="eastAsia" w:ascii="Times New Roman" w:hAnsi="Times New Roman" w:eastAsia="黑体" w:cs="Times New Roman"/>
          <w:color w:val="auto"/>
          <w:sz w:val="30"/>
          <w:szCs w:val="30"/>
        </w:rPr>
        <w:t xml:space="preserve"> 发布实施</w:t>
      </w:r>
      <w:bookmarkEnd w:id="163"/>
    </w:p>
    <w:bookmarkEnd w:id="164"/>
    <w:p w14:paraId="35F5A555">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本预案由</w:t>
      </w:r>
      <w:bookmarkStart w:id="165" w:name="_Hlk153965023"/>
      <w:bookmarkStart w:id="166" w:name="_Hlk153912991"/>
      <w:r>
        <w:rPr>
          <w:rFonts w:hint="eastAsia" w:ascii="仿宋_GB2312" w:hAnsi="仿宋_GB2312" w:eastAsia="仿宋_GB2312" w:cs="仿宋_GB2312"/>
          <w:color w:val="auto"/>
        </w:rPr>
        <w:t>济南市历城区唐王街道</w:t>
      </w:r>
      <w:bookmarkEnd w:id="165"/>
      <w:r>
        <w:rPr>
          <w:rFonts w:hint="eastAsia" w:ascii="仿宋_GB2312" w:hAnsi="仿宋_GB2312" w:eastAsia="仿宋_GB2312" w:cs="仿宋_GB2312"/>
          <w:color w:val="auto"/>
        </w:rPr>
        <w:t>应急管理委员会</w:t>
      </w:r>
      <w:bookmarkEnd w:id="166"/>
      <w:r>
        <w:rPr>
          <w:rFonts w:hint="eastAsia" w:ascii="仿宋_GB2312" w:hAnsi="仿宋_GB2312" w:eastAsia="仿宋_GB2312" w:cs="仿宋_GB2312"/>
          <w:color w:val="auto"/>
        </w:rPr>
        <w:t>草拟并负责解释，本预案经</w:t>
      </w:r>
      <w:bookmarkStart w:id="167" w:name="_Hlk153995422"/>
      <w:r>
        <w:rPr>
          <w:rFonts w:hint="eastAsia" w:ascii="仿宋_GB2312" w:hAnsi="仿宋_GB2312" w:eastAsia="仿宋_GB2312" w:cs="仿宋_GB2312"/>
          <w:color w:val="auto"/>
        </w:rPr>
        <w:t>济南市历城区唐王街道应急管理委员会</w:t>
      </w:r>
      <w:bookmarkEnd w:id="167"/>
      <w:r>
        <w:rPr>
          <w:rFonts w:hint="eastAsia" w:ascii="仿宋_GB2312" w:hAnsi="仿宋_GB2312" w:eastAsia="仿宋_GB2312" w:cs="仿宋_GB2312"/>
          <w:color w:val="auto"/>
        </w:rPr>
        <w:t>批准，自发布之日起施行。</w:t>
      </w:r>
    </w:p>
    <w:p w14:paraId="7EC726B3">
      <w:pPr>
        <w:pStyle w:val="4"/>
        <w:overflowPunct w:val="0"/>
        <w:topLinePunct/>
        <w:adjustRightInd w:val="0"/>
        <w:snapToGrid w:val="0"/>
        <w:spacing w:before="0" w:after="0" w:line="360" w:lineRule="auto"/>
        <w:textAlignment w:val="top"/>
        <w:rPr>
          <w:rFonts w:ascii="Times New Roman" w:hAnsi="Times New Roman" w:eastAsia="黑体" w:cs="Times New Roman"/>
          <w:color w:val="auto"/>
          <w:sz w:val="30"/>
          <w:szCs w:val="30"/>
        </w:rPr>
      </w:pPr>
      <w:bookmarkStart w:id="168" w:name="_Toc155861822"/>
      <w:r>
        <w:rPr>
          <w:rFonts w:ascii="Times New Roman" w:hAnsi="Times New Roman" w:eastAsia="黑体" w:cs="Times New Roman"/>
          <w:color w:val="auto"/>
          <w:sz w:val="30"/>
          <w:szCs w:val="30"/>
        </w:rPr>
        <w:t xml:space="preserve">7.2 </w:t>
      </w:r>
      <w:r>
        <w:rPr>
          <w:rFonts w:hint="eastAsia" w:ascii="Times New Roman" w:hAnsi="Times New Roman" w:eastAsia="黑体" w:cs="Times New Roman"/>
          <w:color w:val="auto"/>
          <w:sz w:val="30"/>
          <w:szCs w:val="30"/>
        </w:rPr>
        <w:t xml:space="preserve"> 宣教培训</w:t>
      </w:r>
      <w:bookmarkEnd w:id="168"/>
    </w:p>
    <w:p w14:paraId="317F274B">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 </w:t>
      </w:r>
      <w:bookmarkStart w:id="169" w:name="_Hlk153965924"/>
      <w:r>
        <w:rPr>
          <w:rFonts w:hint="eastAsia" w:ascii="仿宋_GB2312" w:hAnsi="仿宋_GB2312" w:eastAsia="仿宋_GB2312" w:cs="仿宋_GB2312"/>
          <w:color w:val="auto"/>
        </w:rPr>
        <w:t>街道辖区内各单位、村庄、社区、企业事业单位等</w:t>
      </w:r>
      <w:bookmarkEnd w:id="169"/>
      <w:r>
        <w:rPr>
          <w:rFonts w:hint="eastAsia" w:ascii="仿宋_GB2312" w:hAnsi="仿宋_GB2312" w:eastAsia="仿宋_GB2312" w:cs="仿宋_GB2312"/>
          <w:color w:val="auto"/>
        </w:rPr>
        <w:t>，应当结合各自实际，通过多种形式，对火灾事故的应急知识进行宣传和培训，增强公众的风险防范意识，提高全社会的避险能力和自救互救能力。</w:t>
      </w:r>
    </w:p>
    <w:p w14:paraId="62CB9240">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 街道相关科室应组织有关单位，加强火灾事故的宣传与培训工作，通过采取培训班、进企业、进农村、进社区、进学校、进家庭等多种形式，对社会公众进行培训，提高社会公众的森林防火知识。</w:t>
      </w:r>
    </w:p>
    <w:p w14:paraId="02791F28">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3. 学校、幼儿园在教育主管部门指导下，将应急知识教育纳入教学内容，根据学生的年龄和认知能力，采取多种形式开展应急知识教育，培养学生的安全意识和自救互救能力。</w:t>
      </w:r>
    </w:p>
    <w:p w14:paraId="37F6A45D">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4. 街道及其有关部门应建立健全应急管理培训制度，针对本辖区特点定期开展火灾事故应急预案的教育培训工作。</w:t>
      </w:r>
    </w:p>
    <w:p w14:paraId="5451EACF">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5. 利用宣传栏、信息管理系统、网络、媒体、简报等方式开展群众安全教育，重点做好火灾事故的预防工作。</w:t>
      </w:r>
    </w:p>
    <w:p w14:paraId="6865E332">
      <w:pPr>
        <w:pStyle w:val="4"/>
        <w:overflowPunct w:val="0"/>
        <w:topLinePunct/>
        <w:adjustRightInd w:val="0"/>
        <w:snapToGrid w:val="0"/>
        <w:spacing w:before="0" w:after="0" w:line="360" w:lineRule="auto"/>
        <w:textAlignment w:val="top"/>
        <w:rPr>
          <w:rFonts w:ascii="Times New Roman" w:hAnsi="Times New Roman" w:eastAsia="黑体" w:cs="Times New Roman"/>
          <w:color w:val="auto"/>
          <w:sz w:val="30"/>
          <w:szCs w:val="30"/>
        </w:rPr>
      </w:pPr>
      <w:bookmarkStart w:id="170" w:name="_Toc155861823"/>
      <w:bookmarkStart w:id="171" w:name="_Hlk153923065"/>
      <w:r>
        <w:rPr>
          <w:rFonts w:ascii="Times New Roman" w:hAnsi="Times New Roman" w:eastAsia="黑体" w:cs="Times New Roman"/>
          <w:color w:val="auto"/>
          <w:sz w:val="30"/>
          <w:szCs w:val="30"/>
        </w:rPr>
        <w:t xml:space="preserve">7.3 </w:t>
      </w:r>
      <w:r>
        <w:rPr>
          <w:rFonts w:hint="eastAsia" w:ascii="Times New Roman" w:hAnsi="Times New Roman" w:eastAsia="黑体" w:cs="Times New Roman"/>
          <w:color w:val="auto"/>
          <w:sz w:val="30"/>
          <w:szCs w:val="30"/>
        </w:rPr>
        <w:t xml:space="preserve"> 预案演练</w:t>
      </w:r>
      <w:bookmarkEnd w:id="170"/>
    </w:p>
    <w:bookmarkEnd w:id="171"/>
    <w:p w14:paraId="5DB39611">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街道相关科室和各单位、村庄、社区，应针对易发生的各类火灾事故，每年定期组织火灾事故预案演练，明确演练的课题、队伍、内容、范围、组织、评估和总结等，通过现场演练、桌面推演等方式，检验预案的实用性、实战性，针对演练中暴露出的问题，采取针对措施，强化应急准备和应急响应能力，切实提高责任人决策处置和群众防灾避险能力。</w:t>
      </w:r>
    </w:p>
    <w:p w14:paraId="11751820">
      <w:pPr>
        <w:pStyle w:val="4"/>
        <w:overflowPunct w:val="0"/>
        <w:topLinePunct/>
        <w:adjustRightInd w:val="0"/>
        <w:snapToGrid w:val="0"/>
        <w:spacing w:before="0" w:after="0" w:line="360" w:lineRule="auto"/>
        <w:textAlignment w:val="top"/>
        <w:rPr>
          <w:rFonts w:ascii="Times New Roman" w:hAnsi="Times New Roman" w:eastAsia="黑体" w:cs="Times New Roman"/>
          <w:color w:val="auto"/>
          <w:sz w:val="30"/>
          <w:szCs w:val="30"/>
        </w:rPr>
      </w:pPr>
      <w:bookmarkStart w:id="172" w:name="_Toc155861824"/>
      <w:r>
        <w:rPr>
          <w:rFonts w:ascii="Times New Roman" w:hAnsi="Times New Roman" w:eastAsia="黑体" w:cs="Times New Roman"/>
          <w:color w:val="auto"/>
          <w:sz w:val="30"/>
          <w:szCs w:val="30"/>
        </w:rPr>
        <w:t xml:space="preserve">7.4 </w:t>
      </w:r>
      <w:r>
        <w:rPr>
          <w:rFonts w:hint="eastAsia" w:ascii="Times New Roman" w:hAnsi="Times New Roman" w:eastAsia="黑体" w:cs="Times New Roman"/>
          <w:color w:val="auto"/>
          <w:sz w:val="30"/>
          <w:szCs w:val="30"/>
        </w:rPr>
        <w:t xml:space="preserve"> 预案衔接</w:t>
      </w:r>
      <w:bookmarkEnd w:id="172"/>
    </w:p>
    <w:p w14:paraId="25B5E8AE">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bookmarkStart w:id="173" w:name="_Hlk153963565"/>
      <w:bookmarkStart w:id="174" w:name="_Hlk153964561"/>
      <w:r>
        <w:rPr>
          <w:rFonts w:hint="eastAsia" w:ascii="仿宋_GB2312" w:hAnsi="仿宋_GB2312" w:eastAsia="仿宋_GB2312" w:cs="仿宋_GB2312"/>
          <w:color w:val="auto"/>
        </w:rPr>
        <w:t>本预案向上衔接《济南市历城区突发事故总体应急预案》，向下衔接街道辖区内各企事业单位编制的应急预案及各社区编制的应急预案。</w:t>
      </w:r>
    </w:p>
    <w:p w14:paraId="2EAEC4F6">
      <w:pPr>
        <w:overflowPunct w:val="0"/>
        <w:topLinePunct/>
        <w:adjustRightInd w:val="0"/>
        <w:snapToGrid w:val="0"/>
        <w:spacing w:line="360" w:lineRule="auto"/>
        <w:ind w:firstLine="560" w:firstLineChars="200"/>
        <w:textAlignment w:val="top"/>
        <w:rPr>
          <w:color w:val="auto"/>
        </w:rPr>
      </w:pPr>
    </w:p>
    <w:p w14:paraId="460D1B4A">
      <w:pPr>
        <w:overflowPunct w:val="0"/>
        <w:topLinePunct/>
        <w:adjustRightInd w:val="0"/>
        <w:snapToGrid w:val="0"/>
        <w:spacing w:line="360" w:lineRule="auto"/>
        <w:ind w:firstLine="560" w:firstLineChars="200"/>
        <w:textAlignment w:val="top"/>
        <w:rPr>
          <w:color w:val="auto"/>
        </w:rPr>
      </w:pPr>
    </w:p>
    <w:bookmarkEnd w:id="173"/>
    <w:bookmarkEnd w:id="174"/>
    <w:p w14:paraId="1DCC4EF9">
      <w:pPr>
        <w:overflowPunct w:val="0"/>
        <w:topLinePunct/>
        <w:adjustRightInd w:val="0"/>
        <w:snapToGrid w:val="0"/>
        <w:spacing w:line="360" w:lineRule="auto"/>
        <w:ind w:firstLine="560" w:firstLineChars="200"/>
        <w:textAlignment w:val="top"/>
        <w:rPr>
          <w:color w:val="auto"/>
        </w:rPr>
      </w:pPr>
    </w:p>
    <w:p w14:paraId="1165B1BB">
      <w:pPr>
        <w:overflowPunct w:val="0"/>
        <w:topLinePunct/>
        <w:adjustRightInd w:val="0"/>
        <w:snapToGrid w:val="0"/>
        <w:spacing w:line="360" w:lineRule="auto"/>
        <w:ind w:firstLine="560" w:firstLineChars="200"/>
        <w:textAlignment w:val="top"/>
        <w:rPr>
          <w:color w:val="auto"/>
        </w:rPr>
      </w:pPr>
    </w:p>
    <w:p w14:paraId="65AE975B">
      <w:pPr>
        <w:overflowPunct w:val="0"/>
        <w:topLinePunct/>
        <w:adjustRightInd w:val="0"/>
        <w:snapToGrid w:val="0"/>
        <w:spacing w:line="360" w:lineRule="auto"/>
        <w:textAlignment w:val="top"/>
        <w:rPr>
          <w:rFonts w:ascii="宋体" w:hAnsi="宋体"/>
          <w:color w:val="auto"/>
        </w:rPr>
      </w:pPr>
    </w:p>
    <w:p w14:paraId="0DDE7D63">
      <w:pPr>
        <w:overflowPunct w:val="0"/>
        <w:topLinePunct/>
        <w:adjustRightInd w:val="0"/>
        <w:snapToGrid w:val="0"/>
        <w:spacing w:line="360" w:lineRule="auto"/>
        <w:textAlignment w:val="top"/>
        <w:rPr>
          <w:rFonts w:ascii="宋体" w:hAnsi="宋体"/>
          <w:color w:val="auto"/>
        </w:rPr>
        <w:sectPr>
          <w:pgSz w:w="11906" w:h="16838"/>
          <w:pgMar w:top="1440" w:right="1418" w:bottom="1440" w:left="1418" w:header="851" w:footer="992" w:gutter="0"/>
          <w:pgNumType w:fmt="decimal"/>
          <w:cols w:space="425" w:num="1"/>
          <w:docGrid w:type="lines" w:linePitch="312" w:charSpace="0"/>
        </w:sectPr>
      </w:pPr>
    </w:p>
    <w:p w14:paraId="3C86BF8B">
      <w:pPr>
        <w:pStyle w:val="3"/>
        <w:overflowPunct w:val="0"/>
        <w:topLinePunct/>
        <w:adjustRightInd w:val="0"/>
        <w:snapToGrid w:val="0"/>
        <w:spacing w:before="0" w:after="156" w:afterLines="50" w:line="360" w:lineRule="auto"/>
        <w:jc w:val="center"/>
        <w:textAlignment w:val="top"/>
        <w:rPr>
          <w:rFonts w:ascii="黑体" w:hAnsi="黑体" w:eastAsia="黑体"/>
          <w:color w:val="auto"/>
          <w:sz w:val="36"/>
          <w:szCs w:val="36"/>
        </w:rPr>
      </w:pPr>
      <w:bookmarkStart w:id="175" w:name="_Toc155861825"/>
      <w:r>
        <w:rPr>
          <w:rFonts w:ascii="黑体" w:hAnsi="黑体" w:eastAsia="黑体"/>
          <w:color w:val="auto"/>
          <w:sz w:val="36"/>
          <w:szCs w:val="36"/>
        </w:rPr>
        <w:t xml:space="preserve">8  </w:t>
      </w:r>
      <w:r>
        <w:rPr>
          <w:rFonts w:hint="eastAsia" w:ascii="黑体" w:hAnsi="黑体" w:eastAsia="黑体"/>
          <w:color w:val="auto"/>
          <w:sz w:val="36"/>
          <w:szCs w:val="36"/>
        </w:rPr>
        <w:t>附件</w:t>
      </w:r>
      <w:bookmarkEnd w:id="175"/>
    </w:p>
    <w:p w14:paraId="71680762">
      <w:pPr>
        <w:pStyle w:val="4"/>
        <w:overflowPunct w:val="0"/>
        <w:topLinePunct/>
        <w:adjustRightInd w:val="0"/>
        <w:snapToGrid w:val="0"/>
        <w:spacing w:before="0" w:after="0" w:line="360" w:lineRule="auto"/>
        <w:textAlignment w:val="top"/>
        <w:rPr>
          <w:rFonts w:ascii="Times New Roman" w:hAnsi="Times New Roman" w:eastAsia="黑体" w:cs="Times New Roman"/>
          <w:color w:val="auto"/>
          <w:sz w:val="30"/>
          <w:szCs w:val="30"/>
        </w:rPr>
      </w:pPr>
      <w:bookmarkStart w:id="176" w:name="_Toc155861826"/>
      <w:bookmarkStart w:id="177" w:name="_Toc154514434"/>
      <w:bookmarkStart w:id="178" w:name="_Toc154517016"/>
      <w:bookmarkStart w:id="179" w:name="_Hlk154478398"/>
      <w:r>
        <w:rPr>
          <w:rFonts w:ascii="Times New Roman" w:hAnsi="Times New Roman" w:eastAsia="黑体" w:cs="Times New Roman"/>
          <w:color w:val="auto"/>
          <w:sz w:val="30"/>
          <w:szCs w:val="30"/>
        </w:rPr>
        <w:t xml:space="preserve">8.1  </w:t>
      </w:r>
      <w:r>
        <w:rPr>
          <w:rFonts w:hint="eastAsia" w:ascii="Times New Roman" w:hAnsi="Times New Roman" w:eastAsia="黑体" w:cs="Times New Roman"/>
          <w:color w:val="auto"/>
          <w:sz w:val="30"/>
          <w:szCs w:val="30"/>
        </w:rPr>
        <w:t>本应急预案格式化文本说明</w:t>
      </w:r>
      <w:bookmarkEnd w:id="176"/>
      <w:bookmarkEnd w:id="177"/>
      <w:bookmarkEnd w:id="178"/>
    </w:p>
    <w:bookmarkEnd w:id="179"/>
    <w:p w14:paraId="0C9D6407">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本应急预案的格式化文本，统一采用《济南市历城区唐王街道办事处突发事故总体应急预案》附件中的格式化文本。</w:t>
      </w:r>
    </w:p>
    <w:p w14:paraId="1A9EC20C">
      <w:pPr>
        <w:pStyle w:val="4"/>
        <w:overflowPunct w:val="0"/>
        <w:topLinePunct/>
        <w:adjustRightInd w:val="0"/>
        <w:snapToGrid w:val="0"/>
        <w:spacing w:before="0" w:after="0" w:line="360" w:lineRule="auto"/>
        <w:textAlignment w:val="top"/>
        <w:rPr>
          <w:rFonts w:ascii="Times New Roman" w:hAnsi="Times New Roman" w:eastAsia="黑体" w:cs="Times New Roman"/>
          <w:color w:val="auto"/>
          <w:sz w:val="30"/>
          <w:szCs w:val="30"/>
        </w:rPr>
      </w:pPr>
      <w:bookmarkStart w:id="180" w:name="_Toc154514439"/>
      <w:bookmarkStart w:id="181" w:name="_Toc155861827"/>
      <w:bookmarkStart w:id="182" w:name="_Toc154517021"/>
      <w:r>
        <w:rPr>
          <w:rFonts w:ascii="Times New Roman" w:hAnsi="Times New Roman" w:eastAsia="黑体" w:cs="Times New Roman"/>
          <w:color w:val="auto"/>
          <w:sz w:val="30"/>
          <w:szCs w:val="30"/>
        </w:rPr>
        <w:t xml:space="preserve">8.2  </w:t>
      </w:r>
      <w:r>
        <w:rPr>
          <w:rFonts w:hint="eastAsia" w:ascii="Times New Roman" w:hAnsi="Times New Roman" w:eastAsia="黑体" w:cs="Times New Roman"/>
          <w:color w:val="auto"/>
          <w:sz w:val="30"/>
          <w:szCs w:val="30"/>
        </w:rPr>
        <w:t>应急物资台账</w:t>
      </w:r>
      <w:bookmarkEnd w:id="180"/>
      <w:bookmarkEnd w:id="181"/>
      <w:bookmarkEnd w:id="182"/>
    </w:p>
    <w:p w14:paraId="1F0F7AB8">
      <w:pPr>
        <w:overflowPunct w:val="0"/>
        <w:topLinePunct/>
        <w:adjustRightInd w:val="0"/>
        <w:snapToGrid w:val="0"/>
        <w:spacing w:before="78" w:beforeLines="25" w:after="78" w:afterLines="25"/>
        <w:jc w:val="center"/>
        <w:textAlignment w:val="top"/>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表 8.2-1  唐王街道应急物资配置情况一览表</w:t>
      </w:r>
    </w:p>
    <w:tbl>
      <w:tblPr>
        <w:tblStyle w:val="20"/>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2910"/>
        <w:gridCol w:w="1546"/>
        <w:gridCol w:w="1155"/>
        <w:gridCol w:w="2077"/>
      </w:tblGrid>
      <w:tr w14:paraId="4BD30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71" w:type="dxa"/>
            <w:tcMar>
              <w:top w:w="85" w:type="dxa"/>
              <w:left w:w="57" w:type="dxa"/>
              <w:bottom w:w="85" w:type="dxa"/>
              <w:right w:w="57" w:type="dxa"/>
            </w:tcMar>
            <w:vAlign w:val="center"/>
          </w:tcPr>
          <w:p w14:paraId="5914E826">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序号</w:t>
            </w:r>
          </w:p>
        </w:tc>
        <w:tc>
          <w:tcPr>
            <w:tcW w:w="2910" w:type="dxa"/>
            <w:tcMar>
              <w:top w:w="85" w:type="dxa"/>
              <w:left w:w="57" w:type="dxa"/>
              <w:bottom w:w="85" w:type="dxa"/>
              <w:right w:w="57" w:type="dxa"/>
            </w:tcMar>
            <w:vAlign w:val="center"/>
          </w:tcPr>
          <w:p w14:paraId="734F02F7">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名称</w:t>
            </w:r>
          </w:p>
        </w:tc>
        <w:tc>
          <w:tcPr>
            <w:tcW w:w="1546" w:type="dxa"/>
            <w:tcMar>
              <w:top w:w="85" w:type="dxa"/>
              <w:left w:w="57" w:type="dxa"/>
              <w:bottom w:w="85" w:type="dxa"/>
              <w:right w:w="57" w:type="dxa"/>
            </w:tcMar>
            <w:vAlign w:val="center"/>
          </w:tcPr>
          <w:p w14:paraId="6C145734">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单位</w:t>
            </w:r>
          </w:p>
        </w:tc>
        <w:tc>
          <w:tcPr>
            <w:tcW w:w="1155" w:type="dxa"/>
            <w:tcMar>
              <w:top w:w="85" w:type="dxa"/>
              <w:left w:w="57" w:type="dxa"/>
              <w:bottom w:w="85" w:type="dxa"/>
              <w:right w:w="57" w:type="dxa"/>
            </w:tcMar>
            <w:vAlign w:val="center"/>
          </w:tcPr>
          <w:p w14:paraId="2B65CFD3">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数量</w:t>
            </w:r>
          </w:p>
        </w:tc>
        <w:tc>
          <w:tcPr>
            <w:tcW w:w="2077" w:type="dxa"/>
            <w:tcMar>
              <w:top w:w="85" w:type="dxa"/>
              <w:left w:w="57" w:type="dxa"/>
              <w:bottom w:w="85" w:type="dxa"/>
              <w:right w:w="57" w:type="dxa"/>
            </w:tcMar>
            <w:vAlign w:val="center"/>
          </w:tcPr>
          <w:p w14:paraId="5BB4CA3D">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存放地点</w:t>
            </w:r>
          </w:p>
        </w:tc>
      </w:tr>
      <w:tr w14:paraId="11CBC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1B18DA5B">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一</w:t>
            </w:r>
          </w:p>
        </w:tc>
        <w:tc>
          <w:tcPr>
            <w:tcW w:w="7688" w:type="dxa"/>
            <w:gridSpan w:val="4"/>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4E5CE750">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现场警戒类</w:t>
            </w:r>
          </w:p>
        </w:tc>
      </w:tr>
      <w:tr w14:paraId="208B0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4EE8A24F">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4FF59BDD">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警示灯</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2F26E08C">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个</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3A2FA962">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1BA22C4F">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14:paraId="48CB9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1B0611A2">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250085DE">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安全警示带</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13C55B90">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盘</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2ADC92E4">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260CD058">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14:paraId="6FFA0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68452CE1">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二</w:t>
            </w:r>
          </w:p>
        </w:tc>
        <w:tc>
          <w:tcPr>
            <w:tcW w:w="7688" w:type="dxa"/>
            <w:gridSpan w:val="4"/>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1AF66793">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消防类</w:t>
            </w:r>
          </w:p>
        </w:tc>
      </w:tr>
      <w:tr w14:paraId="196FC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44B79081">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3</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014AC6C4">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消防头盔</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3F513236">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顶</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61F6AD14">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7</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0088334E">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14:paraId="092C9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3E4D07B1">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4</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3314EEFD">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消防手套</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6242CBF1">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付</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4FA45466">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7</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0CD394A0">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14:paraId="43D0D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62154A4A">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5</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1B79F7F8">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消防靴</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1EB56049">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双</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1B8DC7B6">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7</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7F2E443F">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14:paraId="1E030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08C2CA44">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6</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136A9D4F">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避火服</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17BAE825">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套</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4AB31C03">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7</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7ADE87D9">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14:paraId="6984A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2688EA6B">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三</w:t>
            </w:r>
          </w:p>
        </w:tc>
        <w:tc>
          <w:tcPr>
            <w:tcW w:w="7688" w:type="dxa"/>
            <w:gridSpan w:val="4"/>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24B1CBD7">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防高空坠落</w:t>
            </w:r>
          </w:p>
        </w:tc>
      </w:tr>
      <w:tr w14:paraId="781C2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3946EA23">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7</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47FFE17D">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安全带</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6CF13881">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根</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150D8E4E">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7</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19EE403B">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14:paraId="153F1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0FCA0F6D">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8</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13AE135F">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救生绳</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067FCC73">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根</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2EDAF70F">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01244A1A">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14:paraId="35424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02FB423B">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四</w:t>
            </w:r>
          </w:p>
        </w:tc>
        <w:tc>
          <w:tcPr>
            <w:tcW w:w="7688" w:type="dxa"/>
            <w:gridSpan w:val="4"/>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114E5E4A">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通用防护</w:t>
            </w:r>
          </w:p>
        </w:tc>
      </w:tr>
      <w:tr w14:paraId="32438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7C0DF17B">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9</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4CEA43B1">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呼吸器</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6E465ED4">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个</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71A4846D">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3</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7DD1EEE6">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14:paraId="2C59C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22D21333">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五</w:t>
            </w:r>
          </w:p>
        </w:tc>
        <w:tc>
          <w:tcPr>
            <w:tcW w:w="7688" w:type="dxa"/>
            <w:gridSpan w:val="4"/>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1CDF33E3">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破拆起重</w:t>
            </w:r>
          </w:p>
        </w:tc>
      </w:tr>
      <w:tr w14:paraId="46019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4A30BAD6">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10</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5C0D3693">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手动破拆工具组</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55B93CFC">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组</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37EF33D1">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3D2DCBC1">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14:paraId="73565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28527DAA">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六</w:t>
            </w:r>
          </w:p>
        </w:tc>
        <w:tc>
          <w:tcPr>
            <w:tcW w:w="7688" w:type="dxa"/>
            <w:gridSpan w:val="4"/>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6E985973">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现场照明</w:t>
            </w:r>
          </w:p>
        </w:tc>
      </w:tr>
      <w:tr w14:paraId="72885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460F0D96">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11</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31E76EB8">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手电筒</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1AB50DBC">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个</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5CEFC587">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200</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4D7C9A40">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14:paraId="40539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5E2463EE">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七</w:t>
            </w:r>
          </w:p>
        </w:tc>
        <w:tc>
          <w:tcPr>
            <w:tcW w:w="7688" w:type="dxa"/>
            <w:gridSpan w:val="4"/>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7680988D">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通讯类</w:t>
            </w:r>
          </w:p>
        </w:tc>
      </w:tr>
      <w:tr w14:paraId="12097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034BADB0">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12</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3AEF3A51">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对讲机</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7124D54F">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个</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72C9AC43">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10</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1510AF76">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14:paraId="024DE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7CE45B68">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13</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485F5647">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手持扩音器</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33619E47">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个</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5A49AD9B">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79F48531">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14:paraId="60D2B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2E5BB15F">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八</w:t>
            </w:r>
          </w:p>
        </w:tc>
        <w:tc>
          <w:tcPr>
            <w:tcW w:w="7688" w:type="dxa"/>
            <w:gridSpan w:val="4"/>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1E5E22DD">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通用工具</w:t>
            </w:r>
          </w:p>
        </w:tc>
      </w:tr>
      <w:tr w14:paraId="5642D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71968F82">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14</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51781D80">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斧子</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6408E6C1">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把</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1D868554">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7A9ED526">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14:paraId="70A17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3D249C2C">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15</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13EAE0ED">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油锯</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720DC962">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台</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360E936A">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17</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66BA88D7">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14:paraId="620F8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463038DB">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16</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102F5886">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扳手</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5B8A704B">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把</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1B585A32">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06A24D8C">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14:paraId="4E703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25C8CE3C">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17</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4372CC78">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铁锹</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49186CF4">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把</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678D3F77">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100</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3391353C">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14:paraId="06AE4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072757A4">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18</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41469CA7">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断线钳</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103964AB">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把</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11A6196B">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1475B402">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14:paraId="1A429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2712A0C3">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九</w:t>
            </w:r>
          </w:p>
        </w:tc>
        <w:tc>
          <w:tcPr>
            <w:tcW w:w="7688" w:type="dxa"/>
            <w:gridSpan w:val="4"/>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03C4E475">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攀高营救</w:t>
            </w:r>
          </w:p>
        </w:tc>
      </w:tr>
      <w:tr w14:paraId="23809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1F6B61FC">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19</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6222627B">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单杠梯</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691F2A18">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个</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3828E00F">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398E7E70">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14:paraId="04B84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24732820">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20</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5653A2B9">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两节拉梯</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52161A30">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个</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31243B7D">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50F99126">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14:paraId="41E88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5E16A2FC">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十</w:t>
            </w:r>
          </w:p>
        </w:tc>
        <w:tc>
          <w:tcPr>
            <w:tcW w:w="7688" w:type="dxa"/>
            <w:gridSpan w:val="4"/>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529D5A95">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火灾处理</w:t>
            </w:r>
          </w:p>
        </w:tc>
      </w:tr>
      <w:tr w14:paraId="403EF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6F1BD2A8">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21</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62599D79">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消防车</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0A1D4DB8">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辆</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482B35F6">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2463F891">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14:paraId="26B6A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507D0E39">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22</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1C41F0D5">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灭火器</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4077BB56">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具</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56E5095C">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30</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7FCB860D">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14:paraId="74DF5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0466FABD">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十一</w:t>
            </w:r>
          </w:p>
        </w:tc>
        <w:tc>
          <w:tcPr>
            <w:tcW w:w="7688" w:type="dxa"/>
            <w:gridSpan w:val="4"/>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4C59A24C">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通用防护</w:t>
            </w:r>
          </w:p>
        </w:tc>
      </w:tr>
      <w:tr w14:paraId="474E1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6B294408">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23</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3E274821">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雨衣</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1C0B9814">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套</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43CE8C64">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200</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60886752">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14:paraId="5DD50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3D6345D2">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24</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59DE1019">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水靴</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315D5F15">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双</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27FD6959">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200</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6045C7D9">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14:paraId="2299A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613AFF63">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25</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4B42E7C8">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救生衣</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38C2F26A">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件</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612BB735">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100</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733B8BB7">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14:paraId="2B658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7BB5F8BB">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26</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0EB9607F">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自吸式离心泵</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1CD30461">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台</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1043DF70">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5</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0EBC1ABB">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14:paraId="17AE6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4D407421">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十二</w:t>
            </w:r>
          </w:p>
        </w:tc>
        <w:tc>
          <w:tcPr>
            <w:tcW w:w="7688" w:type="dxa"/>
            <w:gridSpan w:val="4"/>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3CF48781">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应急动力</w:t>
            </w:r>
          </w:p>
        </w:tc>
      </w:tr>
      <w:tr w14:paraId="080BC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1ACD40EC">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27</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205CEBF5">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汽油发电机</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22850367">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台</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6E62BC72">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3</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02606C05">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14:paraId="0187D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4878125A">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十三</w:t>
            </w:r>
          </w:p>
        </w:tc>
        <w:tc>
          <w:tcPr>
            <w:tcW w:w="7688" w:type="dxa"/>
            <w:gridSpan w:val="4"/>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0F69B072">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防洪排涝</w:t>
            </w:r>
          </w:p>
        </w:tc>
      </w:tr>
      <w:tr w14:paraId="5896A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1C0BEBD7">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28</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0F021C92">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编织袋</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49844408">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个</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50780428">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1000</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3A4B8E4A">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14:paraId="714AA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3E071AC0">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十四</w:t>
            </w:r>
          </w:p>
        </w:tc>
        <w:tc>
          <w:tcPr>
            <w:tcW w:w="7688" w:type="dxa"/>
            <w:gridSpan w:val="4"/>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051970E6">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卫生防疫</w:t>
            </w:r>
          </w:p>
        </w:tc>
      </w:tr>
      <w:tr w14:paraId="72895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785E2502">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29</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41BDA7E2">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口罩</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0ECA04A8">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个</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6BB0C8D9">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77</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02CB5B4E">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14:paraId="19B4B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222C4BDB">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30</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087B5767">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防护服</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6D4FE38F">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套</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4D5C2BFC">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511</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7EFEB150">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14:paraId="44C56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316405F4">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31</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72DC00AB">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面罩</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1B8A30D2">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个</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3763EDA4">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28</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181C0B09">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14:paraId="1FCE1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17630C67">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32</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377CE8C7">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手套</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1F25F0CB">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付</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3223BF5B">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306</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09AA1AC8">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14:paraId="52F06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14:paraId="52597533">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33</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1AC78AB2">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橡胶大手套</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120D0C26">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付</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1DD49F76">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198</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14:paraId="7E92BF64">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bl>
    <w:p w14:paraId="752037D7">
      <w:pPr>
        <w:pStyle w:val="4"/>
        <w:overflowPunct w:val="0"/>
        <w:topLinePunct/>
        <w:adjustRightInd w:val="0"/>
        <w:snapToGrid w:val="0"/>
        <w:spacing w:before="312" w:beforeLines="100" w:after="0" w:line="360" w:lineRule="auto"/>
        <w:textAlignment w:val="top"/>
        <w:rPr>
          <w:rFonts w:ascii="Times New Roman" w:hAnsi="Times New Roman" w:eastAsia="黑体" w:cs="Times New Roman"/>
          <w:color w:val="auto"/>
          <w:sz w:val="30"/>
          <w:szCs w:val="30"/>
        </w:rPr>
      </w:pPr>
      <w:bookmarkStart w:id="183" w:name="_Toc155861828"/>
      <w:bookmarkStart w:id="184" w:name="_Toc154514440"/>
      <w:bookmarkStart w:id="185" w:name="_Toc154517022"/>
      <w:bookmarkStart w:id="186" w:name="_Hlk154496875"/>
      <w:r>
        <w:rPr>
          <w:rFonts w:ascii="Times New Roman" w:hAnsi="Times New Roman" w:eastAsia="黑体" w:cs="Times New Roman"/>
          <w:color w:val="auto"/>
          <w:sz w:val="30"/>
          <w:szCs w:val="30"/>
        </w:rPr>
        <w:t xml:space="preserve">8.3  </w:t>
      </w:r>
      <w:r>
        <w:rPr>
          <w:rFonts w:hint="eastAsia" w:ascii="Times New Roman" w:hAnsi="Times New Roman" w:eastAsia="黑体" w:cs="Times New Roman"/>
          <w:color w:val="auto"/>
          <w:sz w:val="30"/>
          <w:szCs w:val="30"/>
        </w:rPr>
        <w:t>外部救援电话</w:t>
      </w:r>
      <w:bookmarkEnd w:id="183"/>
      <w:bookmarkEnd w:id="184"/>
      <w:bookmarkEnd w:id="185"/>
    </w:p>
    <w:bookmarkEnd w:id="186"/>
    <w:p w14:paraId="30A47461">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济南市环保应急电话：12369</w:t>
      </w:r>
    </w:p>
    <w:p w14:paraId="4112EE70">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市天气预报电话：121</w:t>
      </w:r>
    </w:p>
    <w:p w14:paraId="359B1DEB">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历城区应急管理局：0531-88066006</w:t>
      </w:r>
    </w:p>
    <w:p w14:paraId="79D81A20">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历城区环保局：0531-88065337</w:t>
      </w:r>
    </w:p>
    <w:p w14:paraId="5B41F1E0">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历城区公安局：0531-88902987</w:t>
      </w:r>
    </w:p>
    <w:p w14:paraId="18F72529">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历城区人民政府应急办：0531-88788079</w:t>
      </w:r>
    </w:p>
    <w:p w14:paraId="57195038">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历城区人民医院：0531-58673292</w:t>
      </w:r>
    </w:p>
    <w:p w14:paraId="11F189CB">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济南市应急管理局：0531-66608400</w:t>
      </w:r>
    </w:p>
    <w:p w14:paraId="1CF75232">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济南市应急管理局危化处：0531-66608351</w:t>
      </w:r>
    </w:p>
    <w:p w14:paraId="2BC037FB">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济南市应急管理局应急指挥中心：0531-66608361</w:t>
      </w:r>
    </w:p>
    <w:p w14:paraId="25C45128">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济南市职业病防治医院：0531-88920967</w:t>
      </w:r>
    </w:p>
    <w:p w14:paraId="3FAA4BE2">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火警电话：119</w:t>
      </w:r>
    </w:p>
    <w:p w14:paraId="7BB7D78E">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急救电话：120</w:t>
      </w:r>
    </w:p>
    <w:p w14:paraId="6BC6868D">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交通电话：122</w:t>
      </w:r>
    </w:p>
    <w:p w14:paraId="31008855">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治安刑事案件报警电话：110</w:t>
      </w:r>
    </w:p>
    <w:p w14:paraId="0AEF8DA2">
      <w:pPr>
        <w:pStyle w:val="4"/>
        <w:overflowPunct w:val="0"/>
        <w:topLinePunct/>
        <w:adjustRightInd w:val="0"/>
        <w:snapToGrid w:val="0"/>
        <w:spacing w:before="0" w:after="0" w:line="360" w:lineRule="auto"/>
        <w:textAlignment w:val="top"/>
        <w:rPr>
          <w:rFonts w:ascii="Times New Roman" w:hAnsi="Times New Roman" w:eastAsia="黑体" w:cs="Times New Roman"/>
          <w:color w:val="auto"/>
          <w:sz w:val="30"/>
          <w:szCs w:val="30"/>
        </w:rPr>
      </w:pPr>
      <w:bookmarkStart w:id="187" w:name="_Toc154514441"/>
      <w:bookmarkStart w:id="188" w:name="_Toc154517023"/>
      <w:bookmarkStart w:id="189" w:name="_Toc155861829"/>
      <w:r>
        <w:rPr>
          <w:rFonts w:ascii="Times New Roman" w:hAnsi="Times New Roman" w:eastAsia="黑体" w:cs="Times New Roman"/>
          <w:color w:val="auto"/>
          <w:sz w:val="30"/>
          <w:szCs w:val="30"/>
        </w:rPr>
        <w:t xml:space="preserve">8.4  </w:t>
      </w:r>
      <w:r>
        <w:rPr>
          <w:rFonts w:hint="eastAsia" w:ascii="Times New Roman" w:hAnsi="Times New Roman" w:eastAsia="黑体" w:cs="Times New Roman"/>
          <w:color w:val="auto"/>
          <w:sz w:val="30"/>
          <w:szCs w:val="30"/>
        </w:rPr>
        <w:t>本街道应急指挥部人员电话</w:t>
      </w:r>
      <w:bookmarkEnd w:id="187"/>
      <w:bookmarkEnd w:id="188"/>
      <w:bookmarkEnd w:id="189"/>
    </w:p>
    <w:p w14:paraId="1A4DFFBF">
      <w:pPr>
        <w:overflowPunct w:val="0"/>
        <w:topLinePunct/>
        <w:adjustRightInd w:val="0"/>
        <w:snapToGrid w:val="0"/>
        <w:spacing w:before="78" w:beforeLines="25" w:after="78" w:afterLines="25"/>
        <w:jc w:val="center"/>
        <w:textAlignment w:val="top"/>
        <w:rPr>
          <w:rFonts w:hint="eastAsia" w:ascii="仿宋_GB2312" w:hAnsi="仿宋_GB2312" w:eastAsia="仿宋_GB2312" w:cs="仿宋_GB2312"/>
          <w:b/>
          <w:color w:val="auto"/>
        </w:rPr>
      </w:pPr>
      <w:r>
        <w:rPr>
          <w:rFonts w:hint="eastAsia" w:ascii="仿宋_GB2312" w:hAnsi="仿宋_GB2312" w:eastAsia="仿宋_GB2312" w:cs="仿宋_GB2312"/>
          <w:b/>
          <w:color w:val="auto"/>
        </w:rPr>
        <w:t>表 8.4-1  唐王街道应急管理委员会</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1842"/>
        <w:gridCol w:w="3398"/>
        <w:gridCol w:w="2265"/>
      </w:tblGrid>
      <w:tr w14:paraId="6E5EE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555" w:type="dxa"/>
            <w:tcMar>
              <w:top w:w="113" w:type="dxa"/>
              <w:bottom w:w="113" w:type="dxa"/>
            </w:tcMar>
            <w:vAlign w:val="center"/>
          </w:tcPr>
          <w:p w14:paraId="42E63B81">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应急职务</w:t>
            </w:r>
          </w:p>
        </w:tc>
        <w:tc>
          <w:tcPr>
            <w:tcW w:w="1842" w:type="dxa"/>
            <w:tcMar>
              <w:top w:w="113" w:type="dxa"/>
              <w:bottom w:w="113" w:type="dxa"/>
            </w:tcMar>
            <w:vAlign w:val="center"/>
          </w:tcPr>
          <w:p w14:paraId="5F1890D8">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姓名</w:t>
            </w:r>
          </w:p>
        </w:tc>
        <w:tc>
          <w:tcPr>
            <w:tcW w:w="3398" w:type="dxa"/>
            <w:tcMar>
              <w:top w:w="113" w:type="dxa"/>
              <w:bottom w:w="113" w:type="dxa"/>
            </w:tcMar>
            <w:vAlign w:val="center"/>
          </w:tcPr>
          <w:p w14:paraId="14F2457C">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现有职务</w:t>
            </w:r>
          </w:p>
        </w:tc>
        <w:tc>
          <w:tcPr>
            <w:tcW w:w="2265" w:type="dxa"/>
            <w:tcMar>
              <w:top w:w="113" w:type="dxa"/>
              <w:bottom w:w="113" w:type="dxa"/>
            </w:tcMar>
            <w:vAlign w:val="center"/>
          </w:tcPr>
          <w:p w14:paraId="5FE0C2C5">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联系电话</w:t>
            </w:r>
          </w:p>
        </w:tc>
      </w:tr>
      <w:tr w14:paraId="24AC2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auto"/>
            <w:tcMar>
              <w:top w:w="113" w:type="dxa"/>
              <w:bottom w:w="113" w:type="dxa"/>
            </w:tcMar>
            <w:vAlign w:val="center"/>
          </w:tcPr>
          <w:p w14:paraId="41EBFEAA">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主  任</w:t>
            </w:r>
          </w:p>
        </w:tc>
        <w:tc>
          <w:tcPr>
            <w:tcW w:w="1842" w:type="dxa"/>
            <w:shd w:val="clear" w:color="auto" w:fill="auto"/>
            <w:tcMar>
              <w:top w:w="113" w:type="dxa"/>
              <w:bottom w:w="113" w:type="dxa"/>
            </w:tcMar>
            <w:vAlign w:val="center"/>
          </w:tcPr>
          <w:p w14:paraId="429285C5">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rPr>
              <w:t>卢  迪</w:t>
            </w:r>
          </w:p>
        </w:tc>
        <w:tc>
          <w:tcPr>
            <w:tcW w:w="3398" w:type="dxa"/>
            <w:shd w:val="clear" w:color="auto" w:fill="auto"/>
            <w:tcMar>
              <w:top w:w="113" w:type="dxa"/>
              <w:bottom w:w="113" w:type="dxa"/>
            </w:tcMar>
            <w:vAlign w:val="center"/>
          </w:tcPr>
          <w:p w14:paraId="491681F0">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党工委副书记、</w:t>
            </w:r>
            <w:r>
              <w:rPr>
                <w:rFonts w:hint="eastAsia" w:ascii="仿宋_GB2312" w:hAnsi="仿宋_GB2312" w:eastAsia="仿宋_GB2312" w:cs="仿宋_GB2312"/>
                <w:color w:val="auto"/>
                <w:kern w:val="0"/>
                <w:sz w:val="21"/>
                <w:szCs w:val="21"/>
                <w:lang w:eastAsia="zh-CN"/>
              </w:rPr>
              <w:t>办事处</w:t>
            </w:r>
            <w:r>
              <w:rPr>
                <w:rFonts w:hint="eastAsia" w:ascii="仿宋_GB2312" w:hAnsi="仿宋_GB2312" w:eastAsia="仿宋_GB2312" w:cs="仿宋_GB2312"/>
                <w:color w:val="auto"/>
                <w:kern w:val="0"/>
                <w:sz w:val="21"/>
                <w:szCs w:val="21"/>
              </w:rPr>
              <w:t>主任</w:t>
            </w:r>
          </w:p>
        </w:tc>
        <w:tc>
          <w:tcPr>
            <w:tcW w:w="2265" w:type="dxa"/>
            <w:shd w:val="clear" w:color="auto" w:fill="auto"/>
            <w:tcMar>
              <w:top w:w="113" w:type="dxa"/>
              <w:bottom w:w="113" w:type="dxa"/>
            </w:tcMar>
            <w:vAlign w:val="center"/>
          </w:tcPr>
          <w:p w14:paraId="294AC74A">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rPr>
              <w:t>18615312022</w:t>
            </w:r>
          </w:p>
        </w:tc>
      </w:tr>
      <w:tr w14:paraId="0238D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auto"/>
            <w:tcMar>
              <w:top w:w="113" w:type="dxa"/>
              <w:bottom w:w="113" w:type="dxa"/>
            </w:tcMar>
            <w:vAlign w:val="center"/>
          </w:tcPr>
          <w:p w14:paraId="53DC7C84">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副主任</w:t>
            </w:r>
          </w:p>
        </w:tc>
        <w:tc>
          <w:tcPr>
            <w:tcW w:w="1842" w:type="dxa"/>
            <w:shd w:val="clear" w:color="auto" w:fill="auto"/>
            <w:tcMar>
              <w:top w:w="113" w:type="dxa"/>
              <w:bottom w:w="113" w:type="dxa"/>
            </w:tcMar>
            <w:vAlign w:val="center"/>
          </w:tcPr>
          <w:p w14:paraId="62BDF44E">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刘  波</w:t>
            </w:r>
          </w:p>
        </w:tc>
        <w:tc>
          <w:tcPr>
            <w:tcW w:w="3398" w:type="dxa"/>
            <w:shd w:val="clear" w:color="auto" w:fill="auto"/>
            <w:tcMar>
              <w:top w:w="113" w:type="dxa"/>
              <w:bottom w:w="113" w:type="dxa"/>
            </w:tcMar>
            <w:vAlign w:val="center"/>
          </w:tcPr>
          <w:p w14:paraId="1805C379">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党工委副书记</w:t>
            </w:r>
          </w:p>
        </w:tc>
        <w:tc>
          <w:tcPr>
            <w:tcW w:w="2265" w:type="dxa"/>
            <w:shd w:val="clear" w:color="auto" w:fill="auto"/>
            <w:tcMar>
              <w:top w:w="113" w:type="dxa"/>
              <w:bottom w:w="113" w:type="dxa"/>
            </w:tcMar>
            <w:vAlign w:val="center"/>
          </w:tcPr>
          <w:p w14:paraId="4FED26EB">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15965638761</w:t>
            </w:r>
          </w:p>
        </w:tc>
      </w:tr>
      <w:tr w14:paraId="15A1A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auto"/>
            <w:tcMar>
              <w:top w:w="113" w:type="dxa"/>
              <w:bottom w:w="113" w:type="dxa"/>
            </w:tcMar>
            <w:vAlign w:val="center"/>
          </w:tcPr>
          <w:p w14:paraId="04F40E57">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副主任</w:t>
            </w:r>
          </w:p>
        </w:tc>
        <w:tc>
          <w:tcPr>
            <w:tcW w:w="1842" w:type="dxa"/>
            <w:shd w:val="clear" w:color="auto" w:fill="auto"/>
            <w:tcMar>
              <w:top w:w="113" w:type="dxa"/>
              <w:bottom w:w="113" w:type="dxa"/>
            </w:tcMar>
            <w:vAlign w:val="center"/>
          </w:tcPr>
          <w:p w14:paraId="12F26FF9">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周  杰</w:t>
            </w:r>
          </w:p>
        </w:tc>
        <w:tc>
          <w:tcPr>
            <w:tcW w:w="3398" w:type="dxa"/>
            <w:shd w:val="clear" w:color="auto" w:fill="auto"/>
            <w:tcMar>
              <w:top w:w="113" w:type="dxa"/>
              <w:bottom w:w="113" w:type="dxa"/>
            </w:tcMar>
            <w:vAlign w:val="center"/>
          </w:tcPr>
          <w:p w14:paraId="767AFC5B">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党工委委员、纪</w:t>
            </w:r>
            <w:r>
              <w:rPr>
                <w:rFonts w:hint="eastAsia" w:ascii="仿宋_GB2312" w:hAnsi="仿宋_GB2312" w:eastAsia="仿宋_GB2312" w:cs="仿宋_GB2312"/>
                <w:color w:val="auto"/>
                <w:kern w:val="0"/>
                <w:sz w:val="21"/>
                <w:szCs w:val="21"/>
                <w:lang w:eastAsia="zh-CN"/>
              </w:rPr>
              <w:t>监</w:t>
            </w:r>
            <w:r>
              <w:rPr>
                <w:rFonts w:hint="eastAsia" w:ascii="仿宋_GB2312" w:hAnsi="仿宋_GB2312" w:eastAsia="仿宋_GB2312" w:cs="仿宋_GB2312"/>
                <w:color w:val="auto"/>
                <w:kern w:val="0"/>
                <w:sz w:val="21"/>
                <w:szCs w:val="21"/>
              </w:rPr>
              <w:t>工委书记</w:t>
            </w:r>
          </w:p>
        </w:tc>
        <w:tc>
          <w:tcPr>
            <w:tcW w:w="2265" w:type="dxa"/>
            <w:shd w:val="clear" w:color="auto" w:fill="auto"/>
            <w:tcMar>
              <w:top w:w="113" w:type="dxa"/>
              <w:bottom w:w="113" w:type="dxa"/>
            </w:tcMar>
            <w:vAlign w:val="center"/>
          </w:tcPr>
          <w:p w14:paraId="5844B9DC">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18615315605</w:t>
            </w:r>
          </w:p>
        </w:tc>
      </w:tr>
      <w:tr w14:paraId="4C963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auto"/>
            <w:tcMar>
              <w:top w:w="113" w:type="dxa"/>
              <w:bottom w:w="113" w:type="dxa"/>
            </w:tcMar>
            <w:vAlign w:val="center"/>
          </w:tcPr>
          <w:p w14:paraId="7F5A3F17">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副主任</w:t>
            </w:r>
          </w:p>
        </w:tc>
        <w:tc>
          <w:tcPr>
            <w:tcW w:w="1842" w:type="dxa"/>
            <w:shd w:val="clear" w:color="auto" w:fill="auto"/>
            <w:tcMar>
              <w:top w:w="113" w:type="dxa"/>
              <w:bottom w:w="113" w:type="dxa"/>
            </w:tcMar>
            <w:vAlign w:val="center"/>
          </w:tcPr>
          <w:p w14:paraId="3E86B9FA">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张延国</w:t>
            </w:r>
          </w:p>
        </w:tc>
        <w:tc>
          <w:tcPr>
            <w:tcW w:w="3398" w:type="dxa"/>
            <w:shd w:val="clear" w:color="auto" w:fill="auto"/>
            <w:tcMar>
              <w:top w:w="113" w:type="dxa"/>
              <w:bottom w:w="113" w:type="dxa"/>
            </w:tcMar>
            <w:vAlign w:val="center"/>
          </w:tcPr>
          <w:p w14:paraId="53042CF6">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党工委委员、</w:t>
            </w:r>
            <w:r>
              <w:rPr>
                <w:rFonts w:hint="eastAsia" w:ascii="仿宋_GB2312" w:hAnsi="仿宋_GB2312" w:eastAsia="仿宋_GB2312" w:cs="仿宋_GB2312"/>
                <w:color w:val="auto"/>
                <w:kern w:val="0"/>
                <w:sz w:val="21"/>
                <w:szCs w:val="21"/>
                <w:lang w:eastAsia="zh-CN"/>
              </w:rPr>
              <w:t>办事处</w:t>
            </w:r>
            <w:r>
              <w:rPr>
                <w:rFonts w:hint="eastAsia" w:ascii="仿宋_GB2312" w:hAnsi="仿宋_GB2312" w:eastAsia="仿宋_GB2312" w:cs="仿宋_GB2312"/>
                <w:color w:val="auto"/>
                <w:kern w:val="0"/>
                <w:sz w:val="21"/>
                <w:szCs w:val="21"/>
              </w:rPr>
              <w:t>副主任</w:t>
            </w:r>
          </w:p>
        </w:tc>
        <w:tc>
          <w:tcPr>
            <w:tcW w:w="2265" w:type="dxa"/>
            <w:shd w:val="clear" w:color="auto" w:fill="auto"/>
            <w:tcMar>
              <w:top w:w="113" w:type="dxa"/>
              <w:bottom w:w="113" w:type="dxa"/>
            </w:tcMar>
            <w:vAlign w:val="center"/>
          </w:tcPr>
          <w:p w14:paraId="27CB9C03">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15908085011</w:t>
            </w:r>
          </w:p>
        </w:tc>
      </w:tr>
      <w:tr w14:paraId="78E16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auto"/>
            <w:tcMar>
              <w:top w:w="113" w:type="dxa"/>
              <w:bottom w:w="113" w:type="dxa"/>
            </w:tcMar>
            <w:vAlign w:val="center"/>
          </w:tcPr>
          <w:p w14:paraId="0B191D7F">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副主任</w:t>
            </w:r>
          </w:p>
        </w:tc>
        <w:tc>
          <w:tcPr>
            <w:tcW w:w="1842" w:type="dxa"/>
            <w:shd w:val="clear" w:color="auto" w:fill="auto"/>
            <w:tcMar>
              <w:top w:w="113" w:type="dxa"/>
              <w:bottom w:w="113" w:type="dxa"/>
            </w:tcMar>
            <w:vAlign w:val="center"/>
          </w:tcPr>
          <w:p w14:paraId="22643189">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王  民</w:t>
            </w:r>
          </w:p>
        </w:tc>
        <w:tc>
          <w:tcPr>
            <w:tcW w:w="3398" w:type="dxa"/>
            <w:shd w:val="clear" w:color="auto" w:fill="auto"/>
            <w:tcMar>
              <w:top w:w="113" w:type="dxa"/>
              <w:bottom w:w="113" w:type="dxa"/>
            </w:tcMar>
            <w:vAlign w:val="center"/>
          </w:tcPr>
          <w:p w14:paraId="148CC28C">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党工委委员、</w:t>
            </w:r>
            <w:r>
              <w:rPr>
                <w:rFonts w:hint="eastAsia" w:ascii="仿宋_GB2312" w:hAnsi="仿宋_GB2312" w:eastAsia="仿宋_GB2312" w:cs="仿宋_GB2312"/>
                <w:color w:val="auto"/>
                <w:kern w:val="0"/>
                <w:sz w:val="21"/>
                <w:szCs w:val="21"/>
                <w:lang w:eastAsia="zh-CN"/>
              </w:rPr>
              <w:t>办事处</w:t>
            </w:r>
            <w:r>
              <w:rPr>
                <w:rFonts w:hint="eastAsia" w:ascii="仿宋_GB2312" w:hAnsi="仿宋_GB2312" w:eastAsia="仿宋_GB2312" w:cs="仿宋_GB2312"/>
                <w:color w:val="auto"/>
                <w:kern w:val="0"/>
                <w:sz w:val="21"/>
                <w:szCs w:val="21"/>
              </w:rPr>
              <w:t>副主任</w:t>
            </w:r>
          </w:p>
        </w:tc>
        <w:tc>
          <w:tcPr>
            <w:tcW w:w="2265" w:type="dxa"/>
            <w:shd w:val="clear" w:color="auto" w:fill="auto"/>
            <w:tcMar>
              <w:top w:w="113" w:type="dxa"/>
              <w:bottom w:w="113" w:type="dxa"/>
            </w:tcMar>
            <w:vAlign w:val="center"/>
          </w:tcPr>
          <w:p w14:paraId="1D611806">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15908085527</w:t>
            </w:r>
          </w:p>
        </w:tc>
      </w:tr>
      <w:tr w14:paraId="4BBDC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auto"/>
            <w:tcMar>
              <w:top w:w="113" w:type="dxa"/>
              <w:bottom w:w="113" w:type="dxa"/>
            </w:tcMar>
            <w:vAlign w:val="center"/>
          </w:tcPr>
          <w:p w14:paraId="3F77D974">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副主任</w:t>
            </w:r>
          </w:p>
        </w:tc>
        <w:tc>
          <w:tcPr>
            <w:tcW w:w="1842" w:type="dxa"/>
            <w:shd w:val="clear" w:color="auto" w:fill="auto"/>
            <w:tcMar>
              <w:top w:w="113" w:type="dxa"/>
              <w:bottom w:w="113" w:type="dxa"/>
            </w:tcMar>
            <w:vAlign w:val="center"/>
          </w:tcPr>
          <w:p w14:paraId="142EA84E">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赵  芸</w:t>
            </w:r>
          </w:p>
        </w:tc>
        <w:tc>
          <w:tcPr>
            <w:tcW w:w="3398" w:type="dxa"/>
            <w:shd w:val="clear" w:color="auto" w:fill="auto"/>
            <w:tcMar>
              <w:top w:w="113" w:type="dxa"/>
              <w:bottom w:w="113" w:type="dxa"/>
            </w:tcMar>
            <w:vAlign w:val="center"/>
          </w:tcPr>
          <w:p w14:paraId="3CB6DC49">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党工委委员、</w:t>
            </w:r>
            <w:r>
              <w:rPr>
                <w:rFonts w:hint="eastAsia" w:ascii="仿宋_GB2312" w:hAnsi="仿宋_GB2312" w:eastAsia="仿宋_GB2312" w:cs="仿宋_GB2312"/>
                <w:color w:val="auto"/>
                <w:kern w:val="0"/>
                <w:sz w:val="21"/>
                <w:szCs w:val="21"/>
                <w:lang w:eastAsia="zh-CN"/>
              </w:rPr>
              <w:t>办事处</w:t>
            </w:r>
            <w:r>
              <w:rPr>
                <w:rFonts w:hint="eastAsia" w:ascii="仿宋_GB2312" w:hAnsi="仿宋_GB2312" w:eastAsia="仿宋_GB2312" w:cs="仿宋_GB2312"/>
                <w:color w:val="auto"/>
                <w:kern w:val="0"/>
                <w:sz w:val="21"/>
                <w:szCs w:val="21"/>
              </w:rPr>
              <w:t>副主任</w:t>
            </w:r>
          </w:p>
        </w:tc>
        <w:tc>
          <w:tcPr>
            <w:tcW w:w="2265" w:type="dxa"/>
            <w:shd w:val="clear" w:color="auto" w:fill="auto"/>
            <w:tcMar>
              <w:top w:w="113" w:type="dxa"/>
              <w:bottom w:w="113" w:type="dxa"/>
            </w:tcMar>
            <w:vAlign w:val="center"/>
          </w:tcPr>
          <w:p w14:paraId="5BE28EFB">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18615310227</w:t>
            </w:r>
          </w:p>
        </w:tc>
      </w:tr>
      <w:tr w14:paraId="35D02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auto"/>
            <w:tcMar>
              <w:top w:w="113" w:type="dxa"/>
              <w:bottom w:w="113" w:type="dxa"/>
            </w:tcMar>
            <w:vAlign w:val="center"/>
          </w:tcPr>
          <w:p w14:paraId="6A7147C7">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副主任</w:t>
            </w:r>
          </w:p>
        </w:tc>
        <w:tc>
          <w:tcPr>
            <w:tcW w:w="1842" w:type="dxa"/>
            <w:shd w:val="clear" w:color="auto" w:fill="auto"/>
            <w:tcMar>
              <w:top w:w="113" w:type="dxa"/>
              <w:bottom w:w="113" w:type="dxa"/>
            </w:tcMar>
            <w:vAlign w:val="center"/>
          </w:tcPr>
          <w:p w14:paraId="520AEB00">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刘  滨</w:t>
            </w:r>
          </w:p>
        </w:tc>
        <w:tc>
          <w:tcPr>
            <w:tcW w:w="3398" w:type="dxa"/>
            <w:shd w:val="clear" w:color="auto" w:fill="auto"/>
            <w:tcMar>
              <w:top w:w="113" w:type="dxa"/>
              <w:bottom w:w="113" w:type="dxa"/>
            </w:tcMar>
            <w:vAlign w:val="center"/>
          </w:tcPr>
          <w:p w14:paraId="03327FB5">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党工委委员、</w:t>
            </w:r>
            <w:r>
              <w:rPr>
                <w:rFonts w:hint="eastAsia" w:ascii="仿宋_GB2312" w:hAnsi="仿宋_GB2312" w:eastAsia="仿宋_GB2312" w:cs="仿宋_GB2312"/>
                <w:color w:val="auto"/>
                <w:kern w:val="0"/>
                <w:sz w:val="21"/>
                <w:szCs w:val="21"/>
                <w:lang w:eastAsia="zh-CN"/>
              </w:rPr>
              <w:t>办事处</w:t>
            </w:r>
            <w:r>
              <w:rPr>
                <w:rFonts w:hint="eastAsia" w:ascii="仿宋_GB2312" w:hAnsi="仿宋_GB2312" w:eastAsia="仿宋_GB2312" w:cs="仿宋_GB2312"/>
                <w:color w:val="auto"/>
                <w:kern w:val="0"/>
                <w:sz w:val="21"/>
                <w:szCs w:val="21"/>
              </w:rPr>
              <w:t>副主任</w:t>
            </w:r>
          </w:p>
        </w:tc>
        <w:tc>
          <w:tcPr>
            <w:tcW w:w="2265" w:type="dxa"/>
            <w:shd w:val="clear" w:color="auto" w:fill="auto"/>
            <w:tcMar>
              <w:top w:w="113" w:type="dxa"/>
              <w:bottom w:w="113" w:type="dxa"/>
            </w:tcMar>
            <w:vAlign w:val="center"/>
          </w:tcPr>
          <w:p w14:paraId="5F5EAA11">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15020001577</w:t>
            </w:r>
          </w:p>
        </w:tc>
      </w:tr>
      <w:tr w14:paraId="12BC5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auto"/>
            <w:tcMar>
              <w:top w:w="113" w:type="dxa"/>
              <w:bottom w:w="113" w:type="dxa"/>
            </w:tcMar>
            <w:vAlign w:val="center"/>
          </w:tcPr>
          <w:p w14:paraId="7D87F18E">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副主任</w:t>
            </w:r>
          </w:p>
        </w:tc>
        <w:tc>
          <w:tcPr>
            <w:tcW w:w="1842" w:type="dxa"/>
            <w:shd w:val="clear" w:color="auto" w:fill="auto"/>
            <w:tcMar>
              <w:top w:w="113" w:type="dxa"/>
              <w:bottom w:w="113" w:type="dxa"/>
            </w:tcMar>
            <w:vAlign w:val="center"/>
          </w:tcPr>
          <w:p w14:paraId="78F95186">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rPr>
              <w:t>柴友亮</w:t>
            </w:r>
          </w:p>
        </w:tc>
        <w:tc>
          <w:tcPr>
            <w:tcW w:w="3398" w:type="dxa"/>
            <w:shd w:val="clear" w:color="auto" w:fill="auto"/>
            <w:tcMar>
              <w:top w:w="113" w:type="dxa"/>
              <w:bottom w:w="113" w:type="dxa"/>
            </w:tcMar>
            <w:vAlign w:val="center"/>
          </w:tcPr>
          <w:p w14:paraId="2DCC9E10">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eastAsia="zh-CN"/>
              </w:rPr>
              <w:t>平安法治和信访办公室副</w:t>
            </w:r>
            <w:r>
              <w:rPr>
                <w:rFonts w:hint="eastAsia" w:ascii="仿宋_GB2312" w:hAnsi="仿宋_GB2312" w:eastAsia="仿宋_GB2312" w:cs="仿宋_GB2312"/>
                <w:color w:val="auto"/>
                <w:kern w:val="0"/>
                <w:sz w:val="21"/>
                <w:szCs w:val="21"/>
              </w:rPr>
              <w:t>主任</w:t>
            </w:r>
          </w:p>
        </w:tc>
        <w:tc>
          <w:tcPr>
            <w:tcW w:w="2265" w:type="dxa"/>
            <w:shd w:val="clear" w:color="auto" w:fill="auto"/>
            <w:tcMar>
              <w:top w:w="113" w:type="dxa"/>
              <w:bottom w:w="113" w:type="dxa"/>
            </w:tcMar>
            <w:vAlign w:val="center"/>
          </w:tcPr>
          <w:p w14:paraId="50024905">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rPr>
              <w:t>15908085369</w:t>
            </w:r>
          </w:p>
        </w:tc>
      </w:tr>
      <w:tr w14:paraId="25FC9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auto"/>
            <w:tcMar>
              <w:top w:w="113" w:type="dxa"/>
              <w:bottom w:w="113" w:type="dxa"/>
            </w:tcMar>
            <w:vAlign w:val="center"/>
          </w:tcPr>
          <w:p w14:paraId="78638F33">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副主任</w:t>
            </w:r>
          </w:p>
        </w:tc>
        <w:tc>
          <w:tcPr>
            <w:tcW w:w="1842" w:type="dxa"/>
            <w:shd w:val="clear" w:color="auto" w:fill="auto"/>
            <w:tcMar>
              <w:top w:w="113" w:type="dxa"/>
              <w:bottom w:w="113" w:type="dxa"/>
            </w:tcMar>
            <w:vAlign w:val="center"/>
          </w:tcPr>
          <w:p w14:paraId="017EBDA1">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李成国</w:t>
            </w:r>
          </w:p>
        </w:tc>
        <w:tc>
          <w:tcPr>
            <w:tcW w:w="3398" w:type="dxa"/>
            <w:shd w:val="clear" w:color="auto" w:fill="auto"/>
            <w:tcMar>
              <w:top w:w="113" w:type="dxa"/>
              <w:bottom w:w="113" w:type="dxa"/>
            </w:tcMar>
            <w:vAlign w:val="center"/>
          </w:tcPr>
          <w:p w14:paraId="3195E9C9">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eastAsia="zh-CN"/>
              </w:rPr>
              <w:t>农业农村综合</w:t>
            </w:r>
            <w:r>
              <w:rPr>
                <w:rFonts w:hint="eastAsia" w:ascii="仿宋_GB2312" w:hAnsi="仿宋_GB2312" w:eastAsia="仿宋_GB2312" w:cs="仿宋_GB2312"/>
                <w:color w:val="auto"/>
                <w:kern w:val="0"/>
                <w:sz w:val="21"/>
                <w:szCs w:val="21"/>
              </w:rPr>
              <w:t>服务中心主任</w:t>
            </w:r>
          </w:p>
        </w:tc>
        <w:tc>
          <w:tcPr>
            <w:tcW w:w="2265" w:type="dxa"/>
            <w:shd w:val="clear" w:color="auto" w:fill="auto"/>
            <w:tcMar>
              <w:top w:w="113" w:type="dxa"/>
              <w:bottom w:w="113" w:type="dxa"/>
            </w:tcMar>
            <w:vAlign w:val="center"/>
          </w:tcPr>
          <w:p w14:paraId="54E0DD19">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13853198392</w:t>
            </w:r>
          </w:p>
        </w:tc>
      </w:tr>
      <w:tr w14:paraId="2696C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auto"/>
            <w:tcMar>
              <w:top w:w="113" w:type="dxa"/>
              <w:bottom w:w="113" w:type="dxa"/>
            </w:tcMar>
            <w:vAlign w:val="center"/>
          </w:tcPr>
          <w:p w14:paraId="661E6F03">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副主任</w:t>
            </w:r>
          </w:p>
        </w:tc>
        <w:tc>
          <w:tcPr>
            <w:tcW w:w="1842" w:type="dxa"/>
            <w:shd w:val="clear" w:color="auto" w:fill="auto"/>
            <w:tcMar>
              <w:top w:w="113" w:type="dxa"/>
              <w:bottom w:w="113" w:type="dxa"/>
            </w:tcMar>
            <w:vAlign w:val="center"/>
          </w:tcPr>
          <w:p w14:paraId="063342EE">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李长庚</w:t>
            </w:r>
          </w:p>
        </w:tc>
        <w:tc>
          <w:tcPr>
            <w:tcW w:w="3398" w:type="dxa"/>
            <w:shd w:val="clear" w:color="auto" w:fill="auto"/>
            <w:tcMar>
              <w:top w:w="113" w:type="dxa"/>
              <w:bottom w:w="113" w:type="dxa"/>
            </w:tcMar>
            <w:vAlign w:val="center"/>
          </w:tcPr>
          <w:p w14:paraId="40C92878">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eastAsia="zh-CN"/>
              </w:rPr>
              <w:t>综合行政执法和城乡建设</w:t>
            </w:r>
            <w:r>
              <w:rPr>
                <w:rFonts w:hint="eastAsia" w:ascii="仿宋_GB2312" w:hAnsi="仿宋_GB2312" w:eastAsia="仿宋_GB2312" w:cs="仿宋_GB2312"/>
                <w:color w:val="auto"/>
                <w:kern w:val="0"/>
                <w:sz w:val="21"/>
                <w:szCs w:val="21"/>
              </w:rPr>
              <w:t>服务中心主任</w:t>
            </w:r>
          </w:p>
        </w:tc>
        <w:tc>
          <w:tcPr>
            <w:tcW w:w="2265" w:type="dxa"/>
            <w:shd w:val="clear" w:color="auto" w:fill="auto"/>
            <w:tcMar>
              <w:top w:w="113" w:type="dxa"/>
              <w:bottom w:w="113" w:type="dxa"/>
            </w:tcMar>
            <w:vAlign w:val="center"/>
          </w:tcPr>
          <w:p w14:paraId="76A2FC03">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13065083532</w:t>
            </w:r>
          </w:p>
        </w:tc>
      </w:tr>
      <w:tr w14:paraId="065E4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auto"/>
            <w:tcMar>
              <w:top w:w="113" w:type="dxa"/>
              <w:bottom w:w="113" w:type="dxa"/>
            </w:tcMar>
            <w:vAlign w:val="center"/>
          </w:tcPr>
          <w:p w14:paraId="50CD0EF1">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成  员</w:t>
            </w:r>
          </w:p>
        </w:tc>
        <w:tc>
          <w:tcPr>
            <w:tcW w:w="1842" w:type="dxa"/>
            <w:shd w:val="clear" w:color="auto" w:fill="auto"/>
            <w:tcMar>
              <w:top w:w="113" w:type="dxa"/>
              <w:bottom w:w="113" w:type="dxa"/>
            </w:tcMar>
            <w:vAlign w:val="center"/>
          </w:tcPr>
          <w:p w14:paraId="4681309F">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rPr>
              <w:t>程书生</w:t>
            </w:r>
          </w:p>
        </w:tc>
        <w:tc>
          <w:tcPr>
            <w:tcW w:w="3398" w:type="dxa"/>
            <w:shd w:val="clear" w:color="auto" w:fill="auto"/>
            <w:tcMar>
              <w:top w:w="113" w:type="dxa"/>
              <w:bottom w:w="113" w:type="dxa"/>
            </w:tcMar>
            <w:vAlign w:val="center"/>
          </w:tcPr>
          <w:p w14:paraId="5402A581">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应急办主任</w:t>
            </w:r>
          </w:p>
        </w:tc>
        <w:tc>
          <w:tcPr>
            <w:tcW w:w="2265" w:type="dxa"/>
            <w:shd w:val="clear" w:color="auto" w:fill="auto"/>
            <w:tcMar>
              <w:top w:w="113" w:type="dxa"/>
              <w:bottom w:w="113" w:type="dxa"/>
            </w:tcMar>
            <w:vAlign w:val="center"/>
          </w:tcPr>
          <w:p w14:paraId="2165FCD2">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1590808</w:t>
            </w:r>
            <w:r>
              <w:rPr>
                <w:rFonts w:hint="eastAsia" w:ascii="仿宋_GB2312" w:hAnsi="仿宋_GB2312" w:eastAsia="仿宋_GB2312" w:cs="仿宋_GB2312"/>
                <w:color w:val="auto"/>
                <w:kern w:val="0"/>
                <w:sz w:val="21"/>
                <w:szCs w:val="21"/>
                <w:lang w:val="en-US" w:eastAsia="zh-CN"/>
              </w:rPr>
              <w:t>0105</w:t>
            </w:r>
          </w:p>
        </w:tc>
      </w:tr>
      <w:tr w14:paraId="6C06F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auto"/>
            <w:tcMar>
              <w:top w:w="113" w:type="dxa"/>
              <w:bottom w:w="113" w:type="dxa"/>
            </w:tcMar>
            <w:vAlign w:val="center"/>
          </w:tcPr>
          <w:p w14:paraId="1DE3C839">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成  员</w:t>
            </w:r>
          </w:p>
        </w:tc>
        <w:tc>
          <w:tcPr>
            <w:tcW w:w="1842" w:type="dxa"/>
            <w:shd w:val="clear" w:color="auto" w:fill="auto"/>
            <w:tcMar>
              <w:top w:w="113" w:type="dxa"/>
              <w:bottom w:w="113" w:type="dxa"/>
            </w:tcMar>
            <w:vAlign w:val="center"/>
          </w:tcPr>
          <w:p w14:paraId="1677427E">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rPr>
              <w:t>赵  勇</w:t>
            </w:r>
          </w:p>
        </w:tc>
        <w:tc>
          <w:tcPr>
            <w:tcW w:w="3398" w:type="dxa"/>
            <w:shd w:val="clear" w:color="auto" w:fill="auto"/>
            <w:tcMar>
              <w:top w:w="113" w:type="dxa"/>
              <w:bottom w:w="113" w:type="dxa"/>
            </w:tcMar>
            <w:vAlign w:val="center"/>
          </w:tcPr>
          <w:p w14:paraId="4845FA5C">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党政办公室主任</w:t>
            </w:r>
          </w:p>
        </w:tc>
        <w:tc>
          <w:tcPr>
            <w:tcW w:w="2265" w:type="dxa"/>
            <w:shd w:val="clear" w:color="auto" w:fill="auto"/>
            <w:tcMar>
              <w:top w:w="113" w:type="dxa"/>
              <w:bottom w:w="113" w:type="dxa"/>
            </w:tcMar>
            <w:vAlign w:val="center"/>
          </w:tcPr>
          <w:p w14:paraId="37F6E580">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rPr>
              <w:t>15908085028</w:t>
            </w:r>
          </w:p>
        </w:tc>
      </w:tr>
      <w:tr w14:paraId="7F6D7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auto"/>
            <w:tcMar>
              <w:top w:w="113" w:type="dxa"/>
              <w:bottom w:w="113" w:type="dxa"/>
            </w:tcMar>
            <w:vAlign w:val="center"/>
          </w:tcPr>
          <w:p w14:paraId="5D7B44E3">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成  员</w:t>
            </w:r>
          </w:p>
        </w:tc>
        <w:tc>
          <w:tcPr>
            <w:tcW w:w="1842" w:type="dxa"/>
            <w:shd w:val="clear" w:color="auto" w:fill="auto"/>
            <w:tcMar>
              <w:top w:w="113" w:type="dxa"/>
              <w:bottom w:w="113" w:type="dxa"/>
            </w:tcMar>
            <w:vAlign w:val="center"/>
          </w:tcPr>
          <w:p w14:paraId="62E08495">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rPr>
              <w:t>韩立猛</w:t>
            </w:r>
          </w:p>
        </w:tc>
        <w:tc>
          <w:tcPr>
            <w:tcW w:w="3398" w:type="dxa"/>
            <w:shd w:val="clear" w:color="auto" w:fill="auto"/>
            <w:tcMar>
              <w:top w:w="113" w:type="dxa"/>
              <w:bottom w:w="113" w:type="dxa"/>
            </w:tcMar>
            <w:vAlign w:val="center"/>
          </w:tcPr>
          <w:p w14:paraId="5D4ACEA3">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教育办主任</w:t>
            </w:r>
          </w:p>
        </w:tc>
        <w:tc>
          <w:tcPr>
            <w:tcW w:w="2265" w:type="dxa"/>
            <w:shd w:val="clear" w:color="auto" w:fill="auto"/>
            <w:tcMar>
              <w:top w:w="113" w:type="dxa"/>
              <w:bottom w:w="113" w:type="dxa"/>
            </w:tcMar>
            <w:vAlign w:val="center"/>
          </w:tcPr>
          <w:p w14:paraId="66C636F1">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rPr>
              <w:t>13573196702</w:t>
            </w:r>
          </w:p>
        </w:tc>
      </w:tr>
      <w:tr w14:paraId="24F57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auto"/>
            <w:tcMar>
              <w:top w:w="113" w:type="dxa"/>
              <w:bottom w:w="113" w:type="dxa"/>
            </w:tcMar>
            <w:vAlign w:val="center"/>
          </w:tcPr>
          <w:p w14:paraId="30E2C87B">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成  员</w:t>
            </w:r>
          </w:p>
        </w:tc>
        <w:tc>
          <w:tcPr>
            <w:tcW w:w="1842" w:type="dxa"/>
            <w:shd w:val="clear" w:color="auto" w:fill="auto"/>
            <w:tcMar>
              <w:top w:w="113" w:type="dxa"/>
              <w:bottom w:w="113" w:type="dxa"/>
            </w:tcMar>
            <w:vAlign w:val="center"/>
          </w:tcPr>
          <w:p w14:paraId="54EA12AB">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林永建</w:t>
            </w:r>
          </w:p>
        </w:tc>
        <w:tc>
          <w:tcPr>
            <w:tcW w:w="3398" w:type="dxa"/>
            <w:shd w:val="clear" w:color="auto" w:fill="auto"/>
            <w:tcMar>
              <w:top w:w="113" w:type="dxa"/>
              <w:bottom w:w="113" w:type="dxa"/>
            </w:tcMar>
            <w:vAlign w:val="center"/>
          </w:tcPr>
          <w:p w14:paraId="111C2B49">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城管科科长</w:t>
            </w:r>
          </w:p>
        </w:tc>
        <w:tc>
          <w:tcPr>
            <w:tcW w:w="2265" w:type="dxa"/>
            <w:shd w:val="clear" w:color="auto" w:fill="auto"/>
            <w:tcMar>
              <w:top w:w="113" w:type="dxa"/>
              <w:bottom w:w="113" w:type="dxa"/>
            </w:tcMar>
            <w:vAlign w:val="center"/>
          </w:tcPr>
          <w:p w14:paraId="098746C6">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15908085272</w:t>
            </w:r>
          </w:p>
        </w:tc>
      </w:tr>
      <w:tr w14:paraId="12924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auto"/>
            <w:tcMar>
              <w:top w:w="113" w:type="dxa"/>
              <w:bottom w:w="113" w:type="dxa"/>
            </w:tcMar>
            <w:vAlign w:val="center"/>
          </w:tcPr>
          <w:p w14:paraId="45F57164">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成  员</w:t>
            </w:r>
          </w:p>
        </w:tc>
        <w:tc>
          <w:tcPr>
            <w:tcW w:w="1842" w:type="dxa"/>
            <w:shd w:val="clear" w:color="auto" w:fill="auto"/>
            <w:tcMar>
              <w:top w:w="113" w:type="dxa"/>
              <w:bottom w:w="113" w:type="dxa"/>
            </w:tcMar>
            <w:vAlign w:val="center"/>
          </w:tcPr>
          <w:p w14:paraId="5C036C40">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张育闽</w:t>
            </w:r>
          </w:p>
        </w:tc>
        <w:tc>
          <w:tcPr>
            <w:tcW w:w="3398" w:type="dxa"/>
            <w:shd w:val="clear" w:color="auto" w:fill="auto"/>
            <w:tcMar>
              <w:top w:w="113" w:type="dxa"/>
              <w:bottom w:w="113" w:type="dxa"/>
            </w:tcMar>
            <w:vAlign w:val="center"/>
          </w:tcPr>
          <w:p w14:paraId="52013EDA">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综合执法中队队长</w:t>
            </w:r>
          </w:p>
        </w:tc>
        <w:tc>
          <w:tcPr>
            <w:tcW w:w="2265" w:type="dxa"/>
            <w:shd w:val="clear" w:color="auto" w:fill="auto"/>
            <w:tcMar>
              <w:top w:w="113" w:type="dxa"/>
              <w:bottom w:w="113" w:type="dxa"/>
            </w:tcMar>
            <w:vAlign w:val="center"/>
          </w:tcPr>
          <w:p w14:paraId="29B6B042">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15965638100</w:t>
            </w:r>
          </w:p>
        </w:tc>
      </w:tr>
      <w:tr w14:paraId="0F950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auto"/>
            <w:tcMar>
              <w:top w:w="113" w:type="dxa"/>
              <w:bottom w:w="113" w:type="dxa"/>
            </w:tcMar>
            <w:vAlign w:val="center"/>
          </w:tcPr>
          <w:p w14:paraId="430E35A3">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成  员</w:t>
            </w:r>
          </w:p>
        </w:tc>
        <w:tc>
          <w:tcPr>
            <w:tcW w:w="1842" w:type="dxa"/>
            <w:shd w:val="clear" w:color="auto" w:fill="auto"/>
            <w:tcMar>
              <w:top w:w="113" w:type="dxa"/>
              <w:bottom w:w="113" w:type="dxa"/>
            </w:tcMar>
            <w:vAlign w:val="center"/>
          </w:tcPr>
          <w:p w14:paraId="2D798D8C">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李庆江</w:t>
            </w:r>
          </w:p>
        </w:tc>
        <w:tc>
          <w:tcPr>
            <w:tcW w:w="3398" w:type="dxa"/>
            <w:shd w:val="clear" w:color="auto" w:fill="auto"/>
            <w:tcMar>
              <w:top w:w="113" w:type="dxa"/>
              <w:bottom w:w="113" w:type="dxa"/>
            </w:tcMar>
            <w:vAlign w:val="center"/>
          </w:tcPr>
          <w:p w14:paraId="38F6FB03">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济钢交警中队长</w:t>
            </w:r>
          </w:p>
        </w:tc>
        <w:tc>
          <w:tcPr>
            <w:tcW w:w="2265" w:type="dxa"/>
            <w:shd w:val="clear" w:color="auto" w:fill="auto"/>
            <w:tcMar>
              <w:top w:w="113" w:type="dxa"/>
              <w:bottom w:w="113" w:type="dxa"/>
            </w:tcMar>
            <w:vAlign w:val="center"/>
          </w:tcPr>
          <w:p w14:paraId="459AAC17">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18553127810</w:t>
            </w:r>
          </w:p>
        </w:tc>
      </w:tr>
      <w:tr w14:paraId="75C9F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auto"/>
            <w:tcMar>
              <w:top w:w="113" w:type="dxa"/>
              <w:bottom w:w="113" w:type="dxa"/>
            </w:tcMar>
            <w:vAlign w:val="center"/>
          </w:tcPr>
          <w:p w14:paraId="67397B25">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成  员</w:t>
            </w:r>
          </w:p>
        </w:tc>
        <w:tc>
          <w:tcPr>
            <w:tcW w:w="1842" w:type="dxa"/>
            <w:shd w:val="clear" w:color="auto" w:fill="auto"/>
            <w:tcMar>
              <w:top w:w="113" w:type="dxa"/>
              <w:bottom w:w="113" w:type="dxa"/>
            </w:tcMar>
            <w:vAlign w:val="center"/>
          </w:tcPr>
          <w:p w14:paraId="618161CC">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rPr>
              <w:t>魏怀宾</w:t>
            </w:r>
          </w:p>
        </w:tc>
        <w:tc>
          <w:tcPr>
            <w:tcW w:w="3398" w:type="dxa"/>
            <w:shd w:val="clear" w:color="auto" w:fill="auto"/>
            <w:tcMar>
              <w:top w:w="113" w:type="dxa"/>
              <w:bottom w:w="113" w:type="dxa"/>
            </w:tcMar>
            <w:vAlign w:val="center"/>
          </w:tcPr>
          <w:p w14:paraId="6F414716">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供电所所长</w:t>
            </w:r>
          </w:p>
        </w:tc>
        <w:tc>
          <w:tcPr>
            <w:tcW w:w="2265" w:type="dxa"/>
            <w:shd w:val="clear" w:color="auto" w:fill="auto"/>
            <w:tcMar>
              <w:top w:w="113" w:type="dxa"/>
              <w:bottom w:w="113" w:type="dxa"/>
            </w:tcMar>
            <w:vAlign w:val="center"/>
          </w:tcPr>
          <w:p w14:paraId="354DC532">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rPr>
              <w:t>15806642169</w:t>
            </w:r>
          </w:p>
        </w:tc>
      </w:tr>
      <w:tr w14:paraId="6CC89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auto"/>
            <w:tcMar>
              <w:top w:w="113" w:type="dxa"/>
              <w:bottom w:w="113" w:type="dxa"/>
            </w:tcMar>
            <w:vAlign w:val="center"/>
          </w:tcPr>
          <w:p w14:paraId="54EF32CA">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成  员</w:t>
            </w:r>
          </w:p>
        </w:tc>
        <w:tc>
          <w:tcPr>
            <w:tcW w:w="1842" w:type="dxa"/>
            <w:shd w:val="clear" w:color="auto" w:fill="auto"/>
            <w:tcMar>
              <w:top w:w="113" w:type="dxa"/>
              <w:bottom w:w="113" w:type="dxa"/>
            </w:tcMar>
            <w:vAlign w:val="center"/>
          </w:tcPr>
          <w:p w14:paraId="0D0CF36E">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韩  平</w:t>
            </w:r>
          </w:p>
        </w:tc>
        <w:tc>
          <w:tcPr>
            <w:tcW w:w="3398" w:type="dxa"/>
            <w:shd w:val="clear" w:color="auto" w:fill="auto"/>
            <w:tcMar>
              <w:top w:w="113" w:type="dxa"/>
              <w:bottom w:w="113" w:type="dxa"/>
            </w:tcMar>
            <w:vAlign w:val="center"/>
          </w:tcPr>
          <w:p w14:paraId="1BD67F23">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卫生院院长</w:t>
            </w:r>
          </w:p>
        </w:tc>
        <w:tc>
          <w:tcPr>
            <w:tcW w:w="2265" w:type="dxa"/>
            <w:shd w:val="clear" w:color="auto" w:fill="auto"/>
            <w:tcMar>
              <w:top w:w="113" w:type="dxa"/>
              <w:bottom w:w="113" w:type="dxa"/>
            </w:tcMar>
            <w:vAlign w:val="center"/>
          </w:tcPr>
          <w:p w14:paraId="3FDD6833">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13854175656</w:t>
            </w:r>
          </w:p>
        </w:tc>
      </w:tr>
      <w:tr w14:paraId="13841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auto"/>
            <w:tcMar>
              <w:top w:w="113" w:type="dxa"/>
              <w:bottom w:w="113" w:type="dxa"/>
            </w:tcMar>
            <w:vAlign w:val="center"/>
          </w:tcPr>
          <w:p w14:paraId="68C8CCC7">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成  员</w:t>
            </w:r>
          </w:p>
        </w:tc>
        <w:tc>
          <w:tcPr>
            <w:tcW w:w="1842" w:type="dxa"/>
            <w:shd w:val="clear" w:color="auto" w:fill="auto"/>
            <w:tcMar>
              <w:top w:w="113" w:type="dxa"/>
              <w:bottom w:w="113" w:type="dxa"/>
            </w:tcMar>
            <w:vAlign w:val="center"/>
          </w:tcPr>
          <w:p w14:paraId="49E37070">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eastAsia="zh-CN"/>
              </w:rPr>
              <w:t>滕</w:t>
            </w:r>
            <w:r>
              <w:rPr>
                <w:rFonts w:hint="eastAsia" w:ascii="仿宋_GB2312" w:hAnsi="仿宋_GB2312" w:eastAsia="仿宋_GB2312" w:cs="仿宋_GB2312"/>
                <w:color w:val="auto"/>
                <w:kern w:val="0"/>
                <w:sz w:val="21"/>
                <w:szCs w:val="21"/>
              </w:rPr>
              <w:t xml:space="preserve">  宝</w:t>
            </w:r>
          </w:p>
        </w:tc>
        <w:tc>
          <w:tcPr>
            <w:tcW w:w="3398" w:type="dxa"/>
            <w:shd w:val="clear" w:color="auto" w:fill="auto"/>
            <w:tcMar>
              <w:top w:w="113" w:type="dxa"/>
              <w:bottom w:w="113" w:type="dxa"/>
            </w:tcMar>
            <w:vAlign w:val="center"/>
          </w:tcPr>
          <w:p w14:paraId="02E07FBF">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市场监管所所长</w:t>
            </w:r>
          </w:p>
        </w:tc>
        <w:tc>
          <w:tcPr>
            <w:tcW w:w="2265" w:type="dxa"/>
            <w:shd w:val="clear" w:color="auto" w:fill="auto"/>
            <w:tcMar>
              <w:top w:w="113" w:type="dxa"/>
              <w:bottom w:w="113" w:type="dxa"/>
            </w:tcMar>
            <w:vAlign w:val="center"/>
          </w:tcPr>
          <w:p w14:paraId="735D94D8">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18615696265</w:t>
            </w:r>
          </w:p>
        </w:tc>
      </w:tr>
      <w:tr w14:paraId="340D2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auto"/>
            <w:tcMar>
              <w:top w:w="113" w:type="dxa"/>
              <w:bottom w:w="113" w:type="dxa"/>
            </w:tcMar>
            <w:vAlign w:val="center"/>
          </w:tcPr>
          <w:p w14:paraId="732DB42D">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成  员</w:t>
            </w:r>
          </w:p>
        </w:tc>
        <w:tc>
          <w:tcPr>
            <w:tcW w:w="1842" w:type="dxa"/>
            <w:shd w:val="clear" w:color="auto" w:fill="auto"/>
            <w:tcMar>
              <w:top w:w="113" w:type="dxa"/>
              <w:bottom w:w="113" w:type="dxa"/>
            </w:tcMar>
            <w:vAlign w:val="center"/>
          </w:tcPr>
          <w:p w14:paraId="228FD2D3">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陈继星</w:t>
            </w:r>
          </w:p>
        </w:tc>
        <w:tc>
          <w:tcPr>
            <w:tcW w:w="3398" w:type="dxa"/>
            <w:shd w:val="clear" w:color="auto" w:fill="auto"/>
            <w:tcMar>
              <w:top w:w="113" w:type="dxa"/>
              <w:bottom w:w="113" w:type="dxa"/>
            </w:tcMar>
            <w:vAlign w:val="center"/>
          </w:tcPr>
          <w:p w14:paraId="69CE566B">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畜牧站站长</w:t>
            </w:r>
          </w:p>
        </w:tc>
        <w:tc>
          <w:tcPr>
            <w:tcW w:w="2265" w:type="dxa"/>
            <w:shd w:val="clear" w:color="auto" w:fill="auto"/>
            <w:tcMar>
              <w:top w:w="113" w:type="dxa"/>
              <w:bottom w:w="113" w:type="dxa"/>
            </w:tcMar>
            <w:vAlign w:val="center"/>
          </w:tcPr>
          <w:p w14:paraId="3345DEE7">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18615545817</w:t>
            </w:r>
          </w:p>
        </w:tc>
      </w:tr>
      <w:tr w14:paraId="25837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auto"/>
            <w:tcMar>
              <w:top w:w="113" w:type="dxa"/>
              <w:bottom w:w="113" w:type="dxa"/>
            </w:tcMar>
            <w:vAlign w:val="center"/>
          </w:tcPr>
          <w:p w14:paraId="2C032265">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成  员</w:t>
            </w:r>
          </w:p>
        </w:tc>
        <w:tc>
          <w:tcPr>
            <w:tcW w:w="1842" w:type="dxa"/>
            <w:shd w:val="clear" w:color="auto" w:fill="auto"/>
            <w:tcMar>
              <w:top w:w="113" w:type="dxa"/>
              <w:bottom w:w="113" w:type="dxa"/>
            </w:tcMar>
            <w:vAlign w:val="center"/>
          </w:tcPr>
          <w:p w14:paraId="752FDC1F">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张乃谅</w:t>
            </w:r>
          </w:p>
        </w:tc>
        <w:tc>
          <w:tcPr>
            <w:tcW w:w="3398" w:type="dxa"/>
            <w:shd w:val="clear" w:color="auto" w:fill="auto"/>
            <w:tcMar>
              <w:top w:w="113" w:type="dxa"/>
              <w:bottom w:w="113" w:type="dxa"/>
            </w:tcMar>
            <w:vAlign w:val="center"/>
          </w:tcPr>
          <w:p w14:paraId="45B9F1FB">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渔场总经理</w:t>
            </w:r>
          </w:p>
        </w:tc>
        <w:tc>
          <w:tcPr>
            <w:tcW w:w="2265" w:type="dxa"/>
            <w:shd w:val="clear" w:color="auto" w:fill="auto"/>
            <w:tcMar>
              <w:top w:w="113" w:type="dxa"/>
              <w:bottom w:w="113" w:type="dxa"/>
            </w:tcMar>
            <w:vAlign w:val="center"/>
          </w:tcPr>
          <w:p w14:paraId="77090CF4">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13031721688</w:t>
            </w:r>
          </w:p>
        </w:tc>
      </w:tr>
      <w:tr w14:paraId="664FD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auto"/>
            <w:tcMar>
              <w:top w:w="113" w:type="dxa"/>
              <w:bottom w:w="113" w:type="dxa"/>
            </w:tcMar>
            <w:vAlign w:val="center"/>
          </w:tcPr>
          <w:p w14:paraId="53F6CBE6">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成  员</w:t>
            </w:r>
          </w:p>
        </w:tc>
        <w:tc>
          <w:tcPr>
            <w:tcW w:w="1842" w:type="dxa"/>
            <w:shd w:val="clear" w:color="auto" w:fill="auto"/>
            <w:tcMar>
              <w:top w:w="113" w:type="dxa"/>
              <w:bottom w:w="113" w:type="dxa"/>
            </w:tcMar>
            <w:vAlign w:val="center"/>
          </w:tcPr>
          <w:p w14:paraId="7E6FB0F6">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范小刚</w:t>
            </w:r>
          </w:p>
        </w:tc>
        <w:tc>
          <w:tcPr>
            <w:tcW w:w="3398" w:type="dxa"/>
            <w:shd w:val="clear" w:color="auto" w:fill="auto"/>
            <w:tcMar>
              <w:top w:w="113" w:type="dxa"/>
              <w:bottom w:w="113" w:type="dxa"/>
            </w:tcMar>
            <w:vAlign w:val="center"/>
          </w:tcPr>
          <w:p w14:paraId="43094CDA">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国土所所长</w:t>
            </w:r>
          </w:p>
        </w:tc>
        <w:tc>
          <w:tcPr>
            <w:tcW w:w="2265" w:type="dxa"/>
            <w:shd w:val="clear" w:color="auto" w:fill="auto"/>
            <w:tcMar>
              <w:top w:w="113" w:type="dxa"/>
              <w:bottom w:w="113" w:type="dxa"/>
            </w:tcMar>
            <w:vAlign w:val="center"/>
          </w:tcPr>
          <w:p w14:paraId="6D73A216">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15318825702</w:t>
            </w:r>
          </w:p>
        </w:tc>
      </w:tr>
      <w:tr w14:paraId="7E18A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auto"/>
            <w:tcMar>
              <w:top w:w="113" w:type="dxa"/>
              <w:bottom w:w="113" w:type="dxa"/>
            </w:tcMar>
            <w:vAlign w:val="center"/>
          </w:tcPr>
          <w:p w14:paraId="605772C2">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成  员</w:t>
            </w:r>
          </w:p>
        </w:tc>
        <w:tc>
          <w:tcPr>
            <w:tcW w:w="1842" w:type="dxa"/>
            <w:shd w:val="clear" w:color="auto" w:fill="auto"/>
            <w:tcMar>
              <w:top w:w="113" w:type="dxa"/>
              <w:bottom w:w="113" w:type="dxa"/>
            </w:tcMar>
            <w:vAlign w:val="center"/>
          </w:tcPr>
          <w:p w14:paraId="0980985E">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rPr>
              <w:t>王立国</w:t>
            </w:r>
          </w:p>
        </w:tc>
        <w:tc>
          <w:tcPr>
            <w:tcW w:w="3398" w:type="dxa"/>
            <w:shd w:val="clear" w:color="auto" w:fill="auto"/>
            <w:tcMar>
              <w:top w:w="113" w:type="dxa"/>
              <w:bottom w:w="113" w:type="dxa"/>
            </w:tcMar>
            <w:vAlign w:val="center"/>
          </w:tcPr>
          <w:p w14:paraId="49C70A36">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中国联通唐王营服中心主任</w:t>
            </w:r>
          </w:p>
        </w:tc>
        <w:tc>
          <w:tcPr>
            <w:tcW w:w="2265" w:type="dxa"/>
            <w:shd w:val="clear" w:color="auto" w:fill="auto"/>
            <w:tcMar>
              <w:top w:w="113" w:type="dxa"/>
              <w:bottom w:w="113" w:type="dxa"/>
            </w:tcMar>
            <w:vAlign w:val="center"/>
          </w:tcPr>
          <w:p w14:paraId="25F9578E">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1565310</w:t>
            </w:r>
            <w:r>
              <w:rPr>
                <w:rFonts w:hint="eastAsia" w:ascii="仿宋_GB2312" w:hAnsi="仿宋_GB2312" w:eastAsia="仿宋_GB2312" w:cs="仿宋_GB2312"/>
                <w:color w:val="auto"/>
                <w:kern w:val="0"/>
                <w:sz w:val="21"/>
                <w:szCs w:val="21"/>
                <w:lang w:val="en-US" w:eastAsia="zh-CN"/>
              </w:rPr>
              <w:t>7364</w:t>
            </w:r>
          </w:p>
        </w:tc>
      </w:tr>
      <w:tr w14:paraId="620E0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auto"/>
            <w:tcMar>
              <w:top w:w="113" w:type="dxa"/>
              <w:bottom w:w="113" w:type="dxa"/>
            </w:tcMar>
            <w:vAlign w:val="center"/>
          </w:tcPr>
          <w:p w14:paraId="0D6997AA">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成  员</w:t>
            </w:r>
          </w:p>
        </w:tc>
        <w:tc>
          <w:tcPr>
            <w:tcW w:w="1842" w:type="dxa"/>
            <w:shd w:val="clear" w:color="auto" w:fill="auto"/>
            <w:tcMar>
              <w:top w:w="113" w:type="dxa"/>
              <w:bottom w:w="113" w:type="dxa"/>
            </w:tcMar>
            <w:vAlign w:val="center"/>
          </w:tcPr>
          <w:p w14:paraId="36C0DCC7">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邱继富</w:t>
            </w:r>
          </w:p>
        </w:tc>
        <w:tc>
          <w:tcPr>
            <w:tcW w:w="3398" w:type="dxa"/>
            <w:shd w:val="clear" w:color="auto" w:fill="auto"/>
            <w:tcMar>
              <w:top w:w="113" w:type="dxa"/>
              <w:bottom w:w="113" w:type="dxa"/>
            </w:tcMar>
            <w:vAlign w:val="center"/>
          </w:tcPr>
          <w:p w14:paraId="679CDA05">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农业</w:t>
            </w:r>
            <w:r>
              <w:rPr>
                <w:rFonts w:hint="eastAsia" w:ascii="仿宋_GB2312" w:hAnsi="仿宋_GB2312" w:eastAsia="仿宋_GB2312" w:cs="仿宋_GB2312"/>
                <w:color w:val="auto"/>
                <w:kern w:val="0"/>
                <w:sz w:val="21"/>
                <w:szCs w:val="21"/>
                <w:lang w:eastAsia="zh-CN"/>
              </w:rPr>
              <w:t>综合</w:t>
            </w:r>
            <w:r>
              <w:rPr>
                <w:rFonts w:hint="eastAsia" w:ascii="仿宋_GB2312" w:hAnsi="仿宋_GB2312" w:eastAsia="仿宋_GB2312" w:cs="仿宋_GB2312"/>
                <w:color w:val="auto"/>
                <w:kern w:val="0"/>
                <w:sz w:val="21"/>
                <w:szCs w:val="21"/>
              </w:rPr>
              <w:t>服务中心主任</w:t>
            </w:r>
          </w:p>
        </w:tc>
        <w:tc>
          <w:tcPr>
            <w:tcW w:w="2265" w:type="dxa"/>
            <w:shd w:val="clear" w:color="auto" w:fill="auto"/>
            <w:tcMar>
              <w:top w:w="113" w:type="dxa"/>
              <w:bottom w:w="113" w:type="dxa"/>
            </w:tcMar>
            <w:vAlign w:val="center"/>
          </w:tcPr>
          <w:p w14:paraId="75F2DA7B">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15908085196</w:t>
            </w:r>
          </w:p>
        </w:tc>
      </w:tr>
      <w:tr w14:paraId="2B2B7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auto"/>
            <w:tcMar>
              <w:top w:w="113" w:type="dxa"/>
              <w:bottom w:w="113" w:type="dxa"/>
            </w:tcMar>
            <w:vAlign w:val="center"/>
          </w:tcPr>
          <w:p w14:paraId="67F6B458">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成  员</w:t>
            </w:r>
          </w:p>
        </w:tc>
        <w:tc>
          <w:tcPr>
            <w:tcW w:w="1842" w:type="dxa"/>
            <w:shd w:val="clear" w:color="auto" w:fill="auto"/>
            <w:tcMar>
              <w:top w:w="113" w:type="dxa"/>
              <w:bottom w:w="113" w:type="dxa"/>
            </w:tcMar>
            <w:vAlign w:val="center"/>
          </w:tcPr>
          <w:p w14:paraId="5012CB89">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eastAsia="zh-CN"/>
              </w:rPr>
              <w:t>徐明亮</w:t>
            </w:r>
          </w:p>
        </w:tc>
        <w:tc>
          <w:tcPr>
            <w:tcW w:w="3398" w:type="dxa"/>
            <w:shd w:val="clear" w:color="auto" w:fill="auto"/>
            <w:tcMar>
              <w:top w:w="113" w:type="dxa"/>
              <w:bottom w:w="113" w:type="dxa"/>
            </w:tcMar>
            <w:vAlign w:val="center"/>
          </w:tcPr>
          <w:p w14:paraId="20AA0968">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经发科科长</w:t>
            </w:r>
          </w:p>
        </w:tc>
        <w:tc>
          <w:tcPr>
            <w:tcW w:w="2265" w:type="dxa"/>
            <w:shd w:val="clear" w:color="auto" w:fill="auto"/>
            <w:tcMar>
              <w:top w:w="113" w:type="dxa"/>
              <w:bottom w:w="113" w:type="dxa"/>
            </w:tcMar>
            <w:vAlign w:val="center"/>
          </w:tcPr>
          <w:p w14:paraId="2A5AA951">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159080855</w:t>
            </w:r>
            <w:r>
              <w:rPr>
                <w:rFonts w:hint="eastAsia" w:ascii="仿宋_GB2312" w:hAnsi="仿宋_GB2312" w:eastAsia="仿宋_GB2312" w:cs="仿宋_GB2312"/>
                <w:color w:val="auto"/>
                <w:kern w:val="0"/>
                <w:sz w:val="21"/>
                <w:szCs w:val="21"/>
                <w:lang w:val="en-US" w:eastAsia="zh-CN"/>
              </w:rPr>
              <w:t>7</w:t>
            </w:r>
            <w:bookmarkStart w:id="190" w:name="_GoBack"/>
            <w:bookmarkEnd w:id="190"/>
            <w:r>
              <w:rPr>
                <w:rFonts w:hint="eastAsia" w:ascii="仿宋_GB2312" w:hAnsi="仿宋_GB2312" w:eastAsia="仿宋_GB2312" w:cs="仿宋_GB2312"/>
                <w:color w:val="auto"/>
                <w:kern w:val="0"/>
                <w:sz w:val="21"/>
                <w:szCs w:val="21"/>
              </w:rPr>
              <w:t>7</w:t>
            </w:r>
          </w:p>
        </w:tc>
      </w:tr>
      <w:tr w14:paraId="47DE8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auto"/>
            <w:tcMar>
              <w:top w:w="113" w:type="dxa"/>
              <w:bottom w:w="113" w:type="dxa"/>
            </w:tcMar>
            <w:vAlign w:val="center"/>
          </w:tcPr>
          <w:p w14:paraId="1B384D82">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成  员</w:t>
            </w:r>
          </w:p>
        </w:tc>
        <w:tc>
          <w:tcPr>
            <w:tcW w:w="1842" w:type="dxa"/>
            <w:shd w:val="clear" w:color="auto" w:fill="auto"/>
            <w:tcMar>
              <w:top w:w="113" w:type="dxa"/>
              <w:bottom w:w="113" w:type="dxa"/>
            </w:tcMar>
            <w:vAlign w:val="center"/>
          </w:tcPr>
          <w:p w14:paraId="2E111B31">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rPr>
              <w:t>季桂芳</w:t>
            </w:r>
          </w:p>
        </w:tc>
        <w:tc>
          <w:tcPr>
            <w:tcW w:w="3398" w:type="dxa"/>
            <w:shd w:val="clear" w:color="auto" w:fill="auto"/>
            <w:tcMar>
              <w:top w:w="113" w:type="dxa"/>
              <w:bottom w:w="113" w:type="dxa"/>
            </w:tcMar>
            <w:vAlign w:val="center"/>
          </w:tcPr>
          <w:p w14:paraId="25783D6B">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宣传科科长</w:t>
            </w:r>
          </w:p>
        </w:tc>
        <w:tc>
          <w:tcPr>
            <w:tcW w:w="2265" w:type="dxa"/>
            <w:shd w:val="clear" w:color="auto" w:fill="auto"/>
            <w:tcMar>
              <w:top w:w="113" w:type="dxa"/>
              <w:bottom w:w="113" w:type="dxa"/>
            </w:tcMar>
            <w:vAlign w:val="center"/>
          </w:tcPr>
          <w:p w14:paraId="50DD3186">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15908085708</w:t>
            </w:r>
          </w:p>
        </w:tc>
      </w:tr>
      <w:tr w14:paraId="0D23D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auto"/>
            <w:tcMar>
              <w:top w:w="113" w:type="dxa"/>
              <w:bottom w:w="113" w:type="dxa"/>
            </w:tcMar>
            <w:vAlign w:val="center"/>
          </w:tcPr>
          <w:p w14:paraId="6C330263">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成  员</w:t>
            </w:r>
          </w:p>
        </w:tc>
        <w:tc>
          <w:tcPr>
            <w:tcW w:w="1842" w:type="dxa"/>
            <w:shd w:val="clear" w:color="auto" w:fill="auto"/>
            <w:tcMar>
              <w:top w:w="113" w:type="dxa"/>
              <w:bottom w:w="113" w:type="dxa"/>
            </w:tcMar>
            <w:vAlign w:val="center"/>
          </w:tcPr>
          <w:p w14:paraId="28EE95FC">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周广东</w:t>
            </w:r>
          </w:p>
        </w:tc>
        <w:tc>
          <w:tcPr>
            <w:tcW w:w="3398" w:type="dxa"/>
            <w:shd w:val="clear" w:color="auto" w:fill="auto"/>
            <w:tcMar>
              <w:top w:w="113" w:type="dxa"/>
              <w:bottom w:w="113" w:type="dxa"/>
            </w:tcMar>
            <w:vAlign w:val="center"/>
          </w:tcPr>
          <w:p w14:paraId="3EDFFA27">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文化站站长</w:t>
            </w:r>
          </w:p>
        </w:tc>
        <w:tc>
          <w:tcPr>
            <w:tcW w:w="2265" w:type="dxa"/>
            <w:shd w:val="clear" w:color="auto" w:fill="auto"/>
            <w:tcMar>
              <w:top w:w="113" w:type="dxa"/>
              <w:bottom w:w="113" w:type="dxa"/>
            </w:tcMar>
            <w:vAlign w:val="center"/>
          </w:tcPr>
          <w:p w14:paraId="31858518">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15908085061</w:t>
            </w:r>
          </w:p>
        </w:tc>
      </w:tr>
      <w:tr w14:paraId="53E15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auto"/>
            <w:tcMar>
              <w:top w:w="113" w:type="dxa"/>
              <w:bottom w:w="113" w:type="dxa"/>
            </w:tcMar>
            <w:vAlign w:val="center"/>
          </w:tcPr>
          <w:p w14:paraId="55466EDD">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成  员</w:t>
            </w:r>
          </w:p>
        </w:tc>
        <w:tc>
          <w:tcPr>
            <w:tcW w:w="1842" w:type="dxa"/>
            <w:shd w:val="clear" w:color="auto" w:fill="auto"/>
            <w:tcMar>
              <w:top w:w="113" w:type="dxa"/>
              <w:bottom w:w="113" w:type="dxa"/>
            </w:tcMar>
            <w:vAlign w:val="center"/>
          </w:tcPr>
          <w:p w14:paraId="24B281BF">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rPr>
              <w:t>刘  涛</w:t>
            </w:r>
          </w:p>
        </w:tc>
        <w:tc>
          <w:tcPr>
            <w:tcW w:w="3398" w:type="dxa"/>
            <w:shd w:val="clear" w:color="auto" w:fill="auto"/>
            <w:tcMar>
              <w:top w:w="113" w:type="dxa"/>
              <w:bottom w:w="113" w:type="dxa"/>
            </w:tcMar>
            <w:vAlign w:val="center"/>
          </w:tcPr>
          <w:p w14:paraId="0722AEBF">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社会事务科科长</w:t>
            </w:r>
          </w:p>
        </w:tc>
        <w:tc>
          <w:tcPr>
            <w:tcW w:w="2265" w:type="dxa"/>
            <w:shd w:val="clear" w:color="auto" w:fill="auto"/>
            <w:tcMar>
              <w:top w:w="113" w:type="dxa"/>
              <w:bottom w:w="113" w:type="dxa"/>
            </w:tcMar>
            <w:vAlign w:val="center"/>
          </w:tcPr>
          <w:p w14:paraId="109DE780">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rPr>
              <w:t>15908085617</w:t>
            </w:r>
          </w:p>
        </w:tc>
      </w:tr>
      <w:tr w14:paraId="4E5CF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auto"/>
            <w:tcMar>
              <w:top w:w="113" w:type="dxa"/>
              <w:bottom w:w="113" w:type="dxa"/>
            </w:tcMar>
            <w:vAlign w:val="center"/>
          </w:tcPr>
          <w:p w14:paraId="2ECA5F24">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成  员</w:t>
            </w:r>
          </w:p>
        </w:tc>
        <w:tc>
          <w:tcPr>
            <w:tcW w:w="1842" w:type="dxa"/>
            <w:shd w:val="clear" w:color="auto" w:fill="auto"/>
            <w:tcMar>
              <w:top w:w="113" w:type="dxa"/>
              <w:bottom w:w="113" w:type="dxa"/>
            </w:tcMar>
            <w:vAlign w:val="center"/>
          </w:tcPr>
          <w:p w14:paraId="19C38DED">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陈延杰</w:t>
            </w:r>
          </w:p>
        </w:tc>
        <w:tc>
          <w:tcPr>
            <w:tcW w:w="3398" w:type="dxa"/>
            <w:shd w:val="clear" w:color="auto" w:fill="auto"/>
            <w:tcMar>
              <w:top w:w="113" w:type="dxa"/>
              <w:bottom w:w="113" w:type="dxa"/>
            </w:tcMar>
            <w:vAlign w:val="center"/>
          </w:tcPr>
          <w:p w14:paraId="32718D82">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唐王管区主任</w:t>
            </w:r>
          </w:p>
        </w:tc>
        <w:tc>
          <w:tcPr>
            <w:tcW w:w="2265" w:type="dxa"/>
            <w:shd w:val="clear" w:color="auto" w:fill="auto"/>
            <w:tcMar>
              <w:top w:w="113" w:type="dxa"/>
              <w:bottom w:w="113" w:type="dxa"/>
            </w:tcMar>
            <w:vAlign w:val="center"/>
          </w:tcPr>
          <w:p w14:paraId="2A3952BA">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15908085576</w:t>
            </w:r>
          </w:p>
        </w:tc>
      </w:tr>
      <w:tr w14:paraId="34212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auto"/>
            <w:tcMar>
              <w:top w:w="113" w:type="dxa"/>
              <w:bottom w:w="113" w:type="dxa"/>
            </w:tcMar>
            <w:vAlign w:val="center"/>
          </w:tcPr>
          <w:p w14:paraId="3ED936A4">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成  员</w:t>
            </w:r>
          </w:p>
        </w:tc>
        <w:tc>
          <w:tcPr>
            <w:tcW w:w="1842" w:type="dxa"/>
            <w:shd w:val="clear" w:color="auto" w:fill="auto"/>
            <w:tcMar>
              <w:top w:w="113" w:type="dxa"/>
              <w:bottom w:w="113" w:type="dxa"/>
            </w:tcMar>
            <w:vAlign w:val="center"/>
          </w:tcPr>
          <w:p w14:paraId="5AAAD398">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rPr>
              <w:t>郭盈含</w:t>
            </w:r>
          </w:p>
        </w:tc>
        <w:tc>
          <w:tcPr>
            <w:tcW w:w="3398" w:type="dxa"/>
            <w:shd w:val="clear" w:color="auto" w:fill="auto"/>
            <w:tcMar>
              <w:top w:w="113" w:type="dxa"/>
              <w:bottom w:w="113" w:type="dxa"/>
            </w:tcMar>
            <w:vAlign w:val="center"/>
          </w:tcPr>
          <w:p w14:paraId="077A254E">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纸坊管区主任</w:t>
            </w:r>
          </w:p>
        </w:tc>
        <w:tc>
          <w:tcPr>
            <w:tcW w:w="2265" w:type="dxa"/>
            <w:shd w:val="clear" w:color="auto" w:fill="auto"/>
            <w:tcMar>
              <w:top w:w="113" w:type="dxa"/>
              <w:bottom w:w="113" w:type="dxa"/>
            </w:tcMar>
            <w:vAlign w:val="center"/>
          </w:tcPr>
          <w:p w14:paraId="0CBCFC11">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rPr>
              <w:t>15908085708</w:t>
            </w:r>
          </w:p>
        </w:tc>
      </w:tr>
      <w:tr w14:paraId="37721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auto"/>
            <w:tcMar>
              <w:top w:w="113" w:type="dxa"/>
              <w:bottom w:w="113" w:type="dxa"/>
            </w:tcMar>
            <w:vAlign w:val="center"/>
          </w:tcPr>
          <w:p w14:paraId="55B4FA4C">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成  员</w:t>
            </w:r>
          </w:p>
        </w:tc>
        <w:tc>
          <w:tcPr>
            <w:tcW w:w="1842" w:type="dxa"/>
            <w:shd w:val="clear" w:color="auto" w:fill="auto"/>
            <w:tcMar>
              <w:top w:w="113" w:type="dxa"/>
              <w:bottom w:w="113" w:type="dxa"/>
            </w:tcMar>
            <w:vAlign w:val="center"/>
          </w:tcPr>
          <w:p w14:paraId="53F352F0">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韩春梅</w:t>
            </w:r>
          </w:p>
        </w:tc>
        <w:tc>
          <w:tcPr>
            <w:tcW w:w="3398" w:type="dxa"/>
            <w:shd w:val="clear" w:color="auto" w:fill="auto"/>
            <w:tcMar>
              <w:top w:w="113" w:type="dxa"/>
              <w:bottom w:w="113" w:type="dxa"/>
            </w:tcMar>
            <w:vAlign w:val="center"/>
          </w:tcPr>
          <w:p w14:paraId="6DA177C8">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崔家管区主任</w:t>
            </w:r>
          </w:p>
        </w:tc>
        <w:tc>
          <w:tcPr>
            <w:tcW w:w="2265" w:type="dxa"/>
            <w:shd w:val="clear" w:color="auto" w:fill="auto"/>
            <w:tcMar>
              <w:top w:w="113" w:type="dxa"/>
              <w:bottom w:w="113" w:type="dxa"/>
            </w:tcMar>
            <w:vAlign w:val="center"/>
          </w:tcPr>
          <w:p w14:paraId="087F6925">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15908085579</w:t>
            </w:r>
          </w:p>
        </w:tc>
      </w:tr>
      <w:tr w14:paraId="7D160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auto"/>
            <w:tcMar>
              <w:top w:w="113" w:type="dxa"/>
              <w:bottom w:w="113" w:type="dxa"/>
            </w:tcMar>
            <w:vAlign w:val="center"/>
          </w:tcPr>
          <w:p w14:paraId="0DD2C447">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成  员</w:t>
            </w:r>
          </w:p>
        </w:tc>
        <w:tc>
          <w:tcPr>
            <w:tcW w:w="1842" w:type="dxa"/>
            <w:shd w:val="clear" w:color="auto" w:fill="auto"/>
            <w:tcMar>
              <w:top w:w="113" w:type="dxa"/>
              <w:bottom w:w="113" w:type="dxa"/>
            </w:tcMar>
            <w:vAlign w:val="center"/>
          </w:tcPr>
          <w:p w14:paraId="06B715A0">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邱  霞</w:t>
            </w:r>
          </w:p>
        </w:tc>
        <w:tc>
          <w:tcPr>
            <w:tcW w:w="3398" w:type="dxa"/>
            <w:shd w:val="clear" w:color="auto" w:fill="auto"/>
            <w:tcMar>
              <w:top w:w="113" w:type="dxa"/>
              <w:bottom w:w="113" w:type="dxa"/>
            </w:tcMar>
            <w:vAlign w:val="center"/>
          </w:tcPr>
          <w:p w14:paraId="22DD873E">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娄家管区主任</w:t>
            </w:r>
          </w:p>
        </w:tc>
        <w:tc>
          <w:tcPr>
            <w:tcW w:w="2265" w:type="dxa"/>
            <w:shd w:val="clear" w:color="auto" w:fill="auto"/>
            <w:tcMar>
              <w:top w:w="113" w:type="dxa"/>
              <w:bottom w:w="113" w:type="dxa"/>
            </w:tcMar>
            <w:vAlign w:val="center"/>
          </w:tcPr>
          <w:p w14:paraId="413EDBB3">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15908085258</w:t>
            </w:r>
          </w:p>
        </w:tc>
      </w:tr>
      <w:tr w14:paraId="413C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auto"/>
            <w:tcMar>
              <w:top w:w="113" w:type="dxa"/>
              <w:bottom w:w="113" w:type="dxa"/>
            </w:tcMar>
            <w:vAlign w:val="center"/>
          </w:tcPr>
          <w:p w14:paraId="103B32D1">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成  员</w:t>
            </w:r>
          </w:p>
        </w:tc>
        <w:tc>
          <w:tcPr>
            <w:tcW w:w="1842" w:type="dxa"/>
            <w:shd w:val="clear" w:color="auto" w:fill="auto"/>
            <w:tcMar>
              <w:top w:w="113" w:type="dxa"/>
              <w:bottom w:w="113" w:type="dxa"/>
            </w:tcMar>
            <w:vAlign w:val="center"/>
          </w:tcPr>
          <w:p w14:paraId="0AFE1CC1">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王为政</w:t>
            </w:r>
          </w:p>
        </w:tc>
        <w:tc>
          <w:tcPr>
            <w:tcW w:w="3398" w:type="dxa"/>
            <w:shd w:val="clear" w:color="auto" w:fill="auto"/>
            <w:tcMar>
              <w:top w:w="113" w:type="dxa"/>
              <w:bottom w:w="113" w:type="dxa"/>
            </w:tcMar>
            <w:vAlign w:val="center"/>
          </w:tcPr>
          <w:p w14:paraId="3AFD5108">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老僧口管区主任</w:t>
            </w:r>
          </w:p>
        </w:tc>
        <w:tc>
          <w:tcPr>
            <w:tcW w:w="2265" w:type="dxa"/>
            <w:shd w:val="clear" w:color="auto" w:fill="auto"/>
            <w:tcMar>
              <w:top w:w="113" w:type="dxa"/>
              <w:bottom w:w="113" w:type="dxa"/>
            </w:tcMar>
            <w:vAlign w:val="center"/>
          </w:tcPr>
          <w:p w14:paraId="7ECBA54A">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15908085278</w:t>
            </w:r>
          </w:p>
        </w:tc>
      </w:tr>
      <w:tr w14:paraId="7105A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auto"/>
            <w:tcMar>
              <w:top w:w="113" w:type="dxa"/>
              <w:bottom w:w="113" w:type="dxa"/>
            </w:tcMar>
            <w:vAlign w:val="center"/>
          </w:tcPr>
          <w:p w14:paraId="5DE5953F">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成  员</w:t>
            </w:r>
          </w:p>
        </w:tc>
        <w:tc>
          <w:tcPr>
            <w:tcW w:w="1842" w:type="dxa"/>
            <w:shd w:val="clear" w:color="auto" w:fill="auto"/>
            <w:tcMar>
              <w:top w:w="113" w:type="dxa"/>
              <w:bottom w:w="113" w:type="dxa"/>
            </w:tcMar>
            <w:vAlign w:val="center"/>
          </w:tcPr>
          <w:p w14:paraId="482E0FE0">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郑元宝</w:t>
            </w:r>
          </w:p>
        </w:tc>
        <w:tc>
          <w:tcPr>
            <w:tcW w:w="3398" w:type="dxa"/>
            <w:shd w:val="clear" w:color="auto" w:fill="auto"/>
            <w:tcMar>
              <w:top w:w="113" w:type="dxa"/>
              <w:bottom w:w="113" w:type="dxa"/>
            </w:tcMar>
            <w:vAlign w:val="center"/>
          </w:tcPr>
          <w:p w14:paraId="04E616DD">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派出所教导员</w:t>
            </w:r>
          </w:p>
        </w:tc>
        <w:tc>
          <w:tcPr>
            <w:tcW w:w="2265" w:type="dxa"/>
            <w:shd w:val="clear" w:color="auto" w:fill="auto"/>
            <w:tcMar>
              <w:top w:w="113" w:type="dxa"/>
              <w:bottom w:w="113" w:type="dxa"/>
            </w:tcMar>
            <w:vAlign w:val="center"/>
          </w:tcPr>
          <w:p w14:paraId="067ED8DC">
            <w:pPr>
              <w:overflowPunct w:val="0"/>
              <w:topLinePunct/>
              <w:contextualSpacing/>
              <w:jc w:val="center"/>
              <w:textAlignment w:val="top"/>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rPr>
              <w:t>18866118306</w:t>
            </w:r>
          </w:p>
        </w:tc>
      </w:tr>
    </w:tbl>
    <w:tbl>
      <w:tblPr>
        <w:tblStyle w:val="20"/>
        <w:tblpPr w:leftFromText="180" w:rightFromText="180" w:vertAnchor="text" w:horzAnchor="page" w:tblpX="1525" w:tblpY="9891"/>
        <w:tblOverlap w:val="never"/>
        <w:tblW w:w="0" w:type="auto"/>
        <w:tblInd w:w="0" w:type="dxa"/>
        <w:tblBorders>
          <w:top w:val="single" w:color="auto" w:sz="8" w:space="0"/>
          <w:left w:val="none" w:color="auto" w:sz="0" w:space="0"/>
          <w:bottom w:val="single" w:color="auto" w:sz="8" w:space="0"/>
          <w:right w:val="none" w:color="auto" w:sz="0" w:space="0"/>
          <w:insideH w:val="single" w:color="auto" w:sz="6" w:space="0"/>
          <w:insideV w:val="none" w:color="auto" w:sz="0" w:space="0"/>
        </w:tblBorders>
        <w:tblLayout w:type="autofit"/>
        <w:tblCellMar>
          <w:top w:w="0" w:type="dxa"/>
          <w:left w:w="108" w:type="dxa"/>
          <w:bottom w:w="0" w:type="dxa"/>
          <w:right w:w="108" w:type="dxa"/>
        </w:tblCellMar>
      </w:tblPr>
      <w:tblGrid>
        <w:gridCol w:w="9075"/>
      </w:tblGrid>
      <w:tr w14:paraId="15F8F019">
        <w:tblPrEx>
          <w:tblBorders>
            <w:top w:val="single" w:color="auto" w:sz="8" w:space="0"/>
            <w:left w:val="none" w:color="auto" w:sz="0" w:space="0"/>
            <w:bottom w:val="single" w:color="auto" w:sz="8" w:space="0"/>
            <w:right w:val="none" w:color="auto" w:sz="0" w:space="0"/>
            <w:insideH w:val="single" w:color="auto" w:sz="6" w:space="0"/>
            <w:insideV w:val="none" w:color="auto" w:sz="0" w:space="0"/>
          </w:tblBorders>
          <w:tblCellMar>
            <w:top w:w="0" w:type="dxa"/>
            <w:left w:w="108" w:type="dxa"/>
            <w:bottom w:w="0" w:type="dxa"/>
            <w:right w:w="108" w:type="dxa"/>
          </w:tblCellMar>
        </w:tblPrEx>
        <w:trPr>
          <w:trHeight w:val="609" w:hRule="atLeast"/>
        </w:trPr>
        <w:tc>
          <w:tcPr>
            <w:tcW w:w="9075" w:type="dxa"/>
            <w:tcBorders>
              <w:tl2br w:val="nil"/>
              <w:tr2bl w:val="nil"/>
            </w:tcBorders>
            <w:noWrap/>
            <w:vAlign w:val="top"/>
          </w:tcPr>
          <w:p w14:paraId="13156A96">
            <w:pPr>
              <w:widowControl w:val="0"/>
              <w:spacing w:line="560" w:lineRule="exact"/>
              <w:ind w:right="280" w:rightChars="100" w:firstLine="280" w:firstLineChars="100"/>
              <w:textAlignment w:val="center"/>
              <w:rPr>
                <w:rFonts w:ascii="宋体" w:hAnsi="宋体" w:eastAsia="宋体" w:cs="宋体"/>
                <w:sz w:val="32"/>
                <w:szCs w:val="32"/>
              </w:rPr>
            </w:pPr>
            <w:r>
              <w:rPr>
                <w:rFonts w:hint="eastAsia" w:ascii="仿宋_GB2312" w:hAnsi="仿宋_GB2312" w:eastAsia="仿宋_GB2312" w:cs="仿宋_GB2312"/>
                <w:sz w:val="28"/>
                <w:szCs w:val="28"/>
              </w:rPr>
              <w:t xml:space="preserve">济南市历城区唐王街道党政办公室     </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15</w:t>
            </w:r>
            <w:r>
              <w:rPr>
                <w:rFonts w:hint="eastAsia" w:ascii="仿宋_GB2312" w:hAnsi="仿宋_GB2312" w:eastAsia="仿宋_GB2312" w:cs="仿宋_GB2312"/>
                <w:sz w:val="28"/>
                <w:szCs w:val="28"/>
              </w:rPr>
              <w:t>日印发</w:t>
            </w:r>
          </w:p>
        </w:tc>
      </w:tr>
    </w:tbl>
    <w:p w14:paraId="772B8C1F">
      <w:pPr>
        <w:overflowPunct w:val="0"/>
        <w:topLinePunct/>
        <w:adjustRightInd w:val="0"/>
        <w:snapToGrid w:val="0"/>
        <w:spacing w:before="78" w:beforeLines="25" w:after="78" w:afterLines="25"/>
        <w:jc w:val="both"/>
        <w:textAlignment w:val="top"/>
        <w:rPr>
          <w:rFonts w:hint="eastAsia" w:ascii="仿宋_GB2312" w:hAnsi="仿宋_GB2312" w:eastAsia="仿宋_GB2312" w:cs="仿宋_GB2312"/>
          <w:b/>
          <w:color w:val="auto"/>
        </w:rPr>
      </w:pPr>
    </w:p>
    <w:sectPr>
      <w:pgSz w:w="11906" w:h="16838"/>
      <w:pgMar w:top="1440" w:right="1418" w:bottom="1440" w:left="1418"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75E09">
    <w:pPr>
      <w:pStyle w:val="1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D4EFA4">
                          <w:pPr>
                            <w:pStyle w:val="12"/>
                          </w:pPr>
                          <w: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AD4EFA4">
                    <w:pPr>
                      <w:pStyle w:val="12"/>
                    </w:pPr>
                    <w: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M2MTM5ZWJjNzdiZWZmOWM2ODAxYTNmZTliY2Q2Y2IifQ=="/>
  </w:docVars>
  <w:rsids>
    <w:rsidRoot w:val="00864F22"/>
    <w:rsid w:val="00003920"/>
    <w:rsid w:val="000042D8"/>
    <w:rsid w:val="000063DF"/>
    <w:rsid w:val="000101DE"/>
    <w:rsid w:val="00014150"/>
    <w:rsid w:val="00015863"/>
    <w:rsid w:val="000172DC"/>
    <w:rsid w:val="00017B9B"/>
    <w:rsid w:val="0002055D"/>
    <w:rsid w:val="000235BA"/>
    <w:rsid w:val="0002525C"/>
    <w:rsid w:val="00026EC5"/>
    <w:rsid w:val="00034C43"/>
    <w:rsid w:val="0004306B"/>
    <w:rsid w:val="000451A8"/>
    <w:rsid w:val="00045ACE"/>
    <w:rsid w:val="00051B94"/>
    <w:rsid w:val="00054632"/>
    <w:rsid w:val="0006327E"/>
    <w:rsid w:val="00065C72"/>
    <w:rsid w:val="00065DFB"/>
    <w:rsid w:val="00067961"/>
    <w:rsid w:val="000800BE"/>
    <w:rsid w:val="000A14DE"/>
    <w:rsid w:val="000A4797"/>
    <w:rsid w:val="000A6266"/>
    <w:rsid w:val="000B01E0"/>
    <w:rsid w:val="000B26A4"/>
    <w:rsid w:val="000B3EBF"/>
    <w:rsid w:val="000C0B3C"/>
    <w:rsid w:val="000C291C"/>
    <w:rsid w:val="000C3B42"/>
    <w:rsid w:val="000D32C4"/>
    <w:rsid w:val="000D3F94"/>
    <w:rsid w:val="000E0A87"/>
    <w:rsid w:val="000F3E77"/>
    <w:rsid w:val="000F6051"/>
    <w:rsid w:val="000F653D"/>
    <w:rsid w:val="001048A8"/>
    <w:rsid w:val="00110C7F"/>
    <w:rsid w:val="00113652"/>
    <w:rsid w:val="001239BD"/>
    <w:rsid w:val="00126E93"/>
    <w:rsid w:val="00133274"/>
    <w:rsid w:val="001339C5"/>
    <w:rsid w:val="00142A09"/>
    <w:rsid w:val="00143B45"/>
    <w:rsid w:val="001514C1"/>
    <w:rsid w:val="00151D4A"/>
    <w:rsid w:val="00153733"/>
    <w:rsid w:val="00163AE6"/>
    <w:rsid w:val="00163C55"/>
    <w:rsid w:val="00170C46"/>
    <w:rsid w:val="0018164B"/>
    <w:rsid w:val="00185C96"/>
    <w:rsid w:val="00194253"/>
    <w:rsid w:val="00196B1D"/>
    <w:rsid w:val="001A6763"/>
    <w:rsid w:val="001B4687"/>
    <w:rsid w:val="001C05E1"/>
    <w:rsid w:val="001C106B"/>
    <w:rsid w:val="001D02FB"/>
    <w:rsid w:val="001D64AD"/>
    <w:rsid w:val="001D6C66"/>
    <w:rsid w:val="001D708F"/>
    <w:rsid w:val="001D75FB"/>
    <w:rsid w:val="001E2855"/>
    <w:rsid w:val="001F0DB1"/>
    <w:rsid w:val="001F0DD8"/>
    <w:rsid w:val="001F3DD5"/>
    <w:rsid w:val="00202042"/>
    <w:rsid w:val="0021471B"/>
    <w:rsid w:val="00222DD8"/>
    <w:rsid w:val="002406DA"/>
    <w:rsid w:val="00254927"/>
    <w:rsid w:val="00262913"/>
    <w:rsid w:val="00263923"/>
    <w:rsid w:val="00265B9F"/>
    <w:rsid w:val="00265FC3"/>
    <w:rsid w:val="00274C1B"/>
    <w:rsid w:val="002779FE"/>
    <w:rsid w:val="002804B8"/>
    <w:rsid w:val="00282280"/>
    <w:rsid w:val="00283CB3"/>
    <w:rsid w:val="00293782"/>
    <w:rsid w:val="002A11C7"/>
    <w:rsid w:val="002A7625"/>
    <w:rsid w:val="002B263C"/>
    <w:rsid w:val="002B2961"/>
    <w:rsid w:val="002B3643"/>
    <w:rsid w:val="002B5BB0"/>
    <w:rsid w:val="002B7976"/>
    <w:rsid w:val="002C2E28"/>
    <w:rsid w:val="002C7142"/>
    <w:rsid w:val="002D3BE8"/>
    <w:rsid w:val="002D5E36"/>
    <w:rsid w:val="002E5A46"/>
    <w:rsid w:val="002E732B"/>
    <w:rsid w:val="002F01B5"/>
    <w:rsid w:val="002F16C6"/>
    <w:rsid w:val="002F49EB"/>
    <w:rsid w:val="002F505F"/>
    <w:rsid w:val="002F6ABB"/>
    <w:rsid w:val="00301C62"/>
    <w:rsid w:val="00304AEA"/>
    <w:rsid w:val="00305588"/>
    <w:rsid w:val="00311D3B"/>
    <w:rsid w:val="003143D4"/>
    <w:rsid w:val="003150BA"/>
    <w:rsid w:val="00315760"/>
    <w:rsid w:val="0031797D"/>
    <w:rsid w:val="00320835"/>
    <w:rsid w:val="00321940"/>
    <w:rsid w:val="00322EDB"/>
    <w:rsid w:val="00325BA5"/>
    <w:rsid w:val="00326509"/>
    <w:rsid w:val="0033307C"/>
    <w:rsid w:val="003417FE"/>
    <w:rsid w:val="003420F5"/>
    <w:rsid w:val="0034516C"/>
    <w:rsid w:val="00351546"/>
    <w:rsid w:val="00351972"/>
    <w:rsid w:val="00354D13"/>
    <w:rsid w:val="003562BB"/>
    <w:rsid w:val="0035676A"/>
    <w:rsid w:val="00360EF8"/>
    <w:rsid w:val="00367156"/>
    <w:rsid w:val="00373E95"/>
    <w:rsid w:val="00390742"/>
    <w:rsid w:val="00390C96"/>
    <w:rsid w:val="00391E7F"/>
    <w:rsid w:val="00393DBA"/>
    <w:rsid w:val="00393E77"/>
    <w:rsid w:val="003949DB"/>
    <w:rsid w:val="00397718"/>
    <w:rsid w:val="003A0F1E"/>
    <w:rsid w:val="003A2459"/>
    <w:rsid w:val="003B0301"/>
    <w:rsid w:val="003B32F2"/>
    <w:rsid w:val="003B353C"/>
    <w:rsid w:val="003B6534"/>
    <w:rsid w:val="003C1090"/>
    <w:rsid w:val="003C7464"/>
    <w:rsid w:val="003C7B94"/>
    <w:rsid w:val="003D1777"/>
    <w:rsid w:val="003E14B9"/>
    <w:rsid w:val="003E2C8E"/>
    <w:rsid w:val="003E7605"/>
    <w:rsid w:val="003F2602"/>
    <w:rsid w:val="003F6ECC"/>
    <w:rsid w:val="00405131"/>
    <w:rsid w:val="00406395"/>
    <w:rsid w:val="00411E02"/>
    <w:rsid w:val="00415E42"/>
    <w:rsid w:val="00420EC8"/>
    <w:rsid w:val="00430EEB"/>
    <w:rsid w:val="00436DF0"/>
    <w:rsid w:val="00440BE0"/>
    <w:rsid w:val="00440C90"/>
    <w:rsid w:val="00445CDA"/>
    <w:rsid w:val="00446C17"/>
    <w:rsid w:val="00452D0B"/>
    <w:rsid w:val="00457DFE"/>
    <w:rsid w:val="00461746"/>
    <w:rsid w:val="0046525E"/>
    <w:rsid w:val="00465D38"/>
    <w:rsid w:val="00467B63"/>
    <w:rsid w:val="004716F6"/>
    <w:rsid w:val="0047197D"/>
    <w:rsid w:val="00474FC0"/>
    <w:rsid w:val="004761BE"/>
    <w:rsid w:val="00476591"/>
    <w:rsid w:val="00485A23"/>
    <w:rsid w:val="00491B14"/>
    <w:rsid w:val="0049399F"/>
    <w:rsid w:val="004A074E"/>
    <w:rsid w:val="004A6C0A"/>
    <w:rsid w:val="004B1FDE"/>
    <w:rsid w:val="004B4758"/>
    <w:rsid w:val="004B4CD0"/>
    <w:rsid w:val="004B5D06"/>
    <w:rsid w:val="004C2150"/>
    <w:rsid w:val="004C306A"/>
    <w:rsid w:val="004C3543"/>
    <w:rsid w:val="004D15BB"/>
    <w:rsid w:val="004D1747"/>
    <w:rsid w:val="004D32D3"/>
    <w:rsid w:val="004D63C9"/>
    <w:rsid w:val="004E433D"/>
    <w:rsid w:val="00501EB7"/>
    <w:rsid w:val="00517EF0"/>
    <w:rsid w:val="00520E25"/>
    <w:rsid w:val="00524BB8"/>
    <w:rsid w:val="00524BC4"/>
    <w:rsid w:val="00531C8A"/>
    <w:rsid w:val="00537026"/>
    <w:rsid w:val="0053722B"/>
    <w:rsid w:val="00544AB5"/>
    <w:rsid w:val="00544FD6"/>
    <w:rsid w:val="00557CFB"/>
    <w:rsid w:val="005674F8"/>
    <w:rsid w:val="0057203C"/>
    <w:rsid w:val="00576DD8"/>
    <w:rsid w:val="00581D63"/>
    <w:rsid w:val="00583F7B"/>
    <w:rsid w:val="00592C36"/>
    <w:rsid w:val="005A181E"/>
    <w:rsid w:val="005A1F0F"/>
    <w:rsid w:val="005A20B3"/>
    <w:rsid w:val="005B00D2"/>
    <w:rsid w:val="005B025A"/>
    <w:rsid w:val="005B321B"/>
    <w:rsid w:val="005B32F8"/>
    <w:rsid w:val="005B4450"/>
    <w:rsid w:val="005B5D7E"/>
    <w:rsid w:val="005C1389"/>
    <w:rsid w:val="005D5A0F"/>
    <w:rsid w:val="005D6689"/>
    <w:rsid w:val="005D7F27"/>
    <w:rsid w:val="005E3818"/>
    <w:rsid w:val="005E5E45"/>
    <w:rsid w:val="005F1D38"/>
    <w:rsid w:val="005F4ACA"/>
    <w:rsid w:val="005F6287"/>
    <w:rsid w:val="006002B5"/>
    <w:rsid w:val="00604A43"/>
    <w:rsid w:val="0060709B"/>
    <w:rsid w:val="0061033D"/>
    <w:rsid w:val="00612C4E"/>
    <w:rsid w:val="006145FD"/>
    <w:rsid w:val="00621409"/>
    <w:rsid w:val="0062241B"/>
    <w:rsid w:val="006238E7"/>
    <w:rsid w:val="006241BB"/>
    <w:rsid w:val="00625076"/>
    <w:rsid w:val="006268F4"/>
    <w:rsid w:val="006311D3"/>
    <w:rsid w:val="006371F3"/>
    <w:rsid w:val="006373AB"/>
    <w:rsid w:val="0064716C"/>
    <w:rsid w:val="00652E0E"/>
    <w:rsid w:val="00662320"/>
    <w:rsid w:val="00662C1B"/>
    <w:rsid w:val="00665FE3"/>
    <w:rsid w:val="0067748B"/>
    <w:rsid w:val="00685E2F"/>
    <w:rsid w:val="0068786E"/>
    <w:rsid w:val="00691C11"/>
    <w:rsid w:val="00693B87"/>
    <w:rsid w:val="006A2591"/>
    <w:rsid w:val="006A3932"/>
    <w:rsid w:val="006A6C13"/>
    <w:rsid w:val="006A75ED"/>
    <w:rsid w:val="006B0A32"/>
    <w:rsid w:val="006B1E4A"/>
    <w:rsid w:val="006B213B"/>
    <w:rsid w:val="006B3192"/>
    <w:rsid w:val="006B5BFC"/>
    <w:rsid w:val="006C1197"/>
    <w:rsid w:val="006C1959"/>
    <w:rsid w:val="006C1CC7"/>
    <w:rsid w:val="006C74B4"/>
    <w:rsid w:val="006D28B5"/>
    <w:rsid w:val="006E017A"/>
    <w:rsid w:val="006E0A27"/>
    <w:rsid w:val="006E0F69"/>
    <w:rsid w:val="006E2B6E"/>
    <w:rsid w:val="006E5604"/>
    <w:rsid w:val="006E6308"/>
    <w:rsid w:val="006E79DC"/>
    <w:rsid w:val="006F638A"/>
    <w:rsid w:val="006F6C02"/>
    <w:rsid w:val="00713133"/>
    <w:rsid w:val="00713FCD"/>
    <w:rsid w:val="00720236"/>
    <w:rsid w:val="00722205"/>
    <w:rsid w:val="00723336"/>
    <w:rsid w:val="00727F6F"/>
    <w:rsid w:val="00732354"/>
    <w:rsid w:val="00734FF7"/>
    <w:rsid w:val="00742CDD"/>
    <w:rsid w:val="007515B5"/>
    <w:rsid w:val="0075221F"/>
    <w:rsid w:val="00763B4E"/>
    <w:rsid w:val="00764733"/>
    <w:rsid w:val="007904CE"/>
    <w:rsid w:val="00791AD5"/>
    <w:rsid w:val="007A11D4"/>
    <w:rsid w:val="007A29E2"/>
    <w:rsid w:val="007A5DD1"/>
    <w:rsid w:val="007B0764"/>
    <w:rsid w:val="007B2846"/>
    <w:rsid w:val="007B464F"/>
    <w:rsid w:val="007B4D9A"/>
    <w:rsid w:val="007B7DC4"/>
    <w:rsid w:val="007C546B"/>
    <w:rsid w:val="007E77B9"/>
    <w:rsid w:val="007F03F4"/>
    <w:rsid w:val="007F1F93"/>
    <w:rsid w:val="007F26CC"/>
    <w:rsid w:val="007F2D56"/>
    <w:rsid w:val="007F3BA5"/>
    <w:rsid w:val="0080015D"/>
    <w:rsid w:val="00800B26"/>
    <w:rsid w:val="0080215E"/>
    <w:rsid w:val="00806B03"/>
    <w:rsid w:val="00810035"/>
    <w:rsid w:val="00814443"/>
    <w:rsid w:val="00815FB4"/>
    <w:rsid w:val="00816CD4"/>
    <w:rsid w:val="00830DB0"/>
    <w:rsid w:val="00835AB7"/>
    <w:rsid w:val="008541C0"/>
    <w:rsid w:val="0085779F"/>
    <w:rsid w:val="0086098F"/>
    <w:rsid w:val="008629FA"/>
    <w:rsid w:val="00864F22"/>
    <w:rsid w:val="00871B18"/>
    <w:rsid w:val="00876043"/>
    <w:rsid w:val="008761F0"/>
    <w:rsid w:val="00877BA0"/>
    <w:rsid w:val="008829C1"/>
    <w:rsid w:val="008851D0"/>
    <w:rsid w:val="00890939"/>
    <w:rsid w:val="0089391A"/>
    <w:rsid w:val="00893C4C"/>
    <w:rsid w:val="00895BA7"/>
    <w:rsid w:val="008A67EC"/>
    <w:rsid w:val="008A7619"/>
    <w:rsid w:val="008C5F8A"/>
    <w:rsid w:val="008C7FD9"/>
    <w:rsid w:val="008D27AE"/>
    <w:rsid w:val="008D5D85"/>
    <w:rsid w:val="008F416C"/>
    <w:rsid w:val="008F7A78"/>
    <w:rsid w:val="0091012D"/>
    <w:rsid w:val="009130AC"/>
    <w:rsid w:val="00914B2C"/>
    <w:rsid w:val="0092069D"/>
    <w:rsid w:val="00922ABA"/>
    <w:rsid w:val="009309D0"/>
    <w:rsid w:val="00930D36"/>
    <w:rsid w:val="00931583"/>
    <w:rsid w:val="00932260"/>
    <w:rsid w:val="00936963"/>
    <w:rsid w:val="00943529"/>
    <w:rsid w:val="00946332"/>
    <w:rsid w:val="00955940"/>
    <w:rsid w:val="00960587"/>
    <w:rsid w:val="00964BB9"/>
    <w:rsid w:val="009653F6"/>
    <w:rsid w:val="0097637A"/>
    <w:rsid w:val="00977D20"/>
    <w:rsid w:val="009836E8"/>
    <w:rsid w:val="009848F0"/>
    <w:rsid w:val="00992915"/>
    <w:rsid w:val="00994C89"/>
    <w:rsid w:val="0099704D"/>
    <w:rsid w:val="009A39A1"/>
    <w:rsid w:val="009A570B"/>
    <w:rsid w:val="009A71C2"/>
    <w:rsid w:val="009B21F6"/>
    <w:rsid w:val="009D06B2"/>
    <w:rsid w:val="009D3117"/>
    <w:rsid w:val="009D5563"/>
    <w:rsid w:val="009E076F"/>
    <w:rsid w:val="009E1086"/>
    <w:rsid w:val="009F0CB4"/>
    <w:rsid w:val="009F7A78"/>
    <w:rsid w:val="00A03F61"/>
    <w:rsid w:val="00A10F0E"/>
    <w:rsid w:val="00A11D0B"/>
    <w:rsid w:val="00A130F6"/>
    <w:rsid w:val="00A13C50"/>
    <w:rsid w:val="00A15C19"/>
    <w:rsid w:val="00A165B0"/>
    <w:rsid w:val="00A16896"/>
    <w:rsid w:val="00A24177"/>
    <w:rsid w:val="00A242E4"/>
    <w:rsid w:val="00A25D04"/>
    <w:rsid w:val="00A400E1"/>
    <w:rsid w:val="00A422C7"/>
    <w:rsid w:val="00A45422"/>
    <w:rsid w:val="00A47BC8"/>
    <w:rsid w:val="00A51849"/>
    <w:rsid w:val="00A51C15"/>
    <w:rsid w:val="00A60BC8"/>
    <w:rsid w:val="00A60BD2"/>
    <w:rsid w:val="00A70644"/>
    <w:rsid w:val="00A7088D"/>
    <w:rsid w:val="00A75DCC"/>
    <w:rsid w:val="00A81F64"/>
    <w:rsid w:val="00A95FC0"/>
    <w:rsid w:val="00AA2C02"/>
    <w:rsid w:val="00AA36D5"/>
    <w:rsid w:val="00AA4FB0"/>
    <w:rsid w:val="00AA62B2"/>
    <w:rsid w:val="00AB209C"/>
    <w:rsid w:val="00AB674C"/>
    <w:rsid w:val="00AD2F15"/>
    <w:rsid w:val="00AD4BF4"/>
    <w:rsid w:val="00AD5B81"/>
    <w:rsid w:val="00AE72D9"/>
    <w:rsid w:val="00AF14A5"/>
    <w:rsid w:val="00AF183D"/>
    <w:rsid w:val="00AF6765"/>
    <w:rsid w:val="00AF782F"/>
    <w:rsid w:val="00AF7C0C"/>
    <w:rsid w:val="00B1388A"/>
    <w:rsid w:val="00B152FA"/>
    <w:rsid w:val="00B15A59"/>
    <w:rsid w:val="00B2111F"/>
    <w:rsid w:val="00B2620A"/>
    <w:rsid w:val="00B30760"/>
    <w:rsid w:val="00B31A6F"/>
    <w:rsid w:val="00B33EBA"/>
    <w:rsid w:val="00B34852"/>
    <w:rsid w:val="00B35A36"/>
    <w:rsid w:val="00B35C4E"/>
    <w:rsid w:val="00B40B96"/>
    <w:rsid w:val="00B50478"/>
    <w:rsid w:val="00B51403"/>
    <w:rsid w:val="00B51DAD"/>
    <w:rsid w:val="00B56190"/>
    <w:rsid w:val="00B63882"/>
    <w:rsid w:val="00B719FA"/>
    <w:rsid w:val="00B75D35"/>
    <w:rsid w:val="00B837D3"/>
    <w:rsid w:val="00B91022"/>
    <w:rsid w:val="00B917AB"/>
    <w:rsid w:val="00B918A9"/>
    <w:rsid w:val="00B91ABE"/>
    <w:rsid w:val="00B924AC"/>
    <w:rsid w:val="00B92ACE"/>
    <w:rsid w:val="00B92B51"/>
    <w:rsid w:val="00B93A61"/>
    <w:rsid w:val="00B94B74"/>
    <w:rsid w:val="00B94F9D"/>
    <w:rsid w:val="00B9661E"/>
    <w:rsid w:val="00BA1763"/>
    <w:rsid w:val="00BB010B"/>
    <w:rsid w:val="00BB135B"/>
    <w:rsid w:val="00BB34A7"/>
    <w:rsid w:val="00BB3EF6"/>
    <w:rsid w:val="00BC3778"/>
    <w:rsid w:val="00BC7D4C"/>
    <w:rsid w:val="00BD281D"/>
    <w:rsid w:val="00BD3F07"/>
    <w:rsid w:val="00BD58DA"/>
    <w:rsid w:val="00BD61AB"/>
    <w:rsid w:val="00BD6365"/>
    <w:rsid w:val="00BE7A5F"/>
    <w:rsid w:val="00BF07AA"/>
    <w:rsid w:val="00C02D2B"/>
    <w:rsid w:val="00C043C5"/>
    <w:rsid w:val="00C122DF"/>
    <w:rsid w:val="00C127C7"/>
    <w:rsid w:val="00C237E2"/>
    <w:rsid w:val="00C27DC5"/>
    <w:rsid w:val="00C327F4"/>
    <w:rsid w:val="00C343AC"/>
    <w:rsid w:val="00C37404"/>
    <w:rsid w:val="00C51911"/>
    <w:rsid w:val="00C53D77"/>
    <w:rsid w:val="00C566D6"/>
    <w:rsid w:val="00C5683A"/>
    <w:rsid w:val="00C64326"/>
    <w:rsid w:val="00C67CAF"/>
    <w:rsid w:val="00C70CD0"/>
    <w:rsid w:val="00C7490F"/>
    <w:rsid w:val="00C809AA"/>
    <w:rsid w:val="00C923BC"/>
    <w:rsid w:val="00C93619"/>
    <w:rsid w:val="00C946EC"/>
    <w:rsid w:val="00C94BE0"/>
    <w:rsid w:val="00C95F98"/>
    <w:rsid w:val="00CA7DBD"/>
    <w:rsid w:val="00CB0602"/>
    <w:rsid w:val="00CB0AC2"/>
    <w:rsid w:val="00CC16FC"/>
    <w:rsid w:val="00CC579E"/>
    <w:rsid w:val="00CC675C"/>
    <w:rsid w:val="00CD012E"/>
    <w:rsid w:val="00CD53AA"/>
    <w:rsid w:val="00CD6D23"/>
    <w:rsid w:val="00CE57FE"/>
    <w:rsid w:val="00CE6F6C"/>
    <w:rsid w:val="00CF362A"/>
    <w:rsid w:val="00CF406E"/>
    <w:rsid w:val="00CF4DD6"/>
    <w:rsid w:val="00CF5098"/>
    <w:rsid w:val="00CF5ABF"/>
    <w:rsid w:val="00D03C97"/>
    <w:rsid w:val="00D04F54"/>
    <w:rsid w:val="00D0575C"/>
    <w:rsid w:val="00D07AEC"/>
    <w:rsid w:val="00D10BB4"/>
    <w:rsid w:val="00D13319"/>
    <w:rsid w:val="00D206FA"/>
    <w:rsid w:val="00D26CC3"/>
    <w:rsid w:val="00D27140"/>
    <w:rsid w:val="00D300AC"/>
    <w:rsid w:val="00D35451"/>
    <w:rsid w:val="00D43B1B"/>
    <w:rsid w:val="00D43C86"/>
    <w:rsid w:val="00D44DFC"/>
    <w:rsid w:val="00D7336C"/>
    <w:rsid w:val="00D80934"/>
    <w:rsid w:val="00D812BD"/>
    <w:rsid w:val="00D81DF6"/>
    <w:rsid w:val="00D86517"/>
    <w:rsid w:val="00D91AAC"/>
    <w:rsid w:val="00D93CA6"/>
    <w:rsid w:val="00D96ECF"/>
    <w:rsid w:val="00DA00DA"/>
    <w:rsid w:val="00DA098A"/>
    <w:rsid w:val="00DA4E99"/>
    <w:rsid w:val="00DB4768"/>
    <w:rsid w:val="00DC0B27"/>
    <w:rsid w:val="00DC6C27"/>
    <w:rsid w:val="00DC72BE"/>
    <w:rsid w:val="00DD3469"/>
    <w:rsid w:val="00DD670D"/>
    <w:rsid w:val="00DE0CEC"/>
    <w:rsid w:val="00DE1974"/>
    <w:rsid w:val="00DE273F"/>
    <w:rsid w:val="00DE59BA"/>
    <w:rsid w:val="00E054C1"/>
    <w:rsid w:val="00E15E53"/>
    <w:rsid w:val="00E16678"/>
    <w:rsid w:val="00E202F8"/>
    <w:rsid w:val="00E211E3"/>
    <w:rsid w:val="00E238C7"/>
    <w:rsid w:val="00E23F35"/>
    <w:rsid w:val="00E24B28"/>
    <w:rsid w:val="00E255B0"/>
    <w:rsid w:val="00E31225"/>
    <w:rsid w:val="00E31A26"/>
    <w:rsid w:val="00E371BD"/>
    <w:rsid w:val="00E4006D"/>
    <w:rsid w:val="00E44DD7"/>
    <w:rsid w:val="00E52296"/>
    <w:rsid w:val="00E530F2"/>
    <w:rsid w:val="00E55AF3"/>
    <w:rsid w:val="00E5631E"/>
    <w:rsid w:val="00E57C57"/>
    <w:rsid w:val="00E629AC"/>
    <w:rsid w:val="00E62D75"/>
    <w:rsid w:val="00E658FB"/>
    <w:rsid w:val="00E666B9"/>
    <w:rsid w:val="00E67C69"/>
    <w:rsid w:val="00E70EF3"/>
    <w:rsid w:val="00E77341"/>
    <w:rsid w:val="00E86908"/>
    <w:rsid w:val="00E911F3"/>
    <w:rsid w:val="00E95262"/>
    <w:rsid w:val="00E96729"/>
    <w:rsid w:val="00EA02B6"/>
    <w:rsid w:val="00EB1E8C"/>
    <w:rsid w:val="00EC6A1E"/>
    <w:rsid w:val="00ED073B"/>
    <w:rsid w:val="00ED1DB0"/>
    <w:rsid w:val="00ED4EE1"/>
    <w:rsid w:val="00ED6443"/>
    <w:rsid w:val="00ED7B03"/>
    <w:rsid w:val="00ED7D95"/>
    <w:rsid w:val="00EE00A4"/>
    <w:rsid w:val="00EE106B"/>
    <w:rsid w:val="00EF5487"/>
    <w:rsid w:val="00EF6284"/>
    <w:rsid w:val="00F0053C"/>
    <w:rsid w:val="00F21370"/>
    <w:rsid w:val="00F2475E"/>
    <w:rsid w:val="00F3246B"/>
    <w:rsid w:val="00F33A05"/>
    <w:rsid w:val="00F4244B"/>
    <w:rsid w:val="00F45F46"/>
    <w:rsid w:val="00F5214F"/>
    <w:rsid w:val="00F56808"/>
    <w:rsid w:val="00F64D10"/>
    <w:rsid w:val="00F75B81"/>
    <w:rsid w:val="00F85AD0"/>
    <w:rsid w:val="00F94756"/>
    <w:rsid w:val="00F969C7"/>
    <w:rsid w:val="00FB007A"/>
    <w:rsid w:val="00FB2AAF"/>
    <w:rsid w:val="00FB5F55"/>
    <w:rsid w:val="00FC5038"/>
    <w:rsid w:val="00FC7C4C"/>
    <w:rsid w:val="00FD0BA7"/>
    <w:rsid w:val="00FD3F84"/>
    <w:rsid w:val="00FD489C"/>
    <w:rsid w:val="00FE397F"/>
    <w:rsid w:val="00FE62DF"/>
    <w:rsid w:val="00FF3483"/>
    <w:rsid w:val="00FF4172"/>
    <w:rsid w:val="03EA5D59"/>
    <w:rsid w:val="054D6E54"/>
    <w:rsid w:val="05D5555B"/>
    <w:rsid w:val="0DB92B81"/>
    <w:rsid w:val="14120753"/>
    <w:rsid w:val="1948562C"/>
    <w:rsid w:val="19BE3F0C"/>
    <w:rsid w:val="1B851A02"/>
    <w:rsid w:val="1C4831F8"/>
    <w:rsid w:val="1EBD40F9"/>
    <w:rsid w:val="2F7C8DCF"/>
    <w:rsid w:val="37B248FD"/>
    <w:rsid w:val="3C2374E2"/>
    <w:rsid w:val="4B7668BA"/>
    <w:rsid w:val="5AA66667"/>
    <w:rsid w:val="671E55EE"/>
    <w:rsid w:val="67B70710"/>
    <w:rsid w:val="7C1B19A9"/>
    <w:rsid w:val="7D866C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8"/>
      <w:szCs w:val="28"/>
      <w:lang w:val="en-US" w:eastAsia="zh-CN" w:bidi="ar-SA"/>
    </w:rPr>
  </w:style>
  <w:style w:type="paragraph" w:styleId="3">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7"/>
    <w:unhideWhenUsed/>
    <w:qFormat/>
    <w:uiPriority w:val="9"/>
    <w:pPr>
      <w:keepNext/>
      <w:keepLines/>
      <w:spacing w:before="260" w:after="260" w:line="416" w:lineRule="auto"/>
      <w:outlineLvl w:val="2"/>
    </w:pPr>
    <w:rPr>
      <w:b/>
      <w:bCs/>
      <w:sz w:val="32"/>
      <w:szCs w:val="32"/>
    </w:rPr>
  </w:style>
  <w:style w:type="character" w:default="1" w:styleId="21">
    <w:name w:val="Default Paragraph Font"/>
    <w:autoRedefine/>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List 2"/>
    <w:basedOn w:val="1"/>
    <w:qFormat/>
    <w:uiPriority w:val="0"/>
    <w:pPr>
      <w:spacing w:line="360" w:lineRule="auto"/>
    </w:pPr>
    <w:rPr>
      <w:rFonts w:ascii="Times New Roman" w:hAnsi="Times New Roman" w:eastAsia="宋体" w:cs="Times New Roman"/>
      <w:sz w:val="28"/>
      <w:szCs w:val="24"/>
    </w:rPr>
  </w:style>
  <w:style w:type="paragraph" w:styleId="6">
    <w:name w:val="toc 7"/>
    <w:basedOn w:val="1"/>
    <w:next w:val="1"/>
    <w:autoRedefine/>
    <w:unhideWhenUsed/>
    <w:qFormat/>
    <w:uiPriority w:val="39"/>
    <w:pPr>
      <w:ind w:left="1680"/>
      <w:jc w:val="left"/>
    </w:pPr>
    <w:rPr>
      <w:rFonts w:asciiTheme="minorHAnsi" w:eastAsiaTheme="minorHAnsi"/>
      <w:sz w:val="18"/>
      <w:szCs w:val="18"/>
    </w:rPr>
  </w:style>
  <w:style w:type="paragraph" w:styleId="7">
    <w:name w:val="Normal Indent"/>
    <w:basedOn w:val="1"/>
    <w:autoRedefine/>
    <w:semiHidden/>
    <w:unhideWhenUsed/>
    <w:qFormat/>
    <w:uiPriority w:val="99"/>
    <w:pPr>
      <w:ind w:firstLine="420" w:firstLineChars="200"/>
    </w:pPr>
  </w:style>
  <w:style w:type="paragraph" w:styleId="8">
    <w:name w:val="Body Text Indent"/>
    <w:basedOn w:val="1"/>
    <w:next w:val="7"/>
    <w:link w:val="28"/>
    <w:qFormat/>
    <w:uiPriority w:val="0"/>
    <w:pPr>
      <w:spacing w:after="120" w:line="360" w:lineRule="auto"/>
      <w:ind w:left="420" w:leftChars="200"/>
      <w:jc w:val="left"/>
    </w:pPr>
    <w:rPr>
      <w:sz w:val="24"/>
      <w:szCs w:val="21"/>
    </w:rPr>
  </w:style>
  <w:style w:type="paragraph" w:styleId="9">
    <w:name w:val="toc 5"/>
    <w:basedOn w:val="1"/>
    <w:next w:val="1"/>
    <w:autoRedefine/>
    <w:unhideWhenUsed/>
    <w:qFormat/>
    <w:uiPriority w:val="39"/>
    <w:pPr>
      <w:ind w:left="1120"/>
      <w:jc w:val="left"/>
    </w:pPr>
    <w:rPr>
      <w:rFonts w:asciiTheme="minorHAnsi" w:eastAsiaTheme="minorHAnsi"/>
      <w:sz w:val="18"/>
      <w:szCs w:val="18"/>
    </w:rPr>
  </w:style>
  <w:style w:type="paragraph" w:styleId="10">
    <w:name w:val="toc 3"/>
    <w:basedOn w:val="1"/>
    <w:next w:val="1"/>
    <w:autoRedefine/>
    <w:unhideWhenUsed/>
    <w:qFormat/>
    <w:uiPriority w:val="39"/>
    <w:pPr>
      <w:ind w:left="560"/>
      <w:jc w:val="left"/>
    </w:pPr>
    <w:rPr>
      <w:rFonts w:asciiTheme="minorHAnsi" w:eastAsiaTheme="minorHAnsi"/>
      <w:i/>
      <w:iCs/>
      <w:sz w:val="20"/>
      <w:szCs w:val="20"/>
    </w:rPr>
  </w:style>
  <w:style w:type="paragraph" w:styleId="11">
    <w:name w:val="toc 8"/>
    <w:basedOn w:val="1"/>
    <w:next w:val="1"/>
    <w:autoRedefine/>
    <w:unhideWhenUsed/>
    <w:qFormat/>
    <w:uiPriority w:val="39"/>
    <w:pPr>
      <w:ind w:left="1960"/>
      <w:jc w:val="left"/>
    </w:pPr>
    <w:rPr>
      <w:rFonts w:asciiTheme="minorHAnsi" w:eastAsiaTheme="minorHAnsi"/>
      <w:sz w:val="18"/>
      <w:szCs w:val="18"/>
    </w:rPr>
  </w:style>
  <w:style w:type="paragraph" w:styleId="12">
    <w:name w:val="footer"/>
    <w:basedOn w:val="1"/>
    <w:link w:val="26"/>
    <w:autoRedefine/>
    <w:unhideWhenUsed/>
    <w:qFormat/>
    <w:uiPriority w:val="99"/>
    <w:pPr>
      <w:tabs>
        <w:tab w:val="center" w:pos="4153"/>
        <w:tab w:val="right" w:pos="8306"/>
      </w:tabs>
      <w:snapToGrid w:val="0"/>
      <w:jc w:val="left"/>
    </w:pPr>
    <w:rPr>
      <w:sz w:val="18"/>
      <w:szCs w:val="18"/>
    </w:rPr>
  </w:style>
  <w:style w:type="paragraph" w:styleId="13">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autoRedefine/>
    <w:unhideWhenUsed/>
    <w:qFormat/>
    <w:uiPriority w:val="39"/>
    <w:pPr>
      <w:spacing w:before="120" w:after="120"/>
      <w:jc w:val="left"/>
    </w:pPr>
    <w:rPr>
      <w:rFonts w:asciiTheme="minorHAnsi" w:eastAsiaTheme="minorHAnsi"/>
      <w:b/>
      <w:bCs/>
      <w:caps/>
      <w:sz w:val="20"/>
      <w:szCs w:val="20"/>
    </w:rPr>
  </w:style>
  <w:style w:type="paragraph" w:styleId="15">
    <w:name w:val="toc 4"/>
    <w:basedOn w:val="1"/>
    <w:next w:val="1"/>
    <w:autoRedefine/>
    <w:unhideWhenUsed/>
    <w:qFormat/>
    <w:uiPriority w:val="39"/>
    <w:pPr>
      <w:ind w:left="840"/>
      <w:jc w:val="left"/>
    </w:pPr>
    <w:rPr>
      <w:rFonts w:asciiTheme="minorHAnsi" w:eastAsiaTheme="minorHAnsi"/>
      <w:sz w:val="18"/>
      <w:szCs w:val="18"/>
    </w:rPr>
  </w:style>
  <w:style w:type="paragraph" w:styleId="16">
    <w:name w:val="toc 6"/>
    <w:basedOn w:val="1"/>
    <w:next w:val="1"/>
    <w:autoRedefine/>
    <w:unhideWhenUsed/>
    <w:qFormat/>
    <w:uiPriority w:val="39"/>
    <w:pPr>
      <w:ind w:left="1400"/>
      <w:jc w:val="left"/>
    </w:pPr>
    <w:rPr>
      <w:rFonts w:asciiTheme="minorHAnsi" w:eastAsiaTheme="minorHAnsi"/>
      <w:sz w:val="18"/>
      <w:szCs w:val="18"/>
    </w:rPr>
  </w:style>
  <w:style w:type="paragraph" w:styleId="17">
    <w:name w:val="toc 2"/>
    <w:basedOn w:val="1"/>
    <w:next w:val="1"/>
    <w:autoRedefine/>
    <w:unhideWhenUsed/>
    <w:qFormat/>
    <w:uiPriority w:val="39"/>
    <w:pPr>
      <w:ind w:left="280"/>
      <w:jc w:val="left"/>
    </w:pPr>
    <w:rPr>
      <w:rFonts w:asciiTheme="minorHAnsi" w:eastAsiaTheme="minorHAnsi"/>
      <w:smallCaps/>
      <w:sz w:val="20"/>
      <w:szCs w:val="20"/>
    </w:rPr>
  </w:style>
  <w:style w:type="paragraph" w:styleId="18">
    <w:name w:val="toc 9"/>
    <w:basedOn w:val="1"/>
    <w:next w:val="1"/>
    <w:autoRedefine/>
    <w:unhideWhenUsed/>
    <w:qFormat/>
    <w:uiPriority w:val="39"/>
    <w:pPr>
      <w:ind w:left="2240"/>
      <w:jc w:val="left"/>
    </w:pPr>
    <w:rPr>
      <w:rFonts w:asciiTheme="minorHAnsi" w:eastAsiaTheme="minorHAnsi"/>
      <w:sz w:val="18"/>
      <w:szCs w:val="18"/>
    </w:rPr>
  </w:style>
  <w:style w:type="table" w:styleId="20">
    <w:name w:val="Table Grid"/>
    <w:basedOn w:val="19"/>
    <w:autoRedefine/>
    <w:qFormat/>
    <w:uiPriority w:val="0"/>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basedOn w:val="21"/>
    <w:autoRedefine/>
    <w:unhideWhenUsed/>
    <w:qFormat/>
    <w:uiPriority w:val="99"/>
    <w:rPr>
      <w:color w:val="0563C1" w:themeColor="hyperlink"/>
      <w:u w:val="single"/>
      <w14:textFill>
        <w14:solidFill>
          <w14:schemeClr w14:val="hlink"/>
        </w14:solidFill>
      </w14:textFill>
    </w:rPr>
  </w:style>
  <w:style w:type="character" w:customStyle="1" w:styleId="23">
    <w:name w:val="标题 1 字符"/>
    <w:basedOn w:val="21"/>
    <w:link w:val="3"/>
    <w:qFormat/>
    <w:uiPriority w:val="9"/>
    <w:rPr>
      <w:b/>
      <w:bCs/>
      <w:kern w:val="44"/>
      <w:sz w:val="44"/>
      <w:szCs w:val="44"/>
    </w:rPr>
  </w:style>
  <w:style w:type="character" w:customStyle="1" w:styleId="24">
    <w:name w:val="标题 2 字符"/>
    <w:basedOn w:val="21"/>
    <w:link w:val="4"/>
    <w:autoRedefine/>
    <w:qFormat/>
    <w:uiPriority w:val="9"/>
    <w:rPr>
      <w:rFonts w:asciiTheme="majorHAnsi" w:hAnsiTheme="majorHAnsi" w:eastAsiaTheme="majorEastAsia" w:cstheme="majorBidi"/>
      <w:b/>
      <w:bCs/>
      <w:sz w:val="32"/>
      <w:szCs w:val="32"/>
    </w:rPr>
  </w:style>
  <w:style w:type="character" w:customStyle="1" w:styleId="25">
    <w:name w:val="页眉 字符"/>
    <w:basedOn w:val="21"/>
    <w:link w:val="13"/>
    <w:qFormat/>
    <w:uiPriority w:val="99"/>
    <w:rPr>
      <w:sz w:val="18"/>
      <w:szCs w:val="18"/>
    </w:rPr>
  </w:style>
  <w:style w:type="character" w:customStyle="1" w:styleId="26">
    <w:name w:val="页脚 字符"/>
    <w:basedOn w:val="21"/>
    <w:link w:val="12"/>
    <w:qFormat/>
    <w:uiPriority w:val="99"/>
    <w:rPr>
      <w:sz w:val="18"/>
      <w:szCs w:val="18"/>
    </w:rPr>
  </w:style>
  <w:style w:type="character" w:customStyle="1" w:styleId="27">
    <w:name w:val="标题 3 字符"/>
    <w:basedOn w:val="21"/>
    <w:link w:val="5"/>
    <w:autoRedefine/>
    <w:qFormat/>
    <w:uiPriority w:val="9"/>
    <w:rPr>
      <w:b/>
      <w:bCs/>
      <w:sz w:val="32"/>
      <w:szCs w:val="32"/>
    </w:rPr>
  </w:style>
  <w:style w:type="character" w:customStyle="1" w:styleId="28">
    <w:name w:val="正文文本缩进 字符"/>
    <w:basedOn w:val="21"/>
    <w:link w:val="8"/>
    <w:autoRedefine/>
    <w:qFormat/>
    <w:uiPriority w:val="0"/>
    <w:rPr>
      <w:sz w:val="24"/>
      <w:szCs w:val="21"/>
    </w:rPr>
  </w:style>
  <w:style w:type="table" w:customStyle="1" w:styleId="29">
    <w:name w:val="三线型1"/>
    <w:basedOn w:val="19"/>
    <w:autoRedefine/>
    <w:qFormat/>
    <w:uiPriority w:val="3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
    <w:name w:val="三线型2"/>
    <w:basedOn w:val="19"/>
    <w:autoRedefine/>
    <w:qFormat/>
    <w:uiPriority w:val="3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1">
    <w:name w:val="Unresolved Mention"/>
    <w:basedOn w:val="21"/>
    <w:autoRedefine/>
    <w:semiHidden/>
    <w:unhideWhenUsed/>
    <w:qFormat/>
    <w:uiPriority w:val="99"/>
    <w:rPr>
      <w:color w:val="605E5C"/>
      <w:shd w:val="clear" w:color="auto" w:fill="E1DFDD"/>
    </w:rPr>
  </w:style>
  <w:style w:type="table" w:customStyle="1" w:styleId="32">
    <w:name w:val="三线型11"/>
    <w:basedOn w:val="19"/>
    <w:autoRedefine/>
    <w:qFormat/>
    <w:uiPriority w:val="5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
    <w:name w:val="三线型3"/>
    <w:basedOn w:val="19"/>
    <w:autoRedefine/>
    <w:qFormat/>
    <w:uiPriority w:val="3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
    <w:name w:val="三线型4"/>
    <w:basedOn w:val="19"/>
    <w:autoRedefine/>
    <w:qFormat/>
    <w:uiPriority w:val="3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SelectedStyle="\APASixthEditionOfficeOnline.xsl" Version="6"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DD6C8F9-4866-46F2-8545-2C4ECFC74093}">
  <ds:schemaRefs/>
</ds:datastoreItem>
</file>

<file path=docProps/app.xml><?xml version="1.0" encoding="utf-8"?>
<Properties xmlns="http://schemas.openxmlformats.org/officeDocument/2006/extended-properties" xmlns:vt="http://schemas.openxmlformats.org/officeDocument/2006/docPropsVTypes">
  <Template>Normal</Template>
  <Pages>40</Pages>
  <Words>2841</Words>
  <Characters>3080</Characters>
  <Lines>183</Lines>
  <Paragraphs>51</Paragraphs>
  <TotalTime>4</TotalTime>
  <ScaleCrop>false</ScaleCrop>
  <LinksUpToDate>false</LinksUpToDate>
  <CharactersWithSpaces>3410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2023-12-18T23:20:00Z</dcterms:created>
  <dc:creator>ThinkPad</dc:creator>
  <cp:lastModifiedBy>轻柔飞雪</cp:lastModifiedBy>
  <cp:lastPrinted>2025-08-15T06:36:00Z</cp:lastPrinted>
  <dcterms:modified xsi:type="dcterms:W3CDTF">2025-08-20T03:18:17Z</dcterms:modified>
  <cp:revision>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E8DFA968C79742ED824CE58B27579134_12</vt:lpwstr>
  </property>
  <property fmtid="{D5CDD505-2E9C-101B-9397-08002B2CF9AE}" pid="4" name="KSOTemplateDocerSaveRecord">
    <vt:lpwstr>eyJoZGlkIjoiMDI3YzMxZWM4ZWJkMDgwZDZhOWQxMjAzNTViNjNjMDQiLCJ1c2VySWQiOiI0NDc5Njc5NzgifQ==</vt:lpwstr>
  </property>
</Properties>
</file>