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5545">
      <w:pPr>
        <w:spacing w:line="560" w:lineRule="exact"/>
        <w:jc w:val="distribute"/>
        <w:rPr>
          <w:rFonts w:hint="eastAsia" w:ascii="方正小标宋简体" w:hAnsi="方正小标宋简体" w:eastAsia="方正小标宋简体" w:cs="方正小标宋简体"/>
          <w:b/>
          <w:snapToGrid w:val="0"/>
          <w:color w:val="FF0000"/>
          <w:spacing w:val="0"/>
          <w:kern w:val="0"/>
          <w:sz w:val="52"/>
          <w:szCs w:val="52"/>
        </w:rPr>
      </w:pPr>
      <w:r>
        <w:rPr>
          <w:rFonts w:hint="eastAsia" w:ascii="方正小标宋简体" w:hAnsi="方正小标宋简体" w:eastAsia="方正小标宋简体" w:cs="方正小标宋简体"/>
          <w:b/>
          <w:snapToGrid w:val="0"/>
          <w:color w:val="FF0000"/>
          <w:spacing w:val="0"/>
          <w:kern w:val="0"/>
          <w:sz w:val="52"/>
          <w:szCs w:val="52"/>
        </w:rPr>
        <w:t>济南市历城区市场监督管理局</w:t>
      </w:r>
    </w:p>
    <w:p w14:paraId="0EA9CC0D">
      <w:pPr>
        <w:autoSpaceDE w:val="0"/>
        <w:autoSpaceDN w:val="0"/>
        <w:adjustRightInd w:val="0"/>
        <w:snapToGrid w:val="0"/>
        <w:spacing w:line="560" w:lineRule="exact"/>
        <w:jc w:val="center"/>
        <w:rPr>
          <w:rFonts w:hint="eastAsia" w:ascii="仿宋_GB2312" w:eastAsia="仿宋_GB2312" w:cs="仿宋_GB2312"/>
          <w:kern w:val="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99060</wp:posOffset>
                </wp:positionV>
                <wp:extent cx="5647055" cy="6350"/>
                <wp:effectExtent l="0" t="0" r="0" b="0"/>
                <wp:wrapNone/>
                <wp:docPr id="2" name="直接连接符 2"/>
                <wp:cNvGraphicFramePr/>
                <a:graphic xmlns:a="http://schemas.openxmlformats.org/drawingml/2006/main">
                  <a:graphicData uri="http://schemas.microsoft.com/office/word/2010/wordprocessingShape">
                    <wps:wsp>
                      <wps:cNvCnPr/>
                      <wps:spPr>
                        <a:xfrm>
                          <a:off x="953135" y="1534795"/>
                          <a:ext cx="5647055" cy="6350"/>
                        </a:xfrm>
                        <a:prstGeom prst="line">
                          <a:avLst/>
                        </a:prstGeom>
                        <a:noFill/>
                        <a:ln w="28575" cap="flat" cmpd="dbl" algn="ctr">
                          <a:solidFill>
                            <a:srgbClr val="FF0000"/>
                          </a:solidFill>
                          <a:prstDash val="solid"/>
                          <a:miter lim="800000"/>
                        </a:ln>
                        <a:effectLst/>
                      </wps:spPr>
                      <wps:bodyPr/>
                    </wps:wsp>
                  </a:graphicData>
                </a:graphic>
              </wp:anchor>
            </w:drawing>
          </mc:Choice>
          <mc:Fallback>
            <w:pict>
              <v:line id="_x0000_s1026" o:spid="_x0000_s1026" o:spt="20" style="position:absolute;left:0pt;margin-left:-1.5pt;margin-top:7.8pt;height:0.5pt;width:444.65pt;z-index:251659264;mso-width-relative:page;mso-height-relative:page;" filled="f" stroked="t" coordsize="21600,21600" o:gfxdata="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L7ud2gAAAAgBAAAPAAAAAAAAAAEAIAAAACIAAABkcnMvZG93&#10;bnJldi54bWxQSwECFAAUAAAACACHTuJAj7eogP4BAADOAwAADgAAAAAAAAABACAAAAApAQAAZHJz&#10;L2Uyb0RvYy54bWxQSwUGAAAAAAYABgBZAQAAmQUAAAAA&#10;">
                <v:fill on="f" focussize="0,0"/>
                <v:stroke weight="2.25pt" color="#FF0000" linestyle="thinThin" miterlimit="8" joinstyle="miter"/>
                <v:imagedata o:title=""/>
                <o:lock v:ext="edit" aspectratio="f"/>
              </v:line>
            </w:pict>
          </mc:Fallback>
        </mc:AlternateContent>
      </w:r>
    </w:p>
    <w:p w14:paraId="73AD0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_GBK" w:hAnsi="微软雅黑" w:eastAsia="方正小标宋_GBK" w:cs="微软雅黑"/>
          <w:color w:val="000000"/>
          <w:sz w:val="44"/>
          <w:szCs w:val="44"/>
        </w:rPr>
      </w:pPr>
      <w:r>
        <w:rPr>
          <w:rFonts w:hint="eastAsia" w:ascii="方正小标宋_GBK" w:hAnsi="微软雅黑" w:eastAsia="方正小标宋_GBK" w:cs="微软雅黑"/>
          <w:color w:val="000000"/>
          <w:sz w:val="44"/>
          <w:szCs w:val="44"/>
        </w:rPr>
        <w:t>202</w:t>
      </w:r>
      <w:r>
        <w:rPr>
          <w:rFonts w:hint="eastAsia" w:ascii="方正小标宋_GBK" w:hAnsi="微软雅黑" w:eastAsia="方正小标宋_GBK" w:cs="微软雅黑"/>
          <w:color w:val="000000"/>
          <w:sz w:val="44"/>
          <w:szCs w:val="44"/>
          <w:lang w:val="en-US" w:eastAsia="zh-CN"/>
        </w:rPr>
        <w:t>6</w:t>
      </w:r>
      <w:r>
        <w:rPr>
          <w:rFonts w:hint="eastAsia" w:ascii="方正小标宋_GBK" w:hAnsi="微软雅黑" w:eastAsia="方正小标宋_GBK" w:cs="微软雅黑"/>
          <w:color w:val="000000"/>
          <w:sz w:val="44"/>
          <w:szCs w:val="44"/>
        </w:rPr>
        <w:t>年</w:t>
      </w:r>
      <w:r>
        <w:rPr>
          <w:rFonts w:hint="eastAsia" w:ascii="方正小标宋_GBK" w:hAnsi="微软雅黑" w:eastAsia="方正小标宋_GBK" w:cs="微软雅黑"/>
          <w:color w:val="000000"/>
          <w:sz w:val="44"/>
          <w:szCs w:val="44"/>
          <w:lang w:eastAsia="zh-CN"/>
        </w:rPr>
        <w:t>全区</w:t>
      </w:r>
      <w:r>
        <w:rPr>
          <w:rFonts w:hint="eastAsia" w:ascii="方正小标宋_GBK" w:hAnsi="微软雅黑" w:eastAsia="方正小标宋_GBK" w:cs="微软雅黑"/>
          <w:color w:val="000000"/>
          <w:sz w:val="44"/>
          <w:szCs w:val="44"/>
        </w:rPr>
        <w:t>医疗器械经营企业监督检查计划</w:t>
      </w:r>
    </w:p>
    <w:p w14:paraId="6AFEC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rPr>
      </w:pPr>
    </w:p>
    <w:p w14:paraId="53615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为深入贯彻《医疗器械监督管理条例》《医疗器械经营监督管理办法》</w:t>
      </w:r>
      <w:r>
        <w:rPr>
          <w:rFonts w:hint="eastAsia" w:ascii="仿宋_GB2312" w:hAnsi="仿宋" w:eastAsia="仿宋_GB2312"/>
          <w:color w:val="000000"/>
          <w:sz w:val="32"/>
          <w:szCs w:val="32"/>
        </w:rPr>
        <w:t>《医疗器械网络销售监督管理办法》</w:t>
      </w:r>
      <w:r>
        <w:rPr>
          <w:rFonts w:hint="eastAsia" w:ascii="仿宋_GB2312" w:hAnsi="仿宋" w:eastAsia="仿宋_GB2312" w:cs="Times New Roman"/>
          <w:color w:val="000000"/>
          <w:sz w:val="32"/>
          <w:szCs w:val="32"/>
          <w:lang w:val="en-US" w:eastAsia="zh-CN"/>
        </w:rPr>
        <w:t>等法律法规，落实“四个最严”要求，精准防控医疗器械经营环节质量安全风险，规范市场秩序，保障公众用械安全有效，</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市市场监管局</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要求，</w:t>
      </w:r>
      <w:r>
        <w:rPr>
          <w:rFonts w:hint="eastAsia" w:ascii="仿宋_GB2312" w:hAnsi="仿宋" w:eastAsia="仿宋_GB2312" w:cs="Times New Roman"/>
          <w:color w:val="000000"/>
          <w:sz w:val="32"/>
          <w:szCs w:val="32"/>
          <w:lang w:val="en-US" w:eastAsia="zh-CN"/>
        </w:rPr>
        <w:t>结合我区实际，制定本监督检查计划。</w:t>
      </w:r>
    </w:p>
    <w:p w14:paraId="12714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一、工作目标</w:t>
      </w:r>
    </w:p>
    <w:p w14:paraId="0C3E3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eastAsia="zh-CN"/>
        </w:rPr>
        <w:t>严格执行医疗器械经营分级监管要求，</w:t>
      </w:r>
      <w:r>
        <w:rPr>
          <w:rFonts w:hint="eastAsia" w:ascii="仿宋_GB2312" w:hAnsi="仿宋" w:eastAsia="仿宋_GB2312" w:cs="Times New Roman"/>
          <w:color w:val="000000"/>
          <w:sz w:val="32"/>
          <w:szCs w:val="32"/>
          <w:lang w:val="en-US" w:eastAsia="zh-CN"/>
        </w:rPr>
        <w:t>通过全覆盖、精准化、常态化监督检查，全面压实医疗器械经营企业质量安全主体责任，重点化解风险隐患，实现 “风险可防、隐患可控、违法必究”，推动全区医疗器械经营行业规范有序发展，切实保障医疗器械质量安全。</w:t>
      </w:r>
    </w:p>
    <w:p w14:paraId="0B4947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二、工作任务</w:t>
      </w:r>
    </w:p>
    <w:p w14:paraId="3CD0A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_GB2312" w:eastAsia="仿宋_GB2312" w:cs="仿宋_GB2312"/>
          <w:sz w:val="32"/>
          <w:szCs w:val="32"/>
        </w:rPr>
        <w:t>（一）认真履行监管职</w:t>
      </w:r>
      <w:r>
        <w:rPr>
          <w:rFonts w:hint="eastAsia" w:ascii="仿宋_GB2312" w:hAnsi="仿宋" w:eastAsia="仿宋_GB2312" w:cs="Times New Roman"/>
          <w:color w:val="000000"/>
          <w:sz w:val="32"/>
          <w:szCs w:val="32"/>
          <w:lang w:val="en-US" w:eastAsia="zh-CN"/>
        </w:rPr>
        <w:t>责。区局药械化监管科负责制定全区医疗器械经营企业监督检查计划;对市场监管所医疗器械经营监管工作进行督查指导。各市场监管所根据区局的检查方案和辖区内实施三级及以下监管的经营企业名单，组织开展三级及以下监管经营企业的监督检查。</w:t>
      </w:r>
    </w:p>
    <w:p w14:paraId="5CC92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严格执行分级监管。实施三级监管的企业，每年组织检查不少于一次，其中每两年全项目检查不少于一次；实施二级监管的企业，每两年组织检查不少于一次；实施一级监管的企业，按照有关要求，每年随机抽取本行政区域25%以上的企业进行监督检查，4年内达到全覆盖。</w:t>
      </w:r>
    </w:p>
    <w:p w14:paraId="3DB76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强化重点领域监督检查。聚焦医疗美容、青少年近视防治、辅助生殖、冷链管理等重点品种，紧盯异地设库企业、专门提供医疗器械运输贮存服务的企业等重点对象，覆盖企业集聚区、城乡结合部、农村地区等重点区域，严格落实产品抽检计划，针对重点领域增加抽检频次，加大经营企业监督检查力度，保持违法违规行为高压监管态势。</w:t>
      </w:r>
    </w:p>
    <w:p w14:paraId="64E50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强化网络销售全程监管。坚持线上线下一致原则，对医疗器械网络销售企业开展重点检查，压实企业主体责任，严厉打击网络销售违法违规行为。对违法线索第一时间核查处置、深挖溯源、一查到底，提升线索处置效率与处置深度。</w:t>
      </w:r>
    </w:p>
    <w:p w14:paraId="6CBA8F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三、检查内容</w:t>
      </w:r>
    </w:p>
    <w:p w14:paraId="61EA5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根据监管要求，可分为两种类型：</w:t>
      </w:r>
    </w:p>
    <w:p w14:paraId="7F45106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CESI仿宋-GB18030" w:eastAsia="仿宋_GB2312" w:cs="CESI仿宋-GB18030"/>
          <w:color w:val="000000"/>
          <w:sz w:val="32"/>
          <w:szCs w:val="32"/>
          <w:shd w:val="clear" w:color="auto" w:fill="FFFFFF"/>
        </w:rPr>
      </w:pPr>
      <w:r>
        <w:rPr>
          <w:rFonts w:hint="eastAsia" w:ascii="楷体" w:hAnsi="楷体" w:eastAsia="楷体" w:cs="仿宋_GB2312"/>
          <w:color w:val="000000"/>
          <w:sz w:val="32"/>
          <w:szCs w:val="32"/>
        </w:rPr>
        <w:t>(一)全项目检查</w:t>
      </w:r>
      <w:r>
        <w:rPr>
          <w:rFonts w:hint="eastAsia" w:ascii="楷体" w:hAnsi="楷体" w:eastAsia="楷体" w:cs="仿宋_GB2312"/>
          <w:color w:val="000000"/>
          <w:sz w:val="32"/>
          <w:szCs w:val="32"/>
          <w:lang w:eastAsia="zh-CN"/>
        </w:rPr>
        <w:t>。</w:t>
      </w:r>
      <w:r>
        <w:rPr>
          <w:rFonts w:hint="eastAsia" w:ascii="仿宋_GB2312" w:hAnsi="CESI仿宋-GB18030" w:eastAsia="仿宋_GB2312" w:cs="CESI仿宋-GB18030"/>
          <w:color w:val="000000"/>
          <w:sz w:val="32"/>
          <w:szCs w:val="32"/>
          <w:shd w:val="clear" w:color="auto" w:fill="FFFFFF"/>
        </w:rPr>
        <w:t>按照</w:t>
      </w:r>
      <w:r>
        <w:rPr>
          <w:rFonts w:hint="eastAsia" w:ascii="仿宋_GB2312" w:hAnsi="仿宋" w:eastAsia="仿宋_GB2312"/>
          <w:color w:val="000000"/>
          <w:sz w:val="32"/>
          <w:szCs w:val="32"/>
        </w:rPr>
        <w:t>《医疗器械经营质量管理规范》</w:t>
      </w:r>
      <w:r>
        <w:rPr>
          <w:rFonts w:hint="eastAsia" w:ascii="仿宋_GB2312" w:hAnsi="CESI仿宋-GB18030" w:eastAsia="仿宋_GB2312" w:cs="CESI仿宋-GB18030"/>
          <w:color w:val="000000"/>
          <w:sz w:val="32"/>
          <w:szCs w:val="32"/>
          <w:shd w:val="clear" w:color="auto" w:fill="FFFFFF"/>
        </w:rPr>
        <w:t>及相应附录，对经营企业开展的覆盖全部适用项目的检查。</w:t>
      </w:r>
    </w:p>
    <w:p w14:paraId="6B1507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 w:eastAsia="仿宋_GB2312"/>
          <w:sz w:val="32"/>
          <w:szCs w:val="32"/>
        </w:rPr>
      </w:pPr>
      <w:r>
        <w:rPr>
          <w:rFonts w:hint="eastAsia" w:ascii="楷体" w:hAnsi="楷体" w:eastAsia="楷体" w:cs="仿宋_GB2312"/>
          <w:color w:val="000000"/>
          <w:sz w:val="32"/>
          <w:szCs w:val="32"/>
          <w:lang w:eastAsia="zh-CN"/>
        </w:rPr>
        <w:t>(二)重点检查。</w:t>
      </w:r>
      <w:r>
        <w:rPr>
          <w:rFonts w:hint="eastAsia" w:ascii="仿宋_GB2312" w:hAnsi="仿宋_GB2312" w:eastAsia="仿宋_GB2312" w:cs="仿宋_GB2312"/>
          <w:color w:val="000000"/>
          <w:sz w:val="32"/>
          <w:szCs w:val="32"/>
          <w:lang w:eastAsia="zh-CN"/>
        </w:rPr>
        <w:t>按照</w:t>
      </w:r>
      <w:r>
        <w:rPr>
          <w:rFonts w:hint="eastAsia" w:ascii="仿宋_GB2312" w:hAnsi="仿宋" w:eastAsia="仿宋_GB2312"/>
          <w:color w:val="000000"/>
          <w:sz w:val="32"/>
          <w:szCs w:val="32"/>
        </w:rPr>
        <w:t>《医疗器械经营质量管理规范》</w:t>
      </w:r>
      <w:r>
        <w:rPr>
          <w:rFonts w:hint="eastAsia" w:ascii="仿宋_GB2312" w:hAnsi="CESI仿宋-GB18030" w:eastAsia="仿宋_GB2312" w:cs="CESI仿宋-GB18030"/>
          <w:color w:val="000000"/>
          <w:sz w:val="32"/>
          <w:szCs w:val="32"/>
          <w:shd w:val="clear" w:color="auto" w:fill="FFFFFF"/>
        </w:rPr>
        <w:t>及相应附录</w:t>
      </w:r>
      <w:r>
        <w:rPr>
          <w:rFonts w:hint="eastAsia" w:ascii="仿宋_GB2312" w:hAnsi="CESI仿宋-GB18030" w:eastAsia="仿宋_GB2312" w:cs="CESI仿宋-GB18030"/>
          <w:color w:val="000000"/>
          <w:sz w:val="32"/>
          <w:szCs w:val="32"/>
          <w:shd w:val="clear" w:color="auto" w:fill="FFFFFF"/>
          <w:lang w:eastAsia="zh-CN"/>
        </w:rPr>
        <w:t>、</w:t>
      </w:r>
      <w:r>
        <w:rPr>
          <w:rFonts w:hint="eastAsia" w:ascii="仿宋_GB2312" w:hAnsi="仿宋" w:eastAsia="仿宋_GB2312"/>
          <w:color w:val="000000"/>
          <w:sz w:val="32"/>
          <w:szCs w:val="32"/>
          <w:lang w:eastAsia="zh-CN"/>
        </w:rPr>
        <w:t>《山东省医疗器械经营条件若干细化规定（试行）》</w:t>
      </w:r>
      <w:r>
        <w:rPr>
          <w:rFonts w:hint="eastAsia" w:ascii="仿宋_GB2312" w:hAnsi="CESI仿宋-GB18030" w:eastAsia="仿宋_GB2312" w:cs="CESI仿宋-GB18030"/>
          <w:sz w:val="32"/>
          <w:szCs w:val="32"/>
        </w:rPr>
        <w:t>开展的部分重点项目检查。</w:t>
      </w:r>
      <w:r>
        <w:rPr>
          <w:rFonts w:hint="eastAsia" w:ascii="仿宋_GB2312" w:hAnsi="仿宋" w:eastAsia="仿宋_GB2312"/>
          <w:sz w:val="32"/>
          <w:szCs w:val="32"/>
        </w:rPr>
        <w:t>重点检查以下内容：</w:t>
      </w:r>
    </w:p>
    <w:p w14:paraId="6D28E5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1.进货查验和销售管理。重点检查是否购进和销售未依法注册或者备案、无合格证明文件以及过期、失效、淘汰的医疗器械</w:t>
      </w:r>
      <w:r>
        <w:rPr>
          <w:rFonts w:hint="eastAsia" w:ascii="仿宋_GB2312" w:hAnsi="仿宋" w:eastAsia="仿宋_GB2312"/>
          <w:sz w:val="32"/>
          <w:szCs w:val="32"/>
          <w:lang w:eastAsia="zh-CN"/>
        </w:rPr>
        <w:t>；</w:t>
      </w:r>
      <w:r>
        <w:rPr>
          <w:rFonts w:hint="eastAsia" w:ascii="仿宋_GB2312" w:hAnsi="仿宋" w:eastAsia="仿宋_GB2312"/>
          <w:sz w:val="32"/>
          <w:szCs w:val="32"/>
        </w:rPr>
        <w:t>所经营产品是否与经营范围一致；供货企业</w:t>
      </w:r>
      <w:r>
        <w:rPr>
          <w:rFonts w:hint="eastAsia" w:ascii="仿宋_GB2312" w:hAnsi="仿宋" w:eastAsia="仿宋_GB2312"/>
          <w:sz w:val="32"/>
          <w:szCs w:val="32"/>
          <w:lang w:eastAsia="zh-CN"/>
        </w:rPr>
        <w:t>资质是否符合规定</w:t>
      </w:r>
      <w:r>
        <w:rPr>
          <w:rFonts w:hint="eastAsia" w:ascii="仿宋_GB2312" w:hAnsi="仿宋" w:eastAsia="仿宋_GB2312"/>
          <w:sz w:val="32"/>
          <w:szCs w:val="32"/>
        </w:rPr>
        <w:t>；是否审核并留存加盖公章的采购产品及其供货商合法资质证明文件;进货查验记录和销售记录信息是否真实、准确、完整</w:t>
      </w:r>
      <w:r>
        <w:rPr>
          <w:rFonts w:hint="eastAsia" w:ascii="仿宋_GB2312" w:hAnsi="仿宋" w:eastAsia="仿宋_GB2312"/>
          <w:sz w:val="32"/>
          <w:szCs w:val="32"/>
          <w:lang w:eastAsia="zh-CN"/>
        </w:rPr>
        <w:t>和可追溯</w:t>
      </w:r>
      <w:r>
        <w:rPr>
          <w:rFonts w:hint="eastAsia" w:ascii="仿宋_GB2312" w:hAnsi="仿宋" w:eastAsia="仿宋_GB2312"/>
          <w:sz w:val="32"/>
          <w:szCs w:val="32"/>
        </w:rPr>
        <w:t>。</w:t>
      </w:r>
    </w:p>
    <w:p w14:paraId="67357A23">
      <w:pPr>
        <w:keepNext w:val="0"/>
        <w:keepLines w:val="0"/>
        <w:pageBreakBefore w:val="0"/>
        <w:widowControl w:val="0"/>
        <w:kinsoku/>
        <w:wordWrap/>
        <w:overflowPunct/>
        <w:topLinePunct w:val="0"/>
        <w:autoSpaceDE/>
        <w:autoSpaceDN/>
        <w:bidi w:val="0"/>
        <w:spacing w:line="560" w:lineRule="exact"/>
        <w:textAlignment w:val="auto"/>
        <w:rPr>
          <w:rFonts w:ascii="仿宋_GB2312" w:hAnsi="仿宋" w:eastAsia="仿宋_GB2312"/>
          <w:sz w:val="32"/>
          <w:szCs w:val="32"/>
        </w:rPr>
      </w:pPr>
      <w:r>
        <w:rPr>
          <w:rFonts w:hint="eastAsia" w:ascii="仿宋_GB2312" w:hAnsi="华文楷体" w:eastAsia="仿宋_GB2312"/>
          <w:sz w:val="32"/>
          <w:szCs w:val="32"/>
        </w:rPr>
        <w:t xml:space="preserve">    2.经营、贮存场所及设施、条件。</w:t>
      </w:r>
      <w:r>
        <w:rPr>
          <w:rFonts w:hint="eastAsia" w:ascii="仿宋_GB2312" w:hAnsi="仿宋" w:eastAsia="仿宋_GB2312"/>
          <w:sz w:val="32"/>
          <w:szCs w:val="32"/>
        </w:rPr>
        <w:t>重点检查经营场所、库房、设施是否</w:t>
      </w:r>
      <w:r>
        <w:rPr>
          <w:rFonts w:hint="eastAsia" w:ascii="仿宋_GB2312" w:hAnsi="仿宋" w:eastAsia="仿宋_GB2312"/>
          <w:sz w:val="32"/>
          <w:szCs w:val="32"/>
          <w:lang w:eastAsia="zh-CN"/>
        </w:rPr>
        <w:t>符合规定</w:t>
      </w:r>
      <w:r>
        <w:rPr>
          <w:rFonts w:hint="eastAsia" w:ascii="仿宋_GB2312" w:hAnsi="仿宋" w:eastAsia="仿宋_GB2312"/>
          <w:sz w:val="32"/>
          <w:szCs w:val="32"/>
        </w:rPr>
        <w:t>；经营第三类医疗器械</w:t>
      </w:r>
      <w:r>
        <w:rPr>
          <w:rFonts w:hint="eastAsia" w:ascii="仿宋_GB2312" w:hAnsi="仿宋" w:eastAsia="仿宋_GB2312"/>
          <w:sz w:val="32"/>
          <w:szCs w:val="32"/>
          <w:lang w:eastAsia="zh-CN"/>
        </w:rPr>
        <w:t>的</w:t>
      </w:r>
      <w:r>
        <w:rPr>
          <w:rFonts w:hint="eastAsia" w:ascii="仿宋_GB2312" w:hAnsi="仿宋" w:eastAsia="仿宋_GB2312"/>
          <w:sz w:val="32"/>
          <w:szCs w:val="32"/>
        </w:rPr>
        <w:t>企业是否具有符合医疗器械经营质量管理要求的计算机信息管理系统，保证经营的产品可追溯；</w:t>
      </w:r>
      <w:r>
        <w:rPr>
          <w:rFonts w:hint="eastAsia" w:ascii="仿宋_GB2312" w:hAnsi="仿宋" w:eastAsia="仿宋_GB2312"/>
          <w:sz w:val="32"/>
          <w:szCs w:val="32"/>
          <w:lang w:eastAsia="zh-CN"/>
        </w:rPr>
        <w:t>经营或者运输、贮存的医疗器械涉及需要</w:t>
      </w:r>
      <w:r>
        <w:rPr>
          <w:rFonts w:hint="eastAsia" w:ascii="仿宋_GB2312" w:hAnsi="仿宋" w:eastAsia="仿宋_GB2312"/>
          <w:sz w:val="32"/>
          <w:szCs w:val="32"/>
        </w:rPr>
        <w:t>冷藏、冷冻</w:t>
      </w:r>
      <w:r>
        <w:rPr>
          <w:rFonts w:hint="eastAsia" w:ascii="仿宋_GB2312" w:hAnsi="仿宋" w:eastAsia="仿宋_GB2312"/>
          <w:sz w:val="32"/>
          <w:szCs w:val="32"/>
          <w:lang w:eastAsia="zh-CN"/>
        </w:rPr>
        <w:t>管理的</w:t>
      </w:r>
      <w:r>
        <w:rPr>
          <w:rFonts w:hint="eastAsia" w:ascii="仿宋_GB2312" w:hAnsi="仿宋" w:eastAsia="仿宋_GB2312"/>
          <w:sz w:val="32"/>
          <w:szCs w:val="32"/>
        </w:rPr>
        <w:t>，是否</w:t>
      </w:r>
      <w:r>
        <w:rPr>
          <w:rFonts w:hint="eastAsia" w:ascii="仿宋_GB2312" w:hAnsi="仿宋" w:eastAsia="仿宋_GB2312"/>
          <w:sz w:val="32"/>
          <w:szCs w:val="32"/>
          <w:lang w:eastAsia="zh-CN"/>
        </w:rPr>
        <w:t>配备符合要求的设施设备；</w:t>
      </w:r>
      <w:r>
        <w:rPr>
          <w:rFonts w:hint="eastAsia" w:ascii="仿宋_GB2312" w:hAnsi="仿宋" w:eastAsia="仿宋_GB2312"/>
          <w:sz w:val="32"/>
          <w:szCs w:val="32"/>
        </w:rPr>
        <w:t>是否按照说明书或者</w:t>
      </w:r>
      <w:r>
        <w:rPr>
          <w:rFonts w:hint="eastAsia" w:ascii="仿宋_GB2312" w:hAnsi="仿宋" w:eastAsia="仿宋_GB2312"/>
          <w:sz w:val="32"/>
          <w:szCs w:val="32"/>
          <w:lang w:eastAsia="zh-CN"/>
        </w:rPr>
        <w:t>标签</w:t>
      </w:r>
      <w:r>
        <w:rPr>
          <w:rFonts w:hint="eastAsia" w:ascii="仿宋_GB2312" w:hAnsi="仿宋" w:eastAsia="仿宋_GB2312"/>
          <w:sz w:val="32"/>
          <w:szCs w:val="32"/>
        </w:rPr>
        <w:t xml:space="preserve">标示的贮存要求贮存医疗器械。 </w:t>
      </w:r>
    </w:p>
    <w:p w14:paraId="1BED679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3.医疗器械经营质量管理体系。重点检查质量管理机构、质量管理人员配备是否符合规定；是否建立覆盖医疗器械经营全过程的质量管理体系文件和质量记录；是否</w:t>
      </w:r>
      <w:r>
        <w:rPr>
          <w:rFonts w:hint="default" w:ascii="仿宋_GB2312" w:hAnsi="仿宋" w:eastAsia="仿宋_GB2312"/>
          <w:sz w:val="32"/>
          <w:szCs w:val="32"/>
          <w:lang w:eastAsia="zh-CN"/>
        </w:rPr>
        <w:t>按要求执行医疗器械唯一标识</w:t>
      </w:r>
      <w:r>
        <w:rPr>
          <w:rFonts w:hint="eastAsia" w:ascii="仿宋_GB2312" w:hAnsi="仿宋" w:eastAsia="仿宋_GB2312"/>
          <w:sz w:val="32"/>
          <w:szCs w:val="32"/>
          <w:lang w:eastAsia="zh-CN"/>
        </w:rPr>
        <w:t>（</w:t>
      </w:r>
      <w:r>
        <w:rPr>
          <w:rFonts w:hint="default" w:ascii="仿宋_GB2312" w:hAnsi="仿宋" w:eastAsia="仿宋_GB2312"/>
          <w:sz w:val="32"/>
          <w:szCs w:val="32"/>
          <w:lang w:eastAsia="zh-CN"/>
        </w:rPr>
        <w:t>UDI</w:t>
      </w:r>
      <w:r>
        <w:rPr>
          <w:rFonts w:hint="eastAsia" w:ascii="仿宋_GB2312" w:hAnsi="仿宋" w:eastAsia="仿宋_GB2312"/>
          <w:sz w:val="32"/>
          <w:szCs w:val="32"/>
          <w:lang w:eastAsia="zh-CN"/>
        </w:rPr>
        <w:t>）；是否按要求进行自查并按时提交年度自查报告。</w:t>
      </w:r>
    </w:p>
    <w:p w14:paraId="6EDCA341">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4.网络销售行为。重点检查网络销售是否遵循“线上线下”一致原则并按规定备案；是否在企业主页面显著位置展示其医疗器械生产经营许可证件或者备案凭证，在产品页面展示该产品的医疗器械注册证或者备案凭证。</w:t>
      </w:r>
    </w:p>
    <w:p w14:paraId="6B2139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olor w:val="000000"/>
          <w:sz w:val="32"/>
          <w:szCs w:val="32"/>
          <w:lang w:val="en-US" w:eastAsia="zh-CN"/>
        </w:rPr>
      </w:pPr>
      <w:bookmarkStart w:id="0" w:name="_GoBack"/>
      <w:bookmarkEnd w:id="0"/>
    </w:p>
    <w:p w14:paraId="19451D7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olor w:val="000000"/>
          <w:sz w:val="32"/>
          <w:szCs w:val="32"/>
          <w:lang w:val="en-US" w:eastAsia="zh-CN"/>
        </w:rPr>
      </w:pPr>
    </w:p>
    <w:p w14:paraId="0614530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olor w:val="000000"/>
          <w:sz w:val="32"/>
          <w:szCs w:val="32"/>
        </w:rPr>
        <w:t xml:space="preserve"> </w:t>
      </w:r>
      <w:r>
        <w:rPr>
          <w:rFonts w:hint="eastAsia" w:ascii="仿宋_GB2312" w:hAnsi="仿宋_GB2312" w:eastAsia="仿宋_GB2312" w:cs="仿宋_GB2312"/>
          <w:sz w:val="32"/>
          <w:szCs w:val="32"/>
          <w:lang w:val="en-US" w:eastAsia="zh-CN"/>
        </w:rPr>
        <w:t>历城区市场监督管理局</w:t>
      </w:r>
    </w:p>
    <w:p w14:paraId="5790B79B">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pPr>
      <w:r>
        <w:rPr>
          <w:rFonts w:hint="eastAsia" w:ascii="仿宋_GB2312" w:hAnsi="仿宋_GB2312" w:eastAsia="仿宋_GB2312" w:cs="仿宋_GB2312"/>
          <w:sz w:val="32"/>
          <w:szCs w:val="32"/>
          <w:lang w:val="en-US" w:eastAsia="zh-CN"/>
        </w:rPr>
        <w:t>2026年4月15日</w:t>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1EC871-724A-4430-841C-7F0BB9800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DFC6B9-D04A-42BF-A843-593AF6EFD94E}"/>
  </w:font>
  <w:font w:name="方正小标宋简体">
    <w:panose1 w:val="03000509000000000000"/>
    <w:charset w:val="86"/>
    <w:family w:val="swiss"/>
    <w:pitch w:val="default"/>
    <w:sig w:usb0="00000001" w:usb1="080E0000" w:usb2="00000000" w:usb3="00000000" w:csb0="00040000" w:csb1="00000000"/>
    <w:embedRegular r:id="rId3" w:fontKey="{F6DC8A30-0BA5-4F71-B955-B2E28945DE01}"/>
  </w:font>
  <w:font w:name="仿宋_GB2312">
    <w:panose1 w:val="02010609030101010101"/>
    <w:charset w:val="86"/>
    <w:family w:val="auto"/>
    <w:pitch w:val="default"/>
    <w:sig w:usb0="00000001" w:usb1="080E0000" w:usb2="00000000" w:usb3="00000000" w:csb0="00040000" w:csb1="00000000"/>
    <w:embedRegular r:id="rId4" w:fontKey="{86CB2DE4-EC3A-4CFA-B8DF-DB959AC319F9}"/>
  </w:font>
  <w:font w:name="方正小标宋_GBK">
    <w:panose1 w:val="02000000000000000000"/>
    <w:charset w:val="86"/>
    <w:family w:val="script"/>
    <w:pitch w:val="default"/>
    <w:sig w:usb0="A00002BF" w:usb1="38CF7CFA" w:usb2="00082016" w:usb3="00000000" w:csb0="00040001" w:csb1="00000000"/>
    <w:embedRegular r:id="rId5" w:fontKey="{04CAF24F-4345-45B2-B35E-4EB70791C7A6}"/>
  </w:font>
  <w:font w:name="微软雅黑">
    <w:panose1 w:val="020B0503020204020204"/>
    <w:charset w:val="86"/>
    <w:family w:val="auto"/>
    <w:pitch w:val="default"/>
    <w:sig w:usb0="80000287" w:usb1="2ACF3C50" w:usb2="00000016" w:usb3="00000000" w:csb0="0004001F" w:csb1="00000000"/>
    <w:embedRegular r:id="rId6" w:fontKey="{29CC9F95-82A1-4CB4-890C-AAE7328D3C99}"/>
  </w:font>
  <w:font w:name="仿宋">
    <w:panose1 w:val="02010609060101010101"/>
    <w:charset w:val="86"/>
    <w:family w:val="auto"/>
    <w:pitch w:val="default"/>
    <w:sig w:usb0="800002BF" w:usb1="38CF7CFA" w:usb2="00000016" w:usb3="00000000" w:csb0="00040001" w:csb1="00000000"/>
    <w:embedRegular r:id="rId7" w:fontKey="{A445348B-4FC8-4F94-8C38-BF3A62DB52C8}"/>
  </w:font>
  <w:font w:name="CESI仿宋-GB18030">
    <w:altName w:val="仿宋"/>
    <w:panose1 w:val="02000500000000000000"/>
    <w:charset w:val="86"/>
    <w:family w:val="auto"/>
    <w:pitch w:val="default"/>
    <w:sig w:usb0="00000000" w:usb1="00000000" w:usb2="00000016" w:usb3="00000000" w:csb0="0004000F" w:csb1="00000000"/>
    <w:embedRegular r:id="rId8" w:fontKey="{9E836CD9-F2C0-4D8D-B11F-E9DBD0CD5114}"/>
  </w:font>
  <w:font w:name="楷体">
    <w:panose1 w:val="02010609060101010101"/>
    <w:charset w:val="86"/>
    <w:family w:val="auto"/>
    <w:pitch w:val="default"/>
    <w:sig w:usb0="800002BF" w:usb1="38CF7CFA" w:usb2="00000016" w:usb3="00000000" w:csb0="00040001" w:csb1="00000000"/>
    <w:embedRegular r:id="rId9" w:fontKey="{7E65DD3A-B754-47B5-8540-5AA5EA1C75E5}"/>
  </w:font>
  <w:font w:name="华文楷体">
    <w:panose1 w:val="02010600040101010101"/>
    <w:charset w:val="86"/>
    <w:family w:val="auto"/>
    <w:pitch w:val="default"/>
    <w:sig w:usb0="00000287" w:usb1="080F0000" w:usb2="00000000" w:usb3="00000000" w:csb0="0004009F" w:csb1="DFD70000"/>
    <w:embedRegular r:id="rId10" w:fontKey="{211869A6-BF64-4704-8768-A6DC8BE07E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D1E22"/>
    <w:rsid w:val="1D8D1E22"/>
    <w:rsid w:val="22B21C62"/>
    <w:rsid w:val="2CF32BCD"/>
    <w:rsid w:val="54B07EFF"/>
    <w:rsid w:val="71482E68"/>
    <w:rsid w:val="73281270"/>
    <w:rsid w:val="FFFB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1612</Words>
  <Characters>1623</Characters>
  <Lines>0</Lines>
  <Paragraphs>0</Paragraphs>
  <TotalTime>0</TotalTime>
  <ScaleCrop>false</ScaleCrop>
  <LinksUpToDate>false</LinksUpToDate>
  <CharactersWithSpaces>1642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2026-03-25T16:08:00Z</dcterms:created>
  <dc:creator>小李</dc:creator>
  <cp:lastModifiedBy>微信用户</cp:lastModifiedBy>
  <cp:lastPrinted>2026-03-30T09:36:00Z</cp:lastPrinted>
  <dcterms:modified xsi:type="dcterms:W3CDTF">2026-04-28T02:18:09Z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0BB2C3FC8F26454293E94750FD9016DB_13</vt:lpwstr>
  </property>
  <property fmtid="{D5CDD505-2E9C-101B-9397-08002B2CF9AE}" pid="4" name="KSOTemplateDocerSaveRecord">
    <vt:lpwstr>eyJoZGlkIjoiNGNiZWUyYmEzMTVlZTM1ZGE0YzczMDAyNGY4NjJkMjYiLCJ1c2VySWQiOiIxMjE3NTIyMTQ1In0=</vt:lpwstr>
  </property>
</Properties>
</file>