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0C832">
      <w:pPr>
        <w:spacing w:line="560" w:lineRule="exact"/>
        <w:jc w:val="distribute"/>
        <w:rPr>
          <w:rFonts w:hint="eastAsia" w:ascii="方正小标宋简体" w:hAnsi="方正小标宋简体" w:eastAsia="方正小标宋简体" w:cs="方正小标宋简体"/>
          <w:b/>
          <w:snapToGrid w:val="0"/>
          <w:color w:val="FF0000"/>
          <w:spacing w:val="0"/>
          <w:kern w:val="0"/>
          <w:sz w:val="52"/>
          <w:szCs w:val="52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napToGrid w:val="0"/>
          <w:color w:val="FF0000"/>
          <w:spacing w:val="0"/>
          <w:kern w:val="0"/>
          <w:sz w:val="52"/>
          <w:szCs w:val="52"/>
        </w:rPr>
        <w:t>济南市历城区市场监督管理局</w:t>
      </w:r>
    </w:p>
    <w:p w14:paraId="3EDDBF89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99060</wp:posOffset>
                </wp:positionV>
                <wp:extent cx="5647055" cy="635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53135" y="1534795"/>
                          <a:ext cx="5647055" cy="6350"/>
                        </a:xfrm>
                        <a:prstGeom prst="line">
                          <a:avLst/>
                        </a:prstGeom>
                        <a:noFill/>
                        <a:ln w="28575" cap="flat" cmpd="dbl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7.8pt;height:0.5pt;width:444.65pt;z-index:251659264;mso-width-relative:page;mso-height-relative:page;" filled="f" stroked="t" coordsize="21600,21600" o:gfxdata="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PL7ud2gAAAAgBAAAPAAAAAAAAAAEAIAAAACIAAABkcnMvZG93&#10;bnJldi54bWxQSwECFAAUAAAACACHTuJAj7eogP4BAADOAwAADgAAAAAAAAABACAAAAApAQAAZHJz&#10;L2Uyb0RvYy54bWxQSwUGAAAAAAYABgBZAQAAmQUAAAAA&#10;">
                <v:fill on="f" focussize="0,0"/>
                <v:stroke weight="2.25pt" color="#FF0000" linestyle="thinThin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5510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2026年历城区化妆品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经营环节监督检查计划</w:t>
      </w:r>
    </w:p>
    <w:p w14:paraId="7700F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3C19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为深入贯彻落实“四个最严”要求，切实保障公众用妆安全，提升化妆品经营环节监管的科学性、精准性和有效性，结合我区实际，制定本计划。</w:t>
      </w:r>
    </w:p>
    <w:p w14:paraId="423BB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一、工作目标</w:t>
      </w:r>
    </w:p>
    <w:p w14:paraId="07E8C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聚焦安全风险，强化问题导向，压实企业主体责任，构建严密高效的化妆品经营监管体系。</w:t>
      </w:r>
    </w:p>
    <w:p w14:paraId="71B87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风险防控：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开展对重点领域、重点品种、重点违法行为的风险排查，实现重大风险隐患处置率100%。</w:t>
      </w:r>
    </w:p>
    <w:p w14:paraId="7F8A7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监督检查：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现场检查、无感监管涵盖辖区所有重点业态，监督检查发现问题整改完成率100%。</w:t>
      </w:r>
    </w:p>
    <w:p w14:paraId="4111C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抽检监测：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准确高效完成国家、省、市三级监督抽检任务，不合格产品核查处置率100%。</w:t>
      </w:r>
    </w:p>
    <w:p w14:paraId="53E66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部门联动：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加强与12315、舆情监测、网监、广告监管以及审批、公安、卫健、邮政、海关等部门的协同，形成监管合力。</w:t>
      </w:r>
    </w:p>
    <w:p w14:paraId="77FF8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社会共治：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全面推广“守护码”，在试点基础上，逐步扩大至化妆品经营重点领域，提升社会监督效能。</w:t>
      </w:r>
    </w:p>
    <w:p w14:paraId="5C7C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二、明确重点</w:t>
      </w:r>
    </w:p>
    <w:p w14:paraId="74B89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（一）重点监管对象</w:t>
      </w:r>
    </w:p>
    <w:p w14:paraId="76BF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1.儿童化妆品经营者：母婴专卖店、大型商超儿童用品专区、婴童游泳馆等。</w:t>
      </w:r>
    </w:p>
    <w:p w14:paraId="79294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2.化妆品使用单位：美容院、美发店、美甲店、足浴养生店、洗浴场所、宾馆酒店等。</w:t>
      </w:r>
    </w:p>
    <w:p w14:paraId="76FD4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3.化妆品集中交易市场开办者及展销会举办者。</w:t>
      </w:r>
    </w:p>
    <w:p w14:paraId="48419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4.网络经营者：本地注册的化妆品电商平台内经营者、直播营销主体、自建网站商城等。</w:t>
      </w:r>
    </w:p>
    <w:p w14:paraId="301EB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5.既往问题单位：近两年内被行政处罚、抽检不合格、投诉举报集中、不良反应监测问题较多的经营主体。</w:t>
      </w:r>
    </w:p>
    <w:p w14:paraId="36A03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6.其他经营者：各类商超、化妆品集合店，城乡结合部及农村化妆品店、集市摊贩、小型日化商店；化妆品境内责任人。</w:t>
      </w:r>
    </w:p>
    <w:p w14:paraId="21888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（二）重点监管产品</w:t>
      </w:r>
    </w:p>
    <w:p w14:paraId="6759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1.儿童化妆品：儿童护肤霜、沐浴露、牙膏、防晒产品等。</w:t>
      </w:r>
    </w:p>
    <w:p w14:paraId="3011E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2.特殊化妆品：染发、烫发、祛斑美白、防晒、防脱发等产品。</w:t>
      </w:r>
    </w:p>
    <w:p w14:paraId="3C5C1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3.宣称功效化妆品：抗皱、舒缓、祛痘等功效的化妆品。</w:t>
      </w:r>
    </w:p>
    <w:p w14:paraId="26B03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4.进口化妆品：无中文标签、来源不明、涉嫌未经注册或备案的进口化妆品。</w:t>
      </w:r>
    </w:p>
    <w:p w14:paraId="50633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5.舆情与风险产品：舆情关注度高、不良反应报告多、投诉举报集中的产品。</w:t>
      </w:r>
    </w:p>
    <w:p w14:paraId="11C1C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6.问题产品：上级通告要求停止经营的产品。</w:t>
      </w:r>
    </w:p>
    <w:p w14:paraId="1B098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（三）重点违法行为</w:t>
      </w:r>
    </w:p>
    <w:p w14:paraId="41C1B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1.经营或进口未经注册或备案的化妆品。</w:t>
      </w:r>
    </w:p>
    <w:p w14:paraId="55F3A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2.经营过期、变质、标签不符合规定、抽检不合格的化妆品；违反规定贮存、运输化妆品。</w:t>
      </w:r>
    </w:p>
    <w:p w14:paraId="7AB4D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3.擅自配制化妆品，或者在经营过程中非法添加可能危害人体健康的物质；自行更改化妆品使用期限。</w:t>
      </w:r>
    </w:p>
    <w:p w14:paraId="0E69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4.应取得而未取得营业执照擅自经营化妆品的实体店铺。</w:t>
      </w:r>
    </w:p>
    <w:p w14:paraId="352B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5.未建立并执行进货查验记录制度，无法证明产品来源。</w:t>
      </w:r>
    </w:p>
    <w:p w14:paraId="50190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6.化妆品集中交易市场开办者及展销会举办者未履行审查、检查、制止、报告等义务。</w:t>
      </w:r>
    </w:p>
    <w:p w14:paraId="36FF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7.虚假或夸大宣传，明示或暗示医疗作用，虚假标注“小金盾”标志等。</w:t>
      </w:r>
    </w:p>
    <w:p w14:paraId="05EA4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三、具体措施</w:t>
      </w:r>
    </w:p>
    <w:p w14:paraId="1524A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（一）深化风险分级，实施精准监督检查</w:t>
      </w:r>
    </w:p>
    <w:p w14:paraId="55573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运用风险会商、投诉举报、监督抽检等数据，强化风险分析研判，对重点监管对象和高风险产品经营者加大有因检查频次。依托国家化妆品网络经营监测平台，持续强化网络经营环节监管。推行“监管+普法”融合模式，落实“谁执法谁普法”责任制，在现场检查中同步开展法规宣贯，引导经营者自查自纠，推动企业主体责任落实，提前防范风险。</w:t>
      </w:r>
    </w:p>
    <w:p w14:paraId="5BC55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（二）发挥抽检利剑作用，强化三级联动效能</w:t>
      </w:r>
    </w:p>
    <w:p w14:paraId="25F68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监督抽检贯穿全年，认真完成国家、省级在我市部署的抽样任务，科学制定实施市级抽检计划，覆盖重点业态和重点产品，形成“国、省、市”三级任务统筹、各有侧重的抽检网络。强化监检结合，抽样与现场检查同步开展，提高异常情况发现率。对不合格产品立即启动核查处置，控制风险、追溯源头、依法严惩。同时对近两年抽检不合格产品组织“回头看”。</w:t>
      </w:r>
    </w:p>
    <w:p w14:paraId="7B007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（三）强化部门联动，凝聚监管合力</w:t>
      </w:r>
    </w:p>
    <w:p w14:paraId="4BD2B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跨部门协作机制，强化信息共享与执法联动。定期与12315投诉举报平台、舆情监测、网络交易监管、广告监管等部门互通线索，对涉及化妆品安全的投诉举报、网络监测信息、违法广告线索开展联合研判、协同处置。主动加强与公安、卫健、邮政、海关等部门的沟通协作，在线索通报、案件移送、联合检查等方面密切配合。对涉嫌犯罪、非法添加、违规寄递、走私化妆品等违法行为，依法及时移送相关部门，强化行刑衔接与联合打击，提升全链条监管效能。</w:t>
      </w:r>
    </w:p>
    <w:p w14:paraId="2CF42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（四）拓宽共治渠道，构建社会多元参与格局</w:t>
      </w:r>
    </w:p>
    <w:p w14:paraId="5B1DD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推广“守护码”，引导经营者主动使用“化妆品监管APP”查询产品信息，阻断信息异常产品流入我区市场，率先在美容美发机构、母婴店、农村及偏远地区推动应用。持续开展“你点我检”活动，通过“一券三卡”等形式征集消费者关注的产品和领域，作为制定抽检和检查计划的重要依据。结合“爱肤日”“药品安全宣传周”等活动，深入社区开展宣传，提升消费者安全用妆意识和辨识能力。</w:t>
      </w:r>
    </w:p>
    <w:p w14:paraId="310B3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四、保障措施</w:t>
      </w:r>
    </w:p>
    <w:p w14:paraId="35F18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（一）强化组织领导。区局统筹协调历城区化妆品经营监管工作，各所应聚焦重点领域，立足监管工作实际，细化责任分工，提高监管的靶向性和覆盖面，确保检查工作质效；区局将适时组织督导。</w:t>
      </w:r>
    </w:p>
    <w:p w14:paraId="7AD54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（二）强化能力建设。组织监管人员开展业务培训，将法规培训与业务实训相结合，重点涵盖监督检查实务、抽检规程、法规解读及“守护码”系统操作，提升监管人员专业水平。</w:t>
      </w:r>
    </w:p>
    <w:p w14:paraId="3B5A2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严格防控风险。督促经营者严格落实进货查验记录制度，对违法产品追根溯源；持续推进风险会商机制，梳理风险清单，针对性制定监管措施；压实监管责任，加强检查和执法的有效衔接；综合运用责任约谈、紧急控制等手段，有效防范和遏制违法行为。</w:t>
      </w:r>
    </w:p>
    <w:p w14:paraId="00586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凝聚监管合力。发挥社会监督作用，将检查与普法相结合，引导经营者自觉增强守法意识，及时向社会公布检查执法情况和结果；加强与公安、海关等部门的协作联动，深化行刑衔接，对涉嫌犯罪的违法行为，移送公安机关，积极配合司法机关调查取证，形成打击合力。</w:t>
      </w:r>
    </w:p>
    <w:p w14:paraId="52185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规范执法检查。各单位按照有关规范涉企行政检查要求，严格落实执法亮证、扫码入企、信息上报等环节，及时将检查信息录入一体化监管平台。规范对网络违法线索的调查处置，依据相关工作规定，严格做好协查、反馈等工作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2ECD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145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历城区市场监督管理局</w:t>
      </w:r>
    </w:p>
    <w:p w14:paraId="0EA095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2026年4月15日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sectPr>
      <w:headerReference r:id="rId3" w:type="default"/>
      <w:footerReference r:id="rId4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581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9DC26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9DC26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C8D0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M2JlYjA4NTRhNzQyMzE5MGYwNzg3ODlkMmEwMDcifQ=="/>
  </w:docVars>
  <w:rsids>
    <w:rsidRoot w:val="29F46286"/>
    <w:rsid w:val="29487556"/>
    <w:rsid w:val="29F46286"/>
    <w:rsid w:val="5030251E"/>
    <w:rsid w:val="7FE5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2321</Words>
  <Characters>2366</Characters>
  <Lines>0</Lines>
  <Paragraphs>0</Paragraphs>
  <TotalTime>3</TotalTime>
  <ScaleCrop>false</ScaleCrop>
  <LinksUpToDate>false</LinksUpToDate>
  <CharactersWithSpaces>2368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2026-04-15T10:07:00Z</dcterms:created>
  <dc:creator>wzsxhgmz</dc:creator>
  <cp:lastModifiedBy>微信用户</cp:lastModifiedBy>
  <dcterms:modified xsi:type="dcterms:W3CDTF">2026-04-28T02:14:29Z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7839589E597542C5A7AD566277C5958A_13</vt:lpwstr>
  </property>
  <property fmtid="{D5CDD505-2E9C-101B-9397-08002B2CF9AE}" pid="4" name="KSOTemplateDocerSaveRecord">
    <vt:lpwstr>eyJoZGlkIjoiNGNiZWUyYmEzMTVlZTM1ZGE0YzczMDAyNGY4NjJkMjYiLCJ1c2VySWQiOiIxMjE3NTIyMTQ1In0=</vt:lpwstr>
  </property>
</Properties>
</file>