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6E381">
      <w:pPr>
        <w:pStyle w:val="12"/>
        <w:spacing w:line="560" w:lineRule="exact"/>
        <w:jc w:val="left"/>
        <w:rPr>
          <w:rFonts w:ascii="黑体" w:hAnsi="宋体" w:eastAsia="黑体" w:cs="方正小标宋简体"/>
          <w:sz w:val="32"/>
          <w:szCs w:val="32"/>
        </w:rPr>
      </w:pPr>
      <w:r>
        <w:rPr>
          <w:rFonts w:ascii="黑体" w:hAnsi="宋体" w:eastAsia="黑体" w:cs="黑体"/>
          <w:sz w:val="32"/>
          <w:szCs w:val="32"/>
        </w:rPr>
        <w:t>附件</w:t>
      </w:r>
      <w:r>
        <w:rPr>
          <w:rFonts w:ascii="Times New Roman" w:hAnsi="Times New Roman" w:eastAsia="黑体"/>
          <w:sz w:val="32"/>
          <w:szCs w:val="32"/>
        </w:rPr>
        <w:t>1</w:t>
      </w:r>
    </w:p>
    <w:p w14:paraId="53406CE3">
      <w:pPr>
        <w:pStyle w:val="12"/>
        <w:spacing w:line="620" w:lineRule="exact"/>
        <w:rPr>
          <w:rFonts w:ascii="华文中宋" w:hAnsi="华文中宋" w:eastAsia="华文中宋" w:cs="方正小标宋简体"/>
          <w:sz w:val="36"/>
          <w:szCs w:val="36"/>
        </w:rPr>
      </w:pPr>
      <w:r>
        <w:rPr>
          <w:rFonts w:ascii="华文中宋" w:hAnsi="华文中宋" w:eastAsia="华文中宋" w:cs="方正小标宋简体"/>
          <w:sz w:val="36"/>
          <w:szCs w:val="36"/>
        </w:rPr>
        <w:t xml:space="preserve"> </w:t>
      </w:r>
    </w:p>
    <w:p w14:paraId="3281E53C">
      <w:pPr>
        <w:pStyle w:val="12"/>
        <w:spacing w:line="62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生猪屠宰质量管理规范检查标准</w:t>
      </w:r>
    </w:p>
    <w:p w14:paraId="5EDF561C">
      <w:pPr>
        <w:pStyle w:val="12"/>
        <w:spacing w:line="620" w:lineRule="exact"/>
        <w:ind w:firstLine="640" w:firstLineChars="200"/>
        <w:rPr>
          <w:rFonts w:ascii="Times New Roman" w:hAnsi="Times New Roman"/>
          <w:sz w:val="32"/>
          <w:szCs w:val="32"/>
        </w:rPr>
      </w:pPr>
      <w:r>
        <w:rPr>
          <w:rFonts w:ascii="Times New Roman" w:hAnsi="Times New Roman"/>
          <w:sz w:val="32"/>
          <w:szCs w:val="32"/>
        </w:rPr>
        <w:t xml:space="preserve"> </w:t>
      </w:r>
      <w:bookmarkStart w:id="0" w:name="_GoBack"/>
      <w:bookmarkEnd w:id="0"/>
    </w:p>
    <w:p w14:paraId="47CB4F4E">
      <w:pPr>
        <w:pStyle w:val="12"/>
        <w:numPr>
          <w:ilvl w:val="0"/>
          <w:numId w:val="1"/>
        </w:numPr>
        <w:spacing w:line="620" w:lineRule="exact"/>
        <w:ind w:firstLine="640" w:firstLineChars="200"/>
        <w:rPr>
          <w:rFonts w:ascii="Times New Roman" w:hAnsi="Times New Roman" w:eastAsia="黑体"/>
          <w:sz w:val="32"/>
          <w:szCs w:val="32"/>
        </w:rPr>
      </w:pPr>
      <w:r>
        <w:rPr>
          <w:rFonts w:ascii="黑体" w:hAnsi="宋体" w:eastAsia="黑体" w:cs="黑体"/>
          <w:sz w:val="32"/>
          <w:szCs w:val="32"/>
        </w:rPr>
        <w:t>制定依据</w:t>
      </w:r>
    </w:p>
    <w:p w14:paraId="049DE82E">
      <w:pPr>
        <w:pStyle w:val="12"/>
        <w:snapToGrid w:val="0"/>
        <w:spacing w:line="62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根据《生猪屠宰质量管理规范》等制定本标准。</w:t>
      </w:r>
    </w:p>
    <w:p w14:paraId="42C35052">
      <w:pPr>
        <w:pStyle w:val="12"/>
        <w:numPr>
          <w:ilvl w:val="0"/>
          <w:numId w:val="1"/>
        </w:numPr>
        <w:spacing w:line="620" w:lineRule="exact"/>
        <w:ind w:firstLine="640" w:firstLineChars="200"/>
        <w:rPr>
          <w:rFonts w:ascii="Times New Roman" w:hAnsi="Times New Roman" w:eastAsia="黑体"/>
          <w:sz w:val="32"/>
          <w:szCs w:val="32"/>
        </w:rPr>
      </w:pPr>
      <w:r>
        <w:rPr>
          <w:rFonts w:ascii="黑体" w:hAnsi="宋体" w:eastAsia="黑体" w:cs="黑体"/>
          <w:sz w:val="32"/>
          <w:szCs w:val="32"/>
        </w:rPr>
        <w:t>检查项目</w:t>
      </w:r>
    </w:p>
    <w:p w14:paraId="61CF8ABA">
      <w:pPr>
        <w:pStyle w:val="12"/>
        <w:snapToGrid w:val="0"/>
        <w:spacing w:line="6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检查项目共160项，其中重点项目34项（条款序号后标注“*”），一般项目126项。检查项目表见附录1。</w:t>
      </w:r>
    </w:p>
    <w:p w14:paraId="56E36DEE">
      <w:pPr>
        <w:pStyle w:val="12"/>
        <w:snapToGrid w:val="0"/>
        <w:spacing w:line="6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分布（重点项/一般项）：机构与人员14项（4/10），厂房与设施设备52项（9/43），宰前管理14项（5/9），屠宰过程管理27项（6/21），检验检疫19项（5/14），产品出厂管理13项（2/11），追溯与召回6项（1/5），委托管理8项（2/6），质量监督与记录管理7项（0/7）。</w:t>
      </w:r>
    </w:p>
    <w:p w14:paraId="012B399B">
      <w:pPr>
        <w:pStyle w:val="12"/>
        <w:numPr>
          <w:ilvl w:val="0"/>
          <w:numId w:val="1"/>
        </w:numPr>
        <w:spacing w:line="620" w:lineRule="exact"/>
        <w:ind w:firstLine="640" w:firstLineChars="200"/>
        <w:rPr>
          <w:rFonts w:ascii="Times New Roman" w:hAnsi="Times New Roman" w:eastAsia="黑体"/>
          <w:sz w:val="32"/>
          <w:szCs w:val="32"/>
        </w:rPr>
      </w:pPr>
      <w:r>
        <w:rPr>
          <w:rFonts w:ascii="黑体" w:hAnsi="宋体" w:eastAsia="黑体" w:cs="黑体"/>
          <w:sz w:val="32"/>
          <w:szCs w:val="32"/>
        </w:rPr>
        <w:t>检查方法</w:t>
      </w:r>
    </w:p>
    <w:p w14:paraId="7B171764">
      <w:pPr>
        <w:pStyle w:val="12"/>
        <w:snapToGrid w:val="0"/>
        <w:spacing w:line="62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根据检查项目，采取查看文件、记录、图纸等资料，实地查看、现场提问等方式进行检查。</w:t>
      </w:r>
    </w:p>
    <w:p w14:paraId="5B386A6E">
      <w:pPr>
        <w:pStyle w:val="12"/>
        <w:numPr>
          <w:ilvl w:val="0"/>
          <w:numId w:val="1"/>
        </w:numPr>
        <w:spacing w:line="620" w:lineRule="exact"/>
        <w:ind w:firstLine="640" w:firstLineChars="200"/>
        <w:rPr>
          <w:rFonts w:ascii="Times New Roman" w:hAnsi="Times New Roman" w:eastAsia="黑体"/>
          <w:sz w:val="32"/>
          <w:szCs w:val="32"/>
        </w:rPr>
      </w:pPr>
      <w:r>
        <w:rPr>
          <w:rFonts w:ascii="黑体" w:hAnsi="宋体" w:eastAsia="黑体" w:cs="黑体"/>
          <w:sz w:val="32"/>
          <w:szCs w:val="32"/>
        </w:rPr>
        <w:t>检查结果</w:t>
      </w:r>
    </w:p>
    <w:p w14:paraId="02579039">
      <w:pPr>
        <w:pStyle w:val="12"/>
        <w:snapToGrid w:val="0"/>
        <w:spacing w:line="6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项检查结果分为“N”、“Y-”、“Y”三档（不涉及为“/”），项目得分80分以上的，判定为符合要求，检查结果标为“Y”；项目得分60—80分的，判定为基本符合要求，检查结果标为“Y-”；项目得分60分以下的，判定为不符合要求，检查结果标为“N”。</w:t>
      </w:r>
    </w:p>
    <w:p w14:paraId="41FA246B">
      <w:pPr>
        <w:pStyle w:val="12"/>
        <w:snapToGrid w:val="0"/>
        <w:spacing w:line="6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汇总检查结果时，重点项目的“Y-”不折合“N”；一般项目的3个“Y-”折合为1个“N”，不足3个“Y-”的折合为1个“N”。</w:t>
      </w:r>
    </w:p>
    <w:p w14:paraId="1B71C6E5">
      <w:pPr>
        <w:pStyle w:val="12"/>
        <w:numPr>
          <w:ilvl w:val="0"/>
          <w:numId w:val="1"/>
        </w:numPr>
        <w:spacing w:line="620" w:lineRule="exact"/>
        <w:ind w:firstLine="640" w:firstLineChars="200"/>
        <w:rPr>
          <w:rFonts w:ascii="Times New Roman" w:hAnsi="Times New Roman" w:eastAsia="黑体"/>
          <w:sz w:val="32"/>
          <w:szCs w:val="32"/>
        </w:rPr>
      </w:pPr>
      <w:r>
        <w:rPr>
          <w:rFonts w:ascii="黑体" w:hAnsi="宋体" w:eastAsia="黑体" w:cs="黑体"/>
          <w:sz w:val="32"/>
          <w:szCs w:val="32"/>
        </w:rPr>
        <w:t>检查结论</w:t>
      </w:r>
    </w:p>
    <w:p w14:paraId="449436B6">
      <w:pPr>
        <w:pStyle w:val="12"/>
        <w:snapToGrid w:val="0"/>
        <w:spacing w:line="620" w:lineRule="exact"/>
        <w:ind w:firstLine="640" w:firstLineChars="200"/>
        <w:rPr>
          <w:rFonts w:ascii="Times New Roman" w:hAnsi="Times New Roman" w:eastAsia="仿宋_GB2312"/>
          <w:sz w:val="10"/>
          <w:szCs w:val="10"/>
        </w:rPr>
      </w:pPr>
      <w:r>
        <w:rPr>
          <w:rFonts w:ascii="仿宋_GB2312" w:hAnsi="Times New Roman" w:eastAsia="仿宋_GB2312" w:cs="仿宋_GB2312"/>
          <w:sz w:val="32"/>
          <w:szCs w:val="32"/>
        </w:rPr>
        <w:t>通过分别计算重点项目不符合项数、重点项目基本符合项数和一般项目不符合项数作出最终检查结论。</w:t>
      </w:r>
    </w:p>
    <w:tbl>
      <w:tblPr>
        <w:tblStyle w:val="14"/>
        <w:tblW w:w="8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1695"/>
        <w:gridCol w:w="2130"/>
        <w:gridCol w:w="3000"/>
      </w:tblGrid>
      <w:tr w14:paraId="218B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157" w:type="dxa"/>
            <w:gridSpan w:val="2"/>
            <w:tcBorders>
              <w:top w:val="single" w:color="auto" w:sz="4" w:space="0"/>
              <w:left w:val="single" w:color="auto" w:sz="4" w:space="0"/>
              <w:bottom w:val="single" w:color="auto" w:sz="4" w:space="0"/>
              <w:right w:val="single" w:color="auto" w:sz="4" w:space="0"/>
            </w:tcBorders>
            <w:vAlign w:val="center"/>
          </w:tcPr>
          <w:p w14:paraId="3FB2CB47">
            <w:pPr>
              <w:snapToGrid w:val="0"/>
              <w:spacing w:line="288" w:lineRule="auto"/>
              <w:jc w:val="center"/>
              <w:rPr>
                <w:rFonts w:eastAsia="黑体"/>
                <w:kern w:val="0"/>
                <w:sz w:val="24"/>
              </w:rPr>
            </w:pPr>
            <w:r>
              <w:rPr>
                <w:rFonts w:eastAsia="黑体"/>
                <w:kern w:val="2"/>
                <w:sz w:val="24"/>
              </w:rPr>
              <w:t>重点项目</w:t>
            </w:r>
          </w:p>
        </w:tc>
        <w:tc>
          <w:tcPr>
            <w:tcW w:w="2130" w:type="dxa"/>
            <w:vMerge w:val="restart"/>
            <w:tcBorders>
              <w:top w:val="single" w:color="auto" w:sz="4" w:space="0"/>
              <w:left w:val="nil"/>
              <w:bottom w:val="single" w:color="auto" w:sz="4" w:space="0"/>
              <w:right w:val="single" w:color="auto" w:sz="4" w:space="0"/>
            </w:tcBorders>
            <w:vAlign w:val="center"/>
          </w:tcPr>
          <w:p w14:paraId="45F78246">
            <w:pPr>
              <w:snapToGrid w:val="0"/>
              <w:spacing w:line="288" w:lineRule="auto"/>
              <w:jc w:val="center"/>
              <w:rPr>
                <w:rFonts w:eastAsia="黑体"/>
                <w:kern w:val="0"/>
                <w:sz w:val="24"/>
              </w:rPr>
            </w:pPr>
            <w:r>
              <w:rPr>
                <w:rFonts w:eastAsia="黑体"/>
                <w:kern w:val="2"/>
                <w:sz w:val="24"/>
              </w:rPr>
              <w:t>一般项目</w:t>
            </w:r>
          </w:p>
          <w:p w14:paraId="04519527">
            <w:pPr>
              <w:snapToGrid w:val="0"/>
              <w:spacing w:line="288" w:lineRule="auto"/>
              <w:jc w:val="center"/>
              <w:rPr>
                <w:rFonts w:eastAsia="黑体"/>
                <w:kern w:val="0"/>
                <w:sz w:val="24"/>
              </w:rPr>
            </w:pPr>
            <w:r>
              <w:rPr>
                <w:rFonts w:eastAsia="黑体"/>
                <w:kern w:val="2"/>
                <w:sz w:val="24"/>
              </w:rPr>
              <w:t>不符合项数</w:t>
            </w:r>
          </w:p>
          <w:p w14:paraId="05A07289">
            <w:pPr>
              <w:snapToGrid w:val="0"/>
              <w:spacing w:line="288" w:lineRule="auto"/>
              <w:jc w:val="center"/>
              <w:rPr>
                <w:rFonts w:eastAsia="黑体"/>
                <w:kern w:val="0"/>
                <w:sz w:val="24"/>
              </w:rPr>
            </w:pPr>
            <w:r>
              <w:rPr>
                <w:rFonts w:eastAsia="黑体"/>
                <w:kern w:val="2"/>
                <w:sz w:val="24"/>
              </w:rPr>
              <w:t>（折合后总数）</w:t>
            </w:r>
          </w:p>
        </w:tc>
        <w:tc>
          <w:tcPr>
            <w:tcW w:w="3000" w:type="dxa"/>
            <w:vMerge w:val="restart"/>
            <w:tcBorders>
              <w:top w:val="single" w:color="auto" w:sz="4" w:space="0"/>
              <w:left w:val="nil"/>
              <w:bottom w:val="single" w:color="auto" w:sz="4" w:space="0"/>
              <w:right w:val="single" w:color="auto" w:sz="4" w:space="0"/>
            </w:tcBorders>
            <w:vAlign w:val="center"/>
          </w:tcPr>
          <w:p w14:paraId="7609DAE0">
            <w:pPr>
              <w:snapToGrid w:val="0"/>
              <w:spacing w:line="288" w:lineRule="auto"/>
              <w:jc w:val="center"/>
              <w:rPr>
                <w:rFonts w:eastAsia="黑体"/>
                <w:kern w:val="0"/>
                <w:sz w:val="24"/>
              </w:rPr>
            </w:pPr>
            <w:r>
              <w:rPr>
                <w:rFonts w:eastAsia="黑体"/>
                <w:kern w:val="2"/>
                <w:sz w:val="24"/>
              </w:rPr>
              <w:t>结  论</w:t>
            </w:r>
          </w:p>
        </w:tc>
      </w:tr>
      <w:tr w14:paraId="48AB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0607C0C7">
            <w:pPr>
              <w:snapToGrid w:val="0"/>
              <w:spacing w:line="288" w:lineRule="auto"/>
              <w:jc w:val="center"/>
              <w:rPr>
                <w:rFonts w:eastAsia="黑体"/>
                <w:kern w:val="0"/>
                <w:sz w:val="24"/>
              </w:rPr>
            </w:pPr>
            <w:r>
              <w:rPr>
                <w:rFonts w:eastAsia="黑体"/>
                <w:kern w:val="2"/>
                <w:sz w:val="24"/>
              </w:rPr>
              <w:t>不符合项数</w:t>
            </w:r>
          </w:p>
        </w:tc>
        <w:tc>
          <w:tcPr>
            <w:tcW w:w="1695" w:type="dxa"/>
            <w:tcBorders>
              <w:top w:val="single" w:color="auto" w:sz="4" w:space="0"/>
              <w:left w:val="nil"/>
              <w:bottom w:val="single" w:color="auto" w:sz="4" w:space="0"/>
              <w:right w:val="single" w:color="auto" w:sz="4" w:space="0"/>
            </w:tcBorders>
            <w:vAlign w:val="center"/>
          </w:tcPr>
          <w:p w14:paraId="089AD97E">
            <w:pPr>
              <w:snapToGrid w:val="0"/>
              <w:spacing w:line="288" w:lineRule="auto"/>
              <w:jc w:val="center"/>
              <w:rPr>
                <w:rFonts w:eastAsia="黑体"/>
                <w:kern w:val="0"/>
                <w:sz w:val="24"/>
              </w:rPr>
            </w:pPr>
            <w:r>
              <w:rPr>
                <w:rFonts w:eastAsia="黑体"/>
                <w:kern w:val="2"/>
                <w:sz w:val="24"/>
              </w:rPr>
              <w:t>基本符合项数</w:t>
            </w:r>
          </w:p>
        </w:tc>
        <w:tc>
          <w:tcPr>
            <w:tcW w:w="2130" w:type="dxa"/>
            <w:vMerge w:val="continue"/>
            <w:tcBorders>
              <w:top w:val="single" w:color="auto" w:sz="4" w:space="0"/>
              <w:left w:val="nil"/>
              <w:bottom w:val="single" w:color="auto" w:sz="4" w:space="0"/>
              <w:right w:val="single" w:color="auto" w:sz="4" w:space="0"/>
            </w:tcBorders>
            <w:vAlign w:val="center"/>
          </w:tcPr>
          <w:p w14:paraId="45D9266C">
            <w:pPr>
              <w:rPr>
                <w:kern w:val="0"/>
                <w:sz w:val="20"/>
                <w:szCs w:val="20"/>
              </w:rPr>
            </w:pPr>
          </w:p>
        </w:tc>
        <w:tc>
          <w:tcPr>
            <w:tcW w:w="3000" w:type="dxa"/>
            <w:vMerge w:val="continue"/>
            <w:tcBorders>
              <w:top w:val="single" w:color="auto" w:sz="4" w:space="0"/>
              <w:left w:val="nil"/>
              <w:bottom w:val="single" w:color="auto" w:sz="4" w:space="0"/>
              <w:right w:val="single" w:color="auto" w:sz="4" w:space="0"/>
            </w:tcBorders>
            <w:vAlign w:val="center"/>
          </w:tcPr>
          <w:p w14:paraId="48C67D7A">
            <w:pPr>
              <w:rPr>
                <w:kern w:val="0"/>
                <w:sz w:val="20"/>
                <w:szCs w:val="20"/>
              </w:rPr>
            </w:pPr>
          </w:p>
        </w:tc>
      </w:tr>
      <w:tr w14:paraId="0F98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259A0376">
            <w:pPr>
              <w:snapToGrid w:val="0"/>
              <w:spacing w:line="288" w:lineRule="auto"/>
              <w:jc w:val="center"/>
              <w:rPr>
                <w:kern w:val="0"/>
                <w:sz w:val="24"/>
              </w:rPr>
            </w:pPr>
            <w:r>
              <w:rPr>
                <w:kern w:val="2"/>
                <w:sz w:val="24"/>
              </w:rPr>
              <w:t>0</w:t>
            </w:r>
          </w:p>
        </w:tc>
        <w:tc>
          <w:tcPr>
            <w:tcW w:w="1695" w:type="dxa"/>
            <w:tcBorders>
              <w:top w:val="single" w:color="auto" w:sz="4" w:space="0"/>
              <w:left w:val="nil"/>
              <w:bottom w:val="single" w:color="auto" w:sz="4" w:space="0"/>
              <w:right w:val="single" w:color="auto" w:sz="4" w:space="0"/>
            </w:tcBorders>
            <w:vAlign w:val="center"/>
          </w:tcPr>
          <w:p w14:paraId="4C652723">
            <w:pPr>
              <w:snapToGrid w:val="0"/>
              <w:spacing w:line="288" w:lineRule="auto"/>
              <w:jc w:val="center"/>
              <w:rPr>
                <w:kern w:val="0"/>
                <w:sz w:val="24"/>
              </w:rPr>
            </w:pPr>
            <w:r>
              <w:rPr>
                <w:rFonts w:ascii="东文宋体" w:hAnsi="东文宋体" w:eastAsia="东文宋体" w:cs="东文宋体"/>
                <w:kern w:val="2"/>
                <w:sz w:val="24"/>
              </w:rPr>
              <w:t>≤</w:t>
            </w:r>
            <w:r>
              <w:rPr>
                <w:kern w:val="2"/>
                <w:sz w:val="24"/>
              </w:rPr>
              <w:t>3</w:t>
            </w:r>
          </w:p>
        </w:tc>
        <w:tc>
          <w:tcPr>
            <w:tcW w:w="2130" w:type="dxa"/>
            <w:tcBorders>
              <w:top w:val="single" w:color="auto" w:sz="4" w:space="0"/>
              <w:left w:val="nil"/>
              <w:bottom w:val="single" w:color="auto" w:sz="4" w:space="0"/>
              <w:right w:val="single" w:color="auto" w:sz="4" w:space="0"/>
            </w:tcBorders>
            <w:vAlign w:val="center"/>
          </w:tcPr>
          <w:p w14:paraId="54336721">
            <w:pPr>
              <w:snapToGrid w:val="0"/>
              <w:spacing w:line="288" w:lineRule="auto"/>
              <w:jc w:val="center"/>
              <w:rPr>
                <w:kern w:val="0"/>
                <w:sz w:val="24"/>
              </w:rPr>
            </w:pPr>
            <w:r>
              <w:rPr>
                <w:rFonts w:ascii="东文宋体" w:hAnsi="东文宋体" w:eastAsia="东文宋体" w:cs="东文宋体"/>
                <w:kern w:val="2"/>
                <w:sz w:val="24"/>
              </w:rPr>
              <w:t>≤</w:t>
            </w:r>
            <w:r>
              <w:rPr>
                <w:kern w:val="2"/>
                <w:sz w:val="24"/>
              </w:rPr>
              <w:t>15</w:t>
            </w:r>
          </w:p>
        </w:tc>
        <w:tc>
          <w:tcPr>
            <w:tcW w:w="3000" w:type="dxa"/>
            <w:tcBorders>
              <w:top w:val="single" w:color="auto" w:sz="4" w:space="0"/>
              <w:left w:val="nil"/>
              <w:bottom w:val="single" w:color="auto" w:sz="4" w:space="0"/>
              <w:right w:val="single" w:color="auto" w:sz="4" w:space="0"/>
            </w:tcBorders>
            <w:vAlign w:val="center"/>
          </w:tcPr>
          <w:p w14:paraId="0378C579">
            <w:pPr>
              <w:snapToGrid w:val="0"/>
              <w:spacing w:line="288" w:lineRule="auto"/>
              <w:jc w:val="left"/>
              <w:rPr>
                <w:kern w:val="0"/>
                <w:sz w:val="24"/>
              </w:rPr>
            </w:pPr>
            <w:r>
              <w:rPr>
                <w:kern w:val="2"/>
                <w:sz w:val="24"/>
              </w:rPr>
              <w:t>符合《生猪屠宰质量管理规范》要求</w:t>
            </w:r>
          </w:p>
        </w:tc>
      </w:tr>
      <w:tr w14:paraId="7F9C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45FDFAF2">
            <w:pPr>
              <w:snapToGrid w:val="0"/>
              <w:spacing w:line="288" w:lineRule="auto"/>
              <w:jc w:val="center"/>
              <w:rPr>
                <w:kern w:val="0"/>
                <w:sz w:val="24"/>
              </w:rPr>
            </w:pPr>
            <w:r>
              <w:rPr>
                <w:rFonts w:ascii="东文宋体" w:hAnsi="东文宋体" w:eastAsia="东文宋体" w:cs="东文宋体"/>
                <w:kern w:val="2"/>
                <w:sz w:val="24"/>
              </w:rPr>
              <w:t>≥</w:t>
            </w:r>
            <w:r>
              <w:rPr>
                <w:kern w:val="2"/>
                <w:sz w:val="24"/>
              </w:rPr>
              <w:t>1</w:t>
            </w:r>
          </w:p>
        </w:tc>
        <w:tc>
          <w:tcPr>
            <w:tcW w:w="1695" w:type="dxa"/>
            <w:tcBorders>
              <w:top w:val="single" w:color="auto" w:sz="4" w:space="0"/>
              <w:left w:val="nil"/>
              <w:bottom w:val="single" w:color="auto" w:sz="4" w:space="0"/>
              <w:right w:val="single" w:color="auto" w:sz="4" w:space="0"/>
            </w:tcBorders>
            <w:vAlign w:val="center"/>
          </w:tcPr>
          <w:p w14:paraId="01D1B743">
            <w:pPr>
              <w:snapToGrid w:val="0"/>
              <w:spacing w:line="288" w:lineRule="auto"/>
              <w:jc w:val="center"/>
              <w:rPr>
                <w:kern w:val="0"/>
                <w:sz w:val="24"/>
              </w:rPr>
            </w:pPr>
            <w:r>
              <w:rPr>
                <w:kern w:val="2"/>
                <w:sz w:val="24"/>
              </w:rPr>
              <w:t>/</w:t>
            </w:r>
          </w:p>
        </w:tc>
        <w:tc>
          <w:tcPr>
            <w:tcW w:w="2130" w:type="dxa"/>
            <w:tcBorders>
              <w:top w:val="single" w:color="auto" w:sz="4" w:space="0"/>
              <w:left w:val="nil"/>
              <w:bottom w:val="single" w:color="auto" w:sz="4" w:space="0"/>
              <w:right w:val="single" w:color="auto" w:sz="4" w:space="0"/>
            </w:tcBorders>
            <w:vAlign w:val="center"/>
          </w:tcPr>
          <w:p w14:paraId="0C419A08">
            <w:pPr>
              <w:snapToGrid w:val="0"/>
              <w:spacing w:line="288" w:lineRule="auto"/>
              <w:jc w:val="center"/>
              <w:rPr>
                <w:kern w:val="0"/>
                <w:sz w:val="24"/>
              </w:rPr>
            </w:pPr>
            <w:r>
              <w:rPr>
                <w:kern w:val="2"/>
                <w:sz w:val="24"/>
              </w:rPr>
              <w:t>/</w:t>
            </w:r>
          </w:p>
        </w:tc>
        <w:tc>
          <w:tcPr>
            <w:tcW w:w="3000" w:type="dxa"/>
            <w:vMerge w:val="restart"/>
            <w:tcBorders>
              <w:top w:val="nil"/>
              <w:left w:val="nil"/>
              <w:bottom w:val="single" w:color="auto" w:sz="4" w:space="0"/>
              <w:right w:val="single" w:color="auto" w:sz="4" w:space="0"/>
            </w:tcBorders>
            <w:vAlign w:val="center"/>
          </w:tcPr>
          <w:p w14:paraId="045B81B8">
            <w:pPr>
              <w:snapToGrid w:val="0"/>
              <w:spacing w:line="288" w:lineRule="auto"/>
              <w:jc w:val="left"/>
              <w:rPr>
                <w:kern w:val="0"/>
                <w:sz w:val="24"/>
              </w:rPr>
            </w:pPr>
            <w:r>
              <w:rPr>
                <w:kern w:val="2"/>
                <w:sz w:val="24"/>
              </w:rPr>
              <w:t>不符合《生猪屠宰质量管理规范》要求</w:t>
            </w:r>
          </w:p>
        </w:tc>
      </w:tr>
      <w:tr w14:paraId="7312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6240EEEC">
            <w:pPr>
              <w:snapToGrid w:val="0"/>
              <w:spacing w:line="288" w:lineRule="auto"/>
              <w:jc w:val="center"/>
              <w:rPr>
                <w:rFonts w:eastAsia="仿宋"/>
                <w:kern w:val="0"/>
                <w:sz w:val="24"/>
              </w:rPr>
            </w:pPr>
            <w:r>
              <w:rPr>
                <w:rFonts w:eastAsia="仿宋"/>
                <w:kern w:val="2"/>
                <w:sz w:val="24"/>
              </w:rPr>
              <w:t>/</w:t>
            </w:r>
          </w:p>
        </w:tc>
        <w:tc>
          <w:tcPr>
            <w:tcW w:w="1695" w:type="dxa"/>
            <w:tcBorders>
              <w:top w:val="single" w:color="auto" w:sz="4" w:space="0"/>
              <w:left w:val="nil"/>
              <w:bottom w:val="single" w:color="auto" w:sz="4" w:space="0"/>
              <w:right w:val="single" w:color="auto" w:sz="4" w:space="0"/>
            </w:tcBorders>
            <w:vAlign w:val="center"/>
          </w:tcPr>
          <w:p w14:paraId="344F202E">
            <w:pPr>
              <w:snapToGrid w:val="0"/>
              <w:spacing w:line="288" w:lineRule="auto"/>
              <w:jc w:val="center"/>
              <w:rPr>
                <w:rFonts w:eastAsia="仿宋"/>
                <w:kern w:val="0"/>
                <w:sz w:val="24"/>
              </w:rPr>
            </w:pPr>
            <w:r>
              <w:rPr>
                <w:rFonts w:ascii="东文宋体" w:hAnsi="东文宋体" w:eastAsia="东文宋体" w:cs="东文宋体"/>
                <w:kern w:val="2"/>
                <w:sz w:val="24"/>
              </w:rPr>
              <w:t>≥</w:t>
            </w:r>
            <w:r>
              <w:rPr>
                <w:rFonts w:eastAsia="仿宋"/>
                <w:kern w:val="2"/>
                <w:sz w:val="24"/>
              </w:rPr>
              <w:t>4</w:t>
            </w:r>
          </w:p>
        </w:tc>
        <w:tc>
          <w:tcPr>
            <w:tcW w:w="2130" w:type="dxa"/>
            <w:tcBorders>
              <w:top w:val="single" w:color="auto" w:sz="4" w:space="0"/>
              <w:left w:val="nil"/>
              <w:bottom w:val="single" w:color="auto" w:sz="4" w:space="0"/>
              <w:right w:val="single" w:color="auto" w:sz="4" w:space="0"/>
            </w:tcBorders>
            <w:vAlign w:val="center"/>
          </w:tcPr>
          <w:p w14:paraId="7BEC1462">
            <w:pPr>
              <w:snapToGrid w:val="0"/>
              <w:spacing w:line="288" w:lineRule="auto"/>
              <w:jc w:val="center"/>
              <w:rPr>
                <w:rFonts w:eastAsia="仿宋"/>
                <w:kern w:val="0"/>
                <w:sz w:val="24"/>
              </w:rPr>
            </w:pPr>
            <w:r>
              <w:rPr>
                <w:rFonts w:eastAsia="仿宋"/>
                <w:kern w:val="2"/>
                <w:sz w:val="24"/>
              </w:rPr>
              <w:t>/</w:t>
            </w:r>
          </w:p>
        </w:tc>
        <w:tc>
          <w:tcPr>
            <w:tcW w:w="3000" w:type="dxa"/>
            <w:vMerge w:val="continue"/>
            <w:tcBorders>
              <w:top w:val="nil"/>
              <w:left w:val="nil"/>
              <w:bottom w:val="single" w:color="auto" w:sz="4" w:space="0"/>
              <w:right w:val="single" w:color="auto" w:sz="4" w:space="0"/>
            </w:tcBorders>
            <w:vAlign w:val="center"/>
          </w:tcPr>
          <w:p w14:paraId="5EF16C2A">
            <w:pPr>
              <w:rPr>
                <w:kern w:val="0"/>
                <w:sz w:val="20"/>
                <w:szCs w:val="20"/>
              </w:rPr>
            </w:pPr>
          </w:p>
        </w:tc>
      </w:tr>
      <w:tr w14:paraId="05CA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62" w:type="dxa"/>
            <w:tcBorders>
              <w:top w:val="single" w:color="auto" w:sz="4" w:space="0"/>
              <w:left w:val="single" w:color="auto" w:sz="4" w:space="0"/>
              <w:bottom w:val="single" w:color="auto" w:sz="4" w:space="0"/>
              <w:right w:val="single" w:color="auto" w:sz="4" w:space="0"/>
            </w:tcBorders>
            <w:vAlign w:val="center"/>
          </w:tcPr>
          <w:p w14:paraId="3558566F">
            <w:pPr>
              <w:snapToGrid w:val="0"/>
              <w:spacing w:line="288" w:lineRule="auto"/>
              <w:jc w:val="center"/>
              <w:rPr>
                <w:rFonts w:eastAsia="仿宋"/>
                <w:kern w:val="0"/>
                <w:sz w:val="24"/>
              </w:rPr>
            </w:pPr>
            <w:r>
              <w:rPr>
                <w:rFonts w:eastAsia="仿宋"/>
                <w:kern w:val="2"/>
                <w:sz w:val="24"/>
              </w:rPr>
              <w:t>/</w:t>
            </w:r>
          </w:p>
        </w:tc>
        <w:tc>
          <w:tcPr>
            <w:tcW w:w="1695" w:type="dxa"/>
            <w:tcBorders>
              <w:top w:val="single" w:color="auto" w:sz="4" w:space="0"/>
              <w:left w:val="nil"/>
              <w:bottom w:val="single" w:color="auto" w:sz="4" w:space="0"/>
              <w:right w:val="single" w:color="auto" w:sz="4" w:space="0"/>
            </w:tcBorders>
            <w:vAlign w:val="center"/>
          </w:tcPr>
          <w:p w14:paraId="69ECA866">
            <w:pPr>
              <w:snapToGrid w:val="0"/>
              <w:spacing w:line="288" w:lineRule="auto"/>
              <w:jc w:val="center"/>
              <w:rPr>
                <w:rFonts w:eastAsia="仿宋"/>
                <w:kern w:val="0"/>
                <w:sz w:val="24"/>
              </w:rPr>
            </w:pPr>
            <w:r>
              <w:rPr>
                <w:rFonts w:eastAsia="仿宋"/>
                <w:kern w:val="2"/>
                <w:sz w:val="24"/>
              </w:rPr>
              <w:t>/</w:t>
            </w:r>
          </w:p>
        </w:tc>
        <w:tc>
          <w:tcPr>
            <w:tcW w:w="2130" w:type="dxa"/>
            <w:tcBorders>
              <w:top w:val="single" w:color="auto" w:sz="4" w:space="0"/>
              <w:left w:val="nil"/>
              <w:bottom w:val="single" w:color="auto" w:sz="4" w:space="0"/>
              <w:right w:val="single" w:color="auto" w:sz="4" w:space="0"/>
            </w:tcBorders>
            <w:vAlign w:val="center"/>
          </w:tcPr>
          <w:p w14:paraId="1F0E7375">
            <w:pPr>
              <w:snapToGrid w:val="0"/>
              <w:spacing w:line="288" w:lineRule="auto"/>
              <w:jc w:val="center"/>
              <w:rPr>
                <w:rFonts w:eastAsia="仿宋"/>
                <w:kern w:val="0"/>
                <w:sz w:val="24"/>
              </w:rPr>
            </w:pPr>
            <w:r>
              <w:rPr>
                <w:rFonts w:ascii="东文宋体" w:hAnsi="东文宋体" w:eastAsia="东文宋体" w:cs="东文宋体"/>
                <w:kern w:val="2"/>
                <w:sz w:val="24"/>
              </w:rPr>
              <w:t>≥</w:t>
            </w:r>
            <w:r>
              <w:rPr>
                <w:rFonts w:eastAsia="仿宋"/>
                <w:kern w:val="2"/>
                <w:sz w:val="24"/>
              </w:rPr>
              <w:t>16</w:t>
            </w:r>
          </w:p>
        </w:tc>
        <w:tc>
          <w:tcPr>
            <w:tcW w:w="3000" w:type="dxa"/>
            <w:vMerge w:val="continue"/>
            <w:tcBorders>
              <w:top w:val="nil"/>
              <w:left w:val="nil"/>
              <w:bottom w:val="single" w:color="auto" w:sz="4" w:space="0"/>
              <w:right w:val="single" w:color="auto" w:sz="4" w:space="0"/>
            </w:tcBorders>
            <w:vAlign w:val="center"/>
          </w:tcPr>
          <w:p w14:paraId="1A054A58">
            <w:pPr>
              <w:rPr>
                <w:kern w:val="0"/>
                <w:sz w:val="20"/>
                <w:szCs w:val="20"/>
              </w:rPr>
            </w:pPr>
          </w:p>
        </w:tc>
      </w:tr>
    </w:tbl>
    <w:p w14:paraId="25648EC9">
      <w:pPr>
        <w:pStyle w:val="12"/>
        <w:numPr>
          <w:ilvl w:val="0"/>
          <w:numId w:val="1"/>
        </w:numPr>
        <w:autoSpaceDE w:val="0"/>
        <w:spacing w:line="560" w:lineRule="exact"/>
        <w:ind w:firstLine="640" w:firstLineChars="200"/>
        <w:rPr>
          <w:rFonts w:ascii="Times New Roman" w:hAnsi="Times New Roman" w:eastAsia="黑体"/>
          <w:sz w:val="32"/>
          <w:szCs w:val="32"/>
        </w:rPr>
      </w:pPr>
      <w:r>
        <w:rPr>
          <w:rFonts w:ascii="黑体" w:hAnsi="宋体" w:eastAsia="黑体" w:cs="黑体"/>
          <w:sz w:val="32"/>
          <w:szCs w:val="32"/>
        </w:rPr>
        <w:t>有关要求</w:t>
      </w:r>
      <w:r>
        <w:rPr>
          <w:rFonts w:ascii="Times New Roman" w:hAnsi="Times New Roman" w:eastAsia="黑体"/>
          <w:sz w:val="32"/>
          <w:szCs w:val="32"/>
        </w:rPr>
        <w:t xml:space="preserve"> </w:t>
      </w:r>
    </w:p>
    <w:p w14:paraId="4FBE5142">
      <w:pPr>
        <w:pStyle w:val="12"/>
        <w:widowControl/>
        <w:snapToGrid w:val="0"/>
        <w:spacing w:line="560" w:lineRule="exact"/>
        <w:ind w:firstLine="640" w:firstLineChars="200"/>
        <w:rPr>
          <w:szCs w:val="21"/>
        </w:rPr>
      </w:pPr>
      <w:r>
        <w:rPr>
          <w:rFonts w:ascii="仿宋_GB2312" w:hAnsi="Times New Roman" w:eastAsia="仿宋_GB2312" w:cs="仿宋_GB2312"/>
          <w:sz w:val="32"/>
          <w:szCs w:val="32"/>
        </w:rPr>
        <w:t>生猪定点屠宰厂（场）应严格执行《生猪屠宰质量管理规范》要求，坚持诚实守信，禁止任何虚假、欺骗行为。如在检查中发现生猪定点屠宰厂（场）存在虚假、欺骗行为的，则不再继续进行现场检查，检查结论为</w:t>
      </w:r>
      <w:r>
        <w:rPr>
          <w:rFonts w:ascii="Times New Roman" w:hAnsi="Times New Roman" w:eastAsia="仿宋_GB2312"/>
          <w:sz w:val="32"/>
          <w:szCs w:val="32"/>
        </w:rPr>
        <w:t>“</w:t>
      </w:r>
      <w:r>
        <w:rPr>
          <w:rFonts w:ascii="仿宋_GB2312" w:hAnsi="Times New Roman" w:eastAsia="仿宋_GB2312" w:cs="仿宋_GB2312"/>
          <w:sz w:val="32"/>
          <w:szCs w:val="32"/>
        </w:rPr>
        <w:t>不符合《生猪屠宰质量管理规范》要求</w:t>
      </w:r>
      <w:r>
        <w:rPr>
          <w:rFonts w:ascii="Times New Roman" w:hAnsi="Times New Roman" w:eastAsia="仿宋_GB2312"/>
          <w:sz w:val="32"/>
          <w:szCs w:val="32"/>
        </w:rPr>
        <w:t>”</w:t>
      </w:r>
      <w:r>
        <w:rPr>
          <w:rFonts w:ascii="仿宋_GB2312" w:hAnsi="Times New Roman" w:eastAsia="仿宋_GB2312" w:cs="仿宋_GB2312"/>
          <w:sz w:val="32"/>
          <w:szCs w:val="32"/>
        </w:rPr>
        <w:t>。检查组应保留相关虚假、欺骗行为的证据。</w:t>
      </w:r>
    </w:p>
    <w:p w14:paraId="26299A54">
      <w:pPr>
        <w:pStyle w:val="17"/>
        <w:spacing w:line="620" w:lineRule="exact"/>
        <w:rPr>
          <w:rFonts w:ascii="Times New Roman" w:hAnsi="Times New Roman" w:eastAsia="仿宋_GB2312"/>
          <w:sz w:val="32"/>
          <w:szCs w:val="32"/>
        </w:rPr>
      </w:pPr>
      <w:r>
        <w:rPr>
          <w:rFonts w:ascii="Times New Roman" w:hAnsi="Times New Roman" w:eastAsia="仿宋_GB2312"/>
          <w:sz w:val="32"/>
          <w:szCs w:val="32"/>
        </w:rPr>
        <w:t xml:space="preserve">             </w:t>
      </w:r>
    </w:p>
    <w:p w14:paraId="5466425D">
      <w:pPr>
        <w:pStyle w:val="17"/>
        <w:spacing w:line="620" w:lineRule="exact"/>
        <w:rPr>
          <w:rFonts w:ascii="仿宋" w:hAnsi="仿宋" w:eastAsia="仿宋" w:cs="仿宋"/>
          <w:sz w:val="32"/>
          <w:szCs w:val="32"/>
        </w:rPr>
      </w:pPr>
      <w:r>
        <w:rPr>
          <w:rFonts w:ascii="Times New Roman" w:hAnsi="Times New Roman" w:eastAsia="仿宋_GB2312"/>
          <w:sz w:val="32"/>
          <w:szCs w:val="32"/>
        </w:rPr>
        <w:t xml:space="preserve">                                  </w:t>
      </w:r>
    </w:p>
    <w:p w14:paraId="5961FA45">
      <w:pPr>
        <w:pStyle w:val="17"/>
        <w:jc w:val="right"/>
      </w:pPr>
    </w:p>
    <w:p w14:paraId="59CE0189">
      <w:pPr>
        <w:pStyle w:val="17"/>
        <w:widowControl/>
      </w:pPr>
      <w:r>
        <w:t xml:space="preserve"> </w:t>
      </w:r>
    </w:p>
    <w:p w14:paraId="52351632">
      <w:pPr>
        <w:pStyle w:val="17"/>
        <w:widowControl/>
      </w:pPr>
      <w:r>
        <w:t xml:space="preserve"> </w:t>
      </w:r>
    </w:p>
    <w:p w14:paraId="209208E6">
      <w:pPr>
        <w:pStyle w:val="12"/>
        <w:rPr>
          <w:rFonts w:ascii="仿宋_GB2312" w:hAnsi="Times New Roman" w:eastAsia="仿宋_GB2312" w:cs="仿宋_GB2312"/>
          <w:sz w:val="32"/>
          <w:szCs w:val="32"/>
        </w:rPr>
        <w:sectPr>
          <w:footerReference r:id="rId3" w:type="default"/>
          <w:pgSz w:w="11906" w:h="16838"/>
          <w:pgMar w:top="1440" w:right="1800" w:bottom="1440" w:left="1800" w:header="851" w:footer="992" w:gutter="0"/>
          <w:pgNumType w:fmt="numberInDash"/>
          <w:cols w:space="708" w:num="1"/>
          <w:docGrid w:type="lines" w:linePitch="312" w:charSpace="0"/>
        </w:sectPr>
      </w:pPr>
    </w:p>
    <w:p w14:paraId="1AA44144">
      <w:pPr>
        <w:pStyle w:val="17"/>
        <w:jc w:val="left"/>
        <w:rPr>
          <w:rFonts w:ascii="黑体" w:hAnsi="黑体" w:eastAsia="黑体" w:cs="黑体"/>
          <w:sz w:val="32"/>
          <w:szCs w:val="32"/>
        </w:rPr>
      </w:pPr>
      <w:r>
        <w:rPr>
          <w:rFonts w:hint="eastAsia" w:ascii="黑体" w:hAnsi="黑体" w:eastAsia="黑体" w:cs="黑体"/>
          <w:sz w:val="32"/>
          <w:szCs w:val="32"/>
        </w:rPr>
        <w:t>附件2</w:t>
      </w:r>
    </w:p>
    <w:p w14:paraId="10FB14DE">
      <w:pPr>
        <w:pStyle w:val="17"/>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xx市推进《生猪屠宰质量管理规范》工作方案（格式）</w:t>
      </w:r>
    </w:p>
    <w:p w14:paraId="1FA89D9C">
      <w:pPr>
        <w:pStyle w:val="17"/>
        <w:ind w:firstLine="800"/>
        <w:jc w:val="center"/>
        <w:rPr>
          <w:rFonts w:ascii="华文中宋" w:hAnsi="华文中宋" w:eastAsia="华文中宋" w:cs="华文中宋"/>
          <w:sz w:val="40"/>
          <w:szCs w:val="40"/>
        </w:rPr>
      </w:pPr>
      <w:r>
        <w:rPr>
          <w:rFonts w:ascii="华文中宋" w:hAnsi="华文中宋" w:eastAsia="华文中宋" w:cs="华文中宋"/>
          <w:sz w:val="40"/>
          <w:szCs w:val="40"/>
        </w:rPr>
        <w:t xml:space="preserve"> </w:t>
      </w:r>
    </w:p>
    <w:p w14:paraId="76DDC40A">
      <w:pPr>
        <w:pStyle w:val="17"/>
        <w:ind w:firstLine="640" w:firstLineChars="200"/>
        <w:jc w:val="left"/>
        <w:rPr>
          <w:rFonts w:ascii="Times New Roman" w:hAnsi="Times New Roman" w:eastAsia="仿宋_GB2312"/>
          <w:sz w:val="32"/>
          <w:szCs w:val="32"/>
        </w:rPr>
      </w:pPr>
      <w:r>
        <w:rPr>
          <w:rFonts w:ascii="黑体" w:hAnsi="宋体" w:eastAsia="黑体" w:cs="黑体"/>
          <w:sz w:val="32"/>
          <w:szCs w:val="32"/>
        </w:rPr>
        <w:t>一、市生猪屠宰行业基本情况</w:t>
      </w:r>
    </w:p>
    <w:tbl>
      <w:tblPr>
        <w:tblStyle w:val="19"/>
        <w:tblW w:w="13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3"/>
        <w:gridCol w:w="1759"/>
        <w:gridCol w:w="1810"/>
        <w:gridCol w:w="2650"/>
        <w:gridCol w:w="2849"/>
        <w:gridCol w:w="2547"/>
      </w:tblGrid>
      <w:tr w14:paraId="5407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1623" w:type="dxa"/>
            <w:vMerge w:val="restart"/>
            <w:tcBorders>
              <w:top w:val="single" w:color="auto" w:sz="4" w:space="0"/>
              <w:left w:val="single" w:color="auto" w:sz="4" w:space="0"/>
              <w:bottom w:val="single" w:color="auto" w:sz="4" w:space="0"/>
              <w:right w:val="single" w:color="auto" w:sz="4" w:space="0"/>
            </w:tcBorders>
            <w:vAlign w:val="center"/>
          </w:tcPr>
          <w:p w14:paraId="4A4BADEC">
            <w:pPr>
              <w:jc w:val="center"/>
              <w:rPr>
                <w:kern w:val="0"/>
                <w:sz w:val="28"/>
                <w:szCs w:val="28"/>
              </w:rPr>
            </w:pPr>
            <w:r>
              <w:rPr>
                <w:kern w:val="2"/>
                <w:sz w:val="28"/>
                <w:szCs w:val="28"/>
              </w:rPr>
              <w:t>县（市、区）</w:t>
            </w:r>
          </w:p>
        </w:tc>
        <w:tc>
          <w:tcPr>
            <w:tcW w:w="3569" w:type="dxa"/>
            <w:gridSpan w:val="2"/>
            <w:tcBorders>
              <w:top w:val="single" w:color="auto" w:sz="4" w:space="0"/>
              <w:left w:val="nil"/>
              <w:bottom w:val="single" w:color="auto" w:sz="4" w:space="0"/>
              <w:right w:val="single" w:color="auto" w:sz="4" w:space="0"/>
            </w:tcBorders>
            <w:vAlign w:val="center"/>
          </w:tcPr>
          <w:p w14:paraId="6954CF55">
            <w:pPr>
              <w:jc w:val="center"/>
              <w:rPr>
                <w:kern w:val="0"/>
                <w:sz w:val="28"/>
                <w:szCs w:val="28"/>
              </w:rPr>
            </w:pPr>
            <w:r>
              <w:rPr>
                <w:kern w:val="2"/>
                <w:sz w:val="28"/>
                <w:szCs w:val="28"/>
              </w:rPr>
              <w:t>生猪定点屠宰厂（场）数量（个）</w:t>
            </w:r>
          </w:p>
        </w:tc>
        <w:tc>
          <w:tcPr>
            <w:tcW w:w="2650" w:type="dxa"/>
            <w:vMerge w:val="restart"/>
            <w:tcBorders>
              <w:top w:val="single" w:color="auto" w:sz="4" w:space="0"/>
              <w:left w:val="nil"/>
              <w:bottom w:val="single" w:color="auto" w:sz="4" w:space="0"/>
              <w:right w:val="single" w:color="auto" w:sz="4" w:space="0"/>
            </w:tcBorders>
            <w:vAlign w:val="center"/>
          </w:tcPr>
          <w:p w14:paraId="0762147B">
            <w:pPr>
              <w:jc w:val="center"/>
              <w:rPr>
                <w:kern w:val="0"/>
                <w:sz w:val="28"/>
                <w:szCs w:val="28"/>
              </w:rPr>
            </w:pPr>
            <w:r>
              <w:rPr>
                <w:kern w:val="2"/>
                <w:sz w:val="28"/>
                <w:szCs w:val="28"/>
              </w:rPr>
              <w:t>2023</w:t>
            </w:r>
            <w:r>
              <w:rPr>
                <w:rFonts w:ascii="仿宋_GB2312" w:cs="仿宋_GB2312"/>
                <w:kern w:val="2"/>
                <w:sz w:val="28"/>
                <w:szCs w:val="28"/>
              </w:rPr>
              <w:t>年实际生猪屠宰量（万头）</w:t>
            </w:r>
          </w:p>
        </w:tc>
        <w:tc>
          <w:tcPr>
            <w:tcW w:w="2849" w:type="dxa"/>
            <w:vMerge w:val="restart"/>
            <w:tcBorders>
              <w:top w:val="single" w:color="auto" w:sz="4" w:space="0"/>
              <w:left w:val="nil"/>
              <w:bottom w:val="single" w:color="auto" w:sz="4" w:space="0"/>
              <w:right w:val="single" w:color="auto" w:sz="4" w:space="0"/>
            </w:tcBorders>
            <w:vAlign w:val="center"/>
          </w:tcPr>
          <w:p w14:paraId="1025315F">
            <w:pPr>
              <w:jc w:val="center"/>
              <w:rPr>
                <w:kern w:val="0"/>
                <w:sz w:val="28"/>
                <w:szCs w:val="28"/>
              </w:rPr>
            </w:pPr>
            <w:r>
              <w:rPr>
                <w:kern w:val="2"/>
                <w:sz w:val="28"/>
                <w:szCs w:val="28"/>
              </w:rPr>
              <w:t>2023</w:t>
            </w:r>
            <w:r>
              <w:rPr>
                <w:rFonts w:ascii="仿宋_GB2312" w:cs="仿宋_GB2312"/>
                <w:kern w:val="2"/>
                <w:sz w:val="28"/>
                <w:szCs w:val="28"/>
              </w:rPr>
              <w:t>年年产生鲜肉（万吨）</w:t>
            </w:r>
          </w:p>
        </w:tc>
        <w:tc>
          <w:tcPr>
            <w:tcW w:w="2547" w:type="dxa"/>
            <w:vMerge w:val="restart"/>
            <w:tcBorders>
              <w:top w:val="single" w:color="auto" w:sz="4" w:space="0"/>
              <w:left w:val="nil"/>
              <w:bottom w:val="single" w:color="auto" w:sz="4" w:space="0"/>
              <w:right w:val="single" w:color="auto" w:sz="4" w:space="0"/>
            </w:tcBorders>
            <w:vAlign w:val="center"/>
          </w:tcPr>
          <w:p w14:paraId="27DF694F">
            <w:pPr>
              <w:jc w:val="center"/>
              <w:rPr>
                <w:kern w:val="0"/>
                <w:sz w:val="28"/>
                <w:szCs w:val="28"/>
              </w:rPr>
            </w:pPr>
            <w:r>
              <w:rPr>
                <w:kern w:val="2"/>
                <w:sz w:val="28"/>
                <w:szCs w:val="28"/>
              </w:rPr>
              <w:t>设计年屠宰量（万头/</w:t>
            </w:r>
            <w:r>
              <w:rPr>
                <w:rFonts w:ascii="仿宋_GB2312" w:cs="仿宋_GB2312"/>
                <w:kern w:val="2"/>
                <w:sz w:val="28"/>
                <w:szCs w:val="28"/>
              </w:rPr>
              <w:t>年）</w:t>
            </w:r>
          </w:p>
        </w:tc>
      </w:tr>
      <w:tr w14:paraId="159C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1623" w:type="dxa"/>
            <w:vMerge w:val="continue"/>
            <w:tcBorders>
              <w:top w:val="single" w:color="auto" w:sz="4" w:space="0"/>
              <w:left w:val="single" w:color="auto" w:sz="4" w:space="0"/>
              <w:bottom w:val="single" w:color="auto" w:sz="4" w:space="0"/>
              <w:right w:val="single" w:color="auto" w:sz="4" w:space="0"/>
            </w:tcBorders>
            <w:vAlign w:val="center"/>
          </w:tcPr>
          <w:p w14:paraId="4DBDE8B4">
            <w:pPr>
              <w:rPr>
                <w:kern w:val="0"/>
                <w:sz w:val="20"/>
                <w:szCs w:val="20"/>
              </w:rPr>
            </w:pPr>
          </w:p>
        </w:tc>
        <w:tc>
          <w:tcPr>
            <w:tcW w:w="1759" w:type="dxa"/>
            <w:tcBorders>
              <w:top w:val="single" w:color="auto" w:sz="4" w:space="0"/>
              <w:left w:val="nil"/>
              <w:bottom w:val="single" w:color="auto" w:sz="4" w:space="0"/>
              <w:right w:val="single" w:color="auto" w:sz="4" w:space="0"/>
            </w:tcBorders>
            <w:vAlign w:val="center"/>
          </w:tcPr>
          <w:p w14:paraId="5FA1A69C">
            <w:pPr>
              <w:jc w:val="center"/>
              <w:rPr>
                <w:kern w:val="0"/>
                <w:sz w:val="28"/>
                <w:szCs w:val="28"/>
              </w:rPr>
            </w:pPr>
            <w:r>
              <w:rPr>
                <w:kern w:val="2"/>
                <w:sz w:val="28"/>
                <w:szCs w:val="28"/>
              </w:rPr>
              <w:t>A</w:t>
            </w:r>
            <w:r>
              <w:rPr>
                <w:rFonts w:ascii="仿宋_GB2312" w:cs="仿宋_GB2312"/>
                <w:kern w:val="2"/>
                <w:sz w:val="28"/>
                <w:szCs w:val="28"/>
              </w:rPr>
              <w:t>证</w:t>
            </w:r>
          </w:p>
        </w:tc>
        <w:tc>
          <w:tcPr>
            <w:tcW w:w="1810" w:type="dxa"/>
            <w:tcBorders>
              <w:top w:val="single" w:color="auto" w:sz="4" w:space="0"/>
              <w:left w:val="nil"/>
              <w:bottom w:val="single" w:color="auto" w:sz="4" w:space="0"/>
              <w:right w:val="single" w:color="auto" w:sz="4" w:space="0"/>
            </w:tcBorders>
            <w:vAlign w:val="center"/>
          </w:tcPr>
          <w:p w14:paraId="2A2A6D35">
            <w:pPr>
              <w:jc w:val="center"/>
              <w:rPr>
                <w:kern w:val="0"/>
                <w:sz w:val="28"/>
                <w:szCs w:val="28"/>
              </w:rPr>
            </w:pPr>
            <w:r>
              <w:rPr>
                <w:kern w:val="2"/>
                <w:sz w:val="28"/>
                <w:szCs w:val="28"/>
              </w:rPr>
              <w:t>B</w:t>
            </w:r>
            <w:r>
              <w:rPr>
                <w:rFonts w:ascii="仿宋_GB2312" w:cs="仿宋_GB2312"/>
                <w:kern w:val="2"/>
                <w:sz w:val="28"/>
                <w:szCs w:val="28"/>
              </w:rPr>
              <w:t>证</w:t>
            </w:r>
          </w:p>
        </w:tc>
        <w:tc>
          <w:tcPr>
            <w:tcW w:w="2650" w:type="dxa"/>
            <w:vMerge w:val="continue"/>
            <w:tcBorders>
              <w:top w:val="single" w:color="auto" w:sz="4" w:space="0"/>
              <w:left w:val="nil"/>
              <w:bottom w:val="single" w:color="auto" w:sz="4" w:space="0"/>
              <w:right w:val="single" w:color="auto" w:sz="4" w:space="0"/>
            </w:tcBorders>
            <w:vAlign w:val="center"/>
          </w:tcPr>
          <w:p w14:paraId="1BF5ADC0">
            <w:pPr>
              <w:rPr>
                <w:kern w:val="0"/>
                <w:sz w:val="20"/>
                <w:szCs w:val="20"/>
              </w:rPr>
            </w:pPr>
          </w:p>
        </w:tc>
        <w:tc>
          <w:tcPr>
            <w:tcW w:w="2849" w:type="dxa"/>
            <w:vMerge w:val="continue"/>
            <w:tcBorders>
              <w:top w:val="single" w:color="auto" w:sz="4" w:space="0"/>
              <w:left w:val="nil"/>
              <w:bottom w:val="single" w:color="auto" w:sz="4" w:space="0"/>
              <w:right w:val="single" w:color="auto" w:sz="4" w:space="0"/>
            </w:tcBorders>
            <w:vAlign w:val="center"/>
          </w:tcPr>
          <w:p w14:paraId="5E84E9AF">
            <w:pPr>
              <w:rPr>
                <w:kern w:val="0"/>
                <w:sz w:val="20"/>
                <w:szCs w:val="20"/>
              </w:rPr>
            </w:pPr>
          </w:p>
        </w:tc>
        <w:tc>
          <w:tcPr>
            <w:tcW w:w="2547" w:type="dxa"/>
            <w:vMerge w:val="continue"/>
            <w:tcBorders>
              <w:top w:val="single" w:color="auto" w:sz="4" w:space="0"/>
              <w:left w:val="nil"/>
              <w:bottom w:val="single" w:color="auto" w:sz="4" w:space="0"/>
              <w:right w:val="single" w:color="auto" w:sz="4" w:space="0"/>
            </w:tcBorders>
            <w:vAlign w:val="center"/>
          </w:tcPr>
          <w:p w14:paraId="45642862">
            <w:pPr>
              <w:rPr>
                <w:kern w:val="0"/>
                <w:sz w:val="20"/>
                <w:szCs w:val="20"/>
              </w:rPr>
            </w:pPr>
          </w:p>
        </w:tc>
      </w:tr>
      <w:tr w14:paraId="13FD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623" w:type="dxa"/>
            <w:tcBorders>
              <w:top w:val="single" w:color="auto" w:sz="4" w:space="0"/>
              <w:left w:val="single" w:color="auto" w:sz="4" w:space="0"/>
              <w:bottom w:val="single" w:color="auto" w:sz="4" w:space="0"/>
              <w:right w:val="single" w:color="auto" w:sz="4" w:space="0"/>
            </w:tcBorders>
          </w:tcPr>
          <w:p w14:paraId="513383FE">
            <w:pPr>
              <w:jc w:val="left"/>
              <w:rPr>
                <w:kern w:val="0"/>
                <w:szCs w:val="32"/>
              </w:rPr>
            </w:pPr>
          </w:p>
        </w:tc>
        <w:tc>
          <w:tcPr>
            <w:tcW w:w="1759" w:type="dxa"/>
            <w:tcBorders>
              <w:top w:val="single" w:color="auto" w:sz="4" w:space="0"/>
              <w:left w:val="nil"/>
              <w:bottom w:val="single" w:color="auto" w:sz="4" w:space="0"/>
              <w:right w:val="single" w:color="auto" w:sz="4" w:space="0"/>
            </w:tcBorders>
          </w:tcPr>
          <w:p w14:paraId="6B9DA629">
            <w:pPr>
              <w:jc w:val="left"/>
              <w:rPr>
                <w:kern w:val="0"/>
                <w:szCs w:val="32"/>
              </w:rPr>
            </w:pPr>
          </w:p>
        </w:tc>
        <w:tc>
          <w:tcPr>
            <w:tcW w:w="1810" w:type="dxa"/>
            <w:tcBorders>
              <w:top w:val="single" w:color="auto" w:sz="4" w:space="0"/>
              <w:left w:val="nil"/>
              <w:bottom w:val="single" w:color="auto" w:sz="4" w:space="0"/>
              <w:right w:val="single" w:color="auto" w:sz="4" w:space="0"/>
            </w:tcBorders>
          </w:tcPr>
          <w:p w14:paraId="09115512">
            <w:pPr>
              <w:jc w:val="left"/>
              <w:rPr>
                <w:kern w:val="0"/>
                <w:szCs w:val="32"/>
              </w:rPr>
            </w:pPr>
          </w:p>
        </w:tc>
        <w:tc>
          <w:tcPr>
            <w:tcW w:w="2650" w:type="dxa"/>
            <w:tcBorders>
              <w:top w:val="single" w:color="auto" w:sz="4" w:space="0"/>
              <w:left w:val="nil"/>
              <w:bottom w:val="single" w:color="auto" w:sz="4" w:space="0"/>
              <w:right w:val="single" w:color="auto" w:sz="4" w:space="0"/>
            </w:tcBorders>
          </w:tcPr>
          <w:p w14:paraId="1B9B7856">
            <w:pPr>
              <w:jc w:val="left"/>
              <w:rPr>
                <w:kern w:val="0"/>
                <w:szCs w:val="32"/>
              </w:rPr>
            </w:pPr>
          </w:p>
        </w:tc>
        <w:tc>
          <w:tcPr>
            <w:tcW w:w="2849" w:type="dxa"/>
            <w:tcBorders>
              <w:top w:val="single" w:color="auto" w:sz="4" w:space="0"/>
              <w:left w:val="nil"/>
              <w:bottom w:val="single" w:color="auto" w:sz="4" w:space="0"/>
              <w:right w:val="single" w:color="auto" w:sz="4" w:space="0"/>
            </w:tcBorders>
          </w:tcPr>
          <w:p w14:paraId="6B969870">
            <w:pPr>
              <w:jc w:val="left"/>
              <w:rPr>
                <w:kern w:val="0"/>
                <w:szCs w:val="32"/>
              </w:rPr>
            </w:pPr>
          </w:p>
        </w:tc>
        <w:tc>
          <w:tcPr>
            <w:tcW w:w="2547" w:type="dxa"/>
            <w:tcBorders>
              <w:top w:val="single" w:color="auto" w:sz="4" w:space="0"/>
              <w:left w:val="nil"/>
              <w:bottom w:val="single" w:color="auto" w:sz="4" w:space="0"/>
              <w:right w:val="single" w:color="auto" w:sz="4" w:space="0"/>
            </w:tcBorders>
          </w:tcPr>
          <w:p w14:paraId="161B4587">
            <w:pPr>
              <w:jc w:val="left"/>
              <w:rPr>
                <w:kern w:val="0"/>
                <w:szCs w:val="32"/>
              </w:rPr>
            </w:pPr>
          </w:p>
        </w:tc>
      </w:tr>
      <w:tr w14:paraId="218B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623" w:type="dxa"/>
            <w:tcBorders>
              <w:top w:val="single" w:color="auto" w:sz="4" w:space="0"/>
              <w:left w:val="single" w:color="auto" w:sz="4" w:space="0"/>
              <w:bottom w:val="single" w:color="auto" w:sz="4" w:space="0"/>
              <w:right w:val="single" w:color="auto" w:sz="4" w:space="0"/>
            </w:tcBorders>
          </w:tcPr>
          <w:p w14:paraId="267AF951">
            <w:pPr>
              <w:jc w:val="left"/>
              <w:rPr>
                <w:kern w:val="0"/>
                <w:szCs w:val="32"/>
              </w:rPr>
            </w:pPr>
          </w:p>
        </w:tc>
        <w:tc>
          <w:tcPr>
            <w:tcW w:w="1759" w:type="dxa"/>
            <w:tcBorders>
              <w:top w:val="single" w:color="auto" w:sz="4" w:space="0"/>
              <w:left w:val="nil"/>
              <w:bottom w:val="single" w:color="auto" w:sz="4" w:space="0"/>
              <w:right w:val="single" w:color="auto" w:sz="4" w:space="0"/>
            </w:tcBorders>
          </w:tcPr>
          <w:p w14:paraId="3D89C819">
            <w:pPr>
              <w:jc w:val="left"/>
              <w:rPr>
                <w:kern w:val="0"/>
                <w:szCs w:val="32"/>
              </w:rPr>
            </w:pPr>
          </w:p>
        </w:tc>
        <w:tc>
          <w:tcPr>
            <w:tcW w:w="1810" w:type="dxa"/>
            <w:tcBorders>
              <w:top w:val="single" w:color="auto" w:sz="4" w:space="0"/>
              <w:left w:val="nil"/>
              <w:bottom w:val="single" w:color="auto" w:sz="4" w:space="0"/>
              <w:right w:val="single" w:color="auto" w:sz="4" w:space="0"/>
            </w:tcBorders>
          </w:tcPr>
          <w:p w14:paraId="5404C814">
            <w:pPr>
              <w:jc w:val="left"/>
              <w:rPr>
                <w:kern w:val="0"/>
                <w:szCs w:val="32"/>
              </w:rPr>
            </w:pPr>
          </w:p>
        </w:tc>
        <w:tc>
          <w:tcPr>
            <w:tcW w:w="2650" w:type="dxa"/>
            <w:tcBorders>
              <w:top w:val="single" w:color="auto" w:sz="4" w:space="0"/>
              <w:left w:val="nil"/>
              <w:bottom w:val="single" w:color="auto" w:sz="4" w:space="0"/>
              <w:right w:val="single" w:color="auto" w:sz="4" w:space="0"/>
            </w:tcBorders>
          </w:tcPr>
          <w:p w14:paraId="23984A94">
            <w:pPr>
              <w:jc w:val="left"/>
              <w:rPr>
                <w:kern w:val="0"/>
                <w:szCs w:val="32"/>
              </w:rPr>
            </w:pPr>
          </w:p>
        </w:tc>
        <w:tc>
          <w:tcPr>
            <w:tcW w:w="2849" w:type="dxa"/>
            <w:tcBorders>
              <w:top w:val="single" w:color="auto" w:sz="4" w:space="0"/>
              <w:left w:val="nil"/>
              <w:bottom w:val="single" w:color="auto" w:sz="4" w:space="0"/>
              <w:right w:val="single" w:color="auto" w:sz="4" w:space="0"/>
            </w:tcBorders>
          </w:tcPr>
          <w:p w14:paraId="19EA9C32">
            <w:pPr>
              <w:jc w:val="left"/>
              <w:rPr>
                <w:kern w:val="0"/>
                <w:szCs w:val="32"/>
              </w:rPr>
            </w:pPr>
          </w:p>
        </w:tc>
        <w:tc>
          <w:tcPr>
            <w:tcW w:w="2547" w:type="dxa"/>
            <w:tcBorders>
              <w:top w:val="single" w:color="auto" w:sz="4" w:space="0"/>
              <w:left w:val="nil"/>
              <w:bottom w:val="single" w:color="auto" w:sz="4" w:space="0"/>
              <w:right w:val="single" w:color="auto" w:sz="4" w:space="0"/>
            </w:tcBorders>
          </w:tcPr>
          <w:p w14:paraId="77F63506">
            <w:pPr>
              <w:jc w:val="left"/>
              <w:rPr>
                <w:kern w:val="0"/>
                <w:szCs w:val="32"/>
              </w:rPr>
            </w:pPr>
          </w:p>
        </w:tc>
      </w:tr>
    </w:tbl>
    <w:p w14:paraId="307555F0">
      <w:pPr>
        <w:pStyle w:val="17"/>
        <w:ind w:firstLine="640" w:firstLineChars="200"/>
        <w:jc w:val="left"/>
        <w:rPr>
          <w:rFonts w:ascii="黑体" w:hAnsi="宋体" w:eastAsia="黑体" w:cs="黑体"/>
          <w:sz w:val="32"/>
          <w:szCs w:val="32"/>
        </w:rPr>
      </w:pPr>
    </w:p>
    <w:p w14:paraId="2C683EBE">
      <w:pPr>
        <w:pStyle w:val="17"/>
        <w:ind w:firstLine="640" w:firstLineChars="200"/>
        <w:jc w:val="left"/>
        <w:rPr>
          <w:rFonts w:ascii="Times New Roman" w:hAnsi="Times New Roman" w:eastAsia="仿宋_GB2312"/>
          <w:sz w:val="32"/>
          <w:szCs w:val="32"/>
        </w:rPr>
      </w:pPr>
      <w:r>
        <w:rPr>
          <w:rFonts w:ascii="黑体" w:hAnsi="宋体" w:eastAsia="黑体" w:cs="黑体"/>
          <w:sz w:val="32"/>
          <w:szCs w:val="32"/>
        </w:rPr>
        <w:t>二、全市推进《生猪屠宰质量管理规范》计划时间表</w:t>
      </w:r>
    </w:p>
    <w:tbl>
      <w:tblPr>
        <w:tblStyle w:val="1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855"/>
        <w:gridCol w:w="855"/>
        <w:gridCol w:w="855"/>
        <w:gridCol w:w="855"/>
        <w:gridCol w:w="855"/>
        <w:gridCol w:w="855"/>
        <w:gridCol w:w="855"/>
        <w:gridCol w:w="855"/>
        <w:gridCol w:w="855"/>
        <w:gridCol w:w="855"/>
        <w:gridCol w:w="856"/>
        <w:gridCol w:w="856"/>
        <w:gridCol w:w="856"/>
        <w:gridCol w:w="856"/>
        <w:gridCol w:w="856"/>
        <w:gridCol w:w="430"/>
      </w:tblGrid>
      <w:tr w14:paraId="638D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vMerge w:val="restart"/>
            <w:tcBorders>
              <w:top w:val="single" w:color="auto" w:sz="4" w:space="0"/>
              <w:left w:val="single" w:color="auto" w:sz="4" w:space="0"/>
              <w:bottom w:val="single" w:color="auto" w:sz="4" w:space="0"/>
              <w:right w:val="single" w:color="auto" w:sz="4" w:space="0"/>
            </w:tcBorders>
            <w:vAlign w:val="center"/>
          </w:tcPr>
          <w:p w14:paraId="0813895D">
            <w:pPr>
              <w:autoSpaceDE w:val="0"/>
              <w:spacing w:line="260" w:lineRule="exact"/>
              <w:jc w:val="center"/>
              <w:rPr>
                <w:rFonts w:ascii="仿宋" w:hAnsi="仿宋" w:eastAsia="仿宋" w:cs="仿宋"/>
                <w:kern w:val="0"/>
                <w:sz w:val="22"/>
                <w:szCs w:val="22"/>
              </w:rPr>
            </w:pPr>
            <w:r>
              <w:rPr>
                <w:kern w:val="2"/>
                <w:sz w:val="24"/>
              </w:rPr>
              <w:t>县（市、区）</w:t>
            </w:r>
          </w:p>
        </w:tc>
        <w:tc>
          <w:tcPr>
            <w:tcW w:w="855" w:type="dxa"/>
            <w:vMerge w:val="restart"/>
            <w:tcBorders>
              <w:top w:val="single" w:color="auto" w:sz="4" w:space="0"/>
              <w:left w:val="nil"/>
              <w:bottom w:val="single" w:color="auto" w:sz="4" w:space="0"/>
              <w:right w:val="single" w:color="auto" w:sz="4" w:space="0"/>
            </w:tcBorders>
            <w:vAlign w:val="center"/>
          </w:tcPr>
          <w:p w14:paraId="0F46545C">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生猪定点屠宰厂（场）数量</w:t>
            </w:r>
          </w:p>
        </w:tc>
        <w:tc>
          <w:tcPr>
            <w:tcW w:w="2565" w:type="dxa"/>
            <w:gridSpan w:val="3"/>
            <w:tcBorders>
              <w:top w:val="single" w:color="auto" w:sz="4" w:space="0"/>
              <w:left w:val="nil"/>
              <w:bottom w:val="single" w:color="auto" w:sz="4" w:space="0"/>
              <w:right w:val="single" w:color="auto" w:sz="4" w:space="0"/>
            </w:tcBorders>
            <w:vAlign w:val="center"/>
          </w:tcPr>
          <w:p w14:paraId="2E75E817">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基本符合《规范》要求，计划2024年4月底前提出接受检查申请的</w:t>
            </w:r>
          </w:p>
        </w:tc>
        <w:tc>
          <w:tcPr>
            <w:tcW w:w="2565" w:type="dxa"/>
            <w:gridSpan w:val="3"/>
            <w:tcBorders>
              <w:top w:val="single" w:color="auto" w:sz="4" w:space="0"/>
              <w:left w:val="nil"/>
              <w:bottom w:val="single" w:color="auto" w:sz="4" w:space="0"/>
              <w:right w:val="single" w:color="auto" w:sz="4" w:space="0"/>
            </w:tcBorders>
            <w:vAlign w:val="center"/>
          </w:tcPr>
          <w:p w14:paraId="4BC62F8B">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计划2024年8月底前完成技术改造，并提出接受检查申请的</w:t>
            </w:r>
          </w:p>
        </w:tc>
        <w:tc>
          <w:tcPr>
            <w:tcW w:w="2565" w:type="dxa"/>
            <w:gridSpan w:val="3"/>
            <w:tcBorders>
              <w:top w:val="single" w:color="auto" w:sz="4" w:space="0"/>
              <w:left w:val="nil"/>
              <w:bottom w:val="single" w:color="auto" w:sz="4" w:space="0"/>
              <w:right w:val="single" w:color="auto" w:sz="4" w:space="0"/>
            </w:tcBorders>
            <w:vAlign w:val="center"/>
          </w:tcPr>
          <w:p w14:paraId="011B399E">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计划2024年11月底前完成技术改造，并提出接受检查申请的</w:t>
            </w:r>
          </w:p>
        </w:tc>
        <w:tc>
          <w:tcPr>
            <w:tcW w:w="2568" w:type="dxa"/>
            <w:gridSpan w:val="3"/>
            <w:tcBorders>
              <w:top w:val="single" w:color="auto" w:sz="4" w:space="0"/>
              <w:left w:val="nil"/>
              <w:bottom w:val="single" w:color="auto" w:sz="4" w:space="0"/>
              <w:right w:val="single" w:color="auto" w:sz="4" w:space="0"/>
            </w:tcBorders>
            <w:vAlign w:val="center"/>
          </w:tcPr>
          <w:p w14:paraId="02A9E1C6">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计划2025年3月底前完成技术改造，并提出接受检查申请的</w:t>
            </w:r>
          </w:p>
        </w:tc>
        <w:tc>
          <w:tcPr>
            <w:tcW w:w="2142" w:type="dxa"/>
            <w:gridSpan w:val="3"/>
            <w:tcBorders>
              <w:top w:val="single" w:color="auto" w:sz="4" w:space="0"/>
              <w:left w:val="nil"/>
              <w:bottom w:val="single" w:color="auto" w:sz="4" w:space="0"/>
              <w:right w:val="single" w:color="auto" w:sz="4" w:space="0"/>
            </w:tcBorders>
            <w:vAlign w:val="center"/>
          </w:tcPr>
          <w:p w14:paraId="2F576376">
            <w:pPr>
              <w:autoSpaceDE w:val="0"/>
              <w:spacing w:line="260" w:lineRule="exact"/>
              <w:rPr>
                <w:rFonts w:ascii="仿宋" w:hAnsi="仿宋" w:eastAsia="仿宋" w:cs="仿宋"/>
                <w:kern w:val="0"/>
                <w:sz w:val="22"/>
                <w:szCs w:val="22"/>
              </w:rPr>
            </w:pPr>
            <w:r>
              <w:rPr>
                <w:rFonts w:ascii="仿宋" w:hAnsi="仿宋" w:eastAsia="仿宋" w:cs="仿宋"/>
                <w:kern w:val="2"/>
                <w:sz w:val="22"/>
                <w:szCs w:val="22"/>
              </w:rPr>
              <w:t>基础条件差、不愿意改造的</w:t>
            </w:r>
          </w:p>
        </w:tc>
      </w:tr>
      <w:tr w14:paraId="4612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914" w:type="dxa"/>
            <w:vMerge w:val="continue"/>
            <w:tcBorders>
              <w:top w:val="single" w:color="auto" w:sz="4" w:space="0"/>
              <w:left w:val="single" w:color="auto" w:sz="4" w:space="0"/>
              <w:bottom w:val="single" w:color="auto" w:sz="4" w:space="0"/>
              <w:right w:val="single" w:color="auto" w:sz="4" w:space="0"/>
            </w:tcBorders>
            <w:vAlign w:val="center"/>
          </w:tcPr>
          <w:p w14:paraId="170BD70D">
            <w:pPr>
              <w:rPr>
                <w:kern w:val="0"/>
                <w:sz w:val="20"/>
                <w:szCs w:val="20"/>
              </w:rPr>
            </w:pPr>
          </w:p>
        </w:tc>
        <w:tc>
          <w:tcPr>
            <w:tcW w:w="855" w:type="dxa"/>
            <w:vMerge w:val="continue"/>
            <w:tcBorders>
              <w:top w:val="single" w:color="auto" w:sz="4" w:space="0"/>
              <w:left w:val="nil"/>
              <w:bottom w:val="single" w:color="auto" w:sz="4" w:space="0"/>
              <w:right w:val="single" w:color="auto" w:sz="4" w:space="0"/>
            </w:tcBorders>
            <w:vAlign w:val="center"/>
          </w:tcPr>
          <w:p w14:paraId="63232317">
            <w:pPr>
              <w:rPr>
                <w:kern w:val="0"/>
                <w:sz w:val="20"/>
                <w:szCs w:val="20"/>
              </w:rPr>
            </w:pPr>
          </w:p>
        </w:tc>
        <w:tc>
          <w:tcPr>
            <w:tcW w:w="855" w:type="dxa"/>
            <w:tcBorders>
              <w:top w:val="single" w:color="auto" w:sz="4" w:space="0"/>
              <w:left w:val="nil"/>
              <w:bottom w:val="single" w:color="auto" w:sz="4" w:space="0"/>
              <w:right w:val="single" w:color="auto" w:sz="4" w:space="0"/>
            </w:tcBorders>
            <w:vAlign w:val="center"/>
          </w:tcPr>
          <w:p w14:paraId="21BB177B">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年实际屠宰15万头（含）以上厂（场）数</w:t>
            </w:r>
          </w:p>
        </w:tc>
        <w:tc>
          <w:tcPr>
            <w:tcW w:w="855" w:type="dxa"/>
            <w:tcBorders>
              <w:top w:val="single" w:color="auto" w:sz="4" w:space="0"/>
              <w:left w:val="nil"/>
              <w:bottom w:val="single" w:color="auto" w:sz="4" w:space="0"/>
              <w:right w:val="single" w:color="auto" w:sz="4" w:space="0"/>
            </w:tcBorders>
            <w:vAlign w:val="center"/>
          </w:tcPr>
          <w:p w14:paraId="7EA7ACBB">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年实际屠宰2万（含）-15万头厂（场）数</w:t>
            </w:r>
          </w:p>
        </w:tc>
        <w:tc>
          <w:tcPr>
            <w:tcW w:w="855" w:type="dxa"/>
            <w:tcBorders>
              <w:top w:val="single" w:color="auto" w:sz="4" w:space="0"/>
              <w:left w:val="nil"/>
              <w:bottom w:val="single" w:color="auto" w:sz="4" w:space="0"/>
              <w:right w:val="single" w:color="auto" w:sz="4" w:space="0"/>
            </w:tcBorders>
            <w:vAlign w:val="center"/>
          </w:tcPr>
          <w:p w14:paraId="7AC3A9F4">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年实际屠宰2万头以下厂（场）数</w:t>
            </w:r>
          </w:p>
        </w:tc>
        <w:tc>
          <w:tcPr>
            <w:tcW w:w="855" w:type="dxa"/>
            <w:tcBorders>
              <w:top w:val="single" w:color="auto" w:sz="4" w:space="0"/>
              <w:left w:val="nil"/>
              <w:bottom w:val="single" w:color="auto" w:sz="4" w:space="0"/>
              <w:right w:val="single" w:color="auto" w:sz="4" w:space="0"/>
            </w:tcBorders>
            <w:vAlign w:val="center"/>
          </w:tcPr>
          <w:p w14:paraId="19B2D16D">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年实际屠宰15万头（含）以上厂（场）数</w:t>
            </w:r>
          </w:p>
        </w:tc>
        <w:tc>
          <w:tcPr>
            <w:tcW w:w="855" w:type="dxa"/>
            <w:tcBorders>
              <w:top w:val="single" w:color="auto" w:sz="4" w:space="0"/>
              <w:left w:val="nil"/>
              <w:bottom w:val="single" w:color="auto" w:sz="4" w:space="0"/>
              <w:right w:val="single" w:color="auto" w:sz="4" w:space="0"/>
            </w:tcBorders>
            <w:vAlign w:val="center"/>
          </w:tcPr>
          <w:p w14:paraId="2570BE22">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年实际屠宰2万（含）-15万头厂（场）数</w:t>
            </w:r>
          </w:p>
        </w:tc>
        <w:tc>
          <w:tcPr>
            <w:tcW w:w="855" w:type="dxa"/>
            <w:tcBorders>
              <w:top w:val="single" w:color="auto" w:sz="4" w:space="0"/>
              <w:left w:val="nil"/>
              <w:bottom w:val="single" w:color="auto" w:sz="4" w:space="0"/>
              <w:right w:val="single" w:color="auto" w:sz="4" w:space="0"/>
            </w:tcBorders>
            <w:vAlign w:val="center"/>
          </w:tcPr>
          <w:p w14:paraId="45FB893D">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年实际屠宰2万头以下厂（场）数</w:t>
            </w:r>
          </w:p>
        </w:tc>
        <w:tc>
          <w:tcPr>
            <w:tcW w:w="855" w:type="dxa"/>
            <w:tcBorders>
              <w:top w:val="single" w:color="auto" w:sz="4" w:space="0"/>
              <w:left w:val="nil"/>
              <w:bottom w:val="single" w:color="auto" w:sz="4" w:space="0"/>
              <w:right w:val="single" w:color="auto" w:sz="4" w:space="0"/>
            </w:tcBorders>
            <w:vAlign w:val="center"/>
          </w:tcPr>
          <w:p w14:paraId="636916E9">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年实际屠宰15万头（含）以上厂（场）数</w:t>
            </w:r>
          </w:p>
        </w:tc>
        <w:tc>
          <w:tcPr>
            <w:tcW w:w="855" w:type="dxa"/>
            <w:tcBorders>
              <w:top w:val="single" w:color="auto" w:sz="4" w:space="0"/>
              <w:left w:val="nil"/>
              <w:bottom w:val="single" w:color="auto" w:sz="4" w:space="0"/>
              <w:right w:val="single" w:color="auto" w:sz="4" w:space="0"/>
            </w:tcBorders>
            <w:vAlign w:val="center"/>
          </w:tcPr>
          <w:p w14:paraId="418DF74F">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年实际屠宰2万（含）-15万头厂（场）数</w:t>
            </w:r>
          </w:p>
        </w:tc>
        <w:tc>
          <w:tcPr>
            <w:tcW w:w="855" w:type="dxa"/>
            <w:tcBorders>
              <w:top w:val="single" w:color="auto" w:sz="4" w:space="0"/>
              <w:left w:val="nil"/>
              <w:bottom w:val="single" w:color="auto" w:sz="4" w:space="0"/>
              <w:right w:val="single" w:color="auto" w:sz="4" w:space="0"/>
            </w:tcBorders>
            <w:vAlign w:val="center"/>
          </w:tcPr>
          <w:p w14:paraId="6F407EF0">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年实际屠宰2万头以下厂（场）数</w:t>
            </w:r>
          </w:p>
        </w:tc>
        <w:tc>
          <w:tcPr>
            <w:tcW w:w="856" w:type="dxa"/>
            <w:tcBorders>
              <w:top w:val="single" w:color="auto" w:sz="4" w:space="0"/>
              <w:left w:val="nil"/>
              <w:bottom w:val="single" w:color="auto" w:sz="4" w:space="0"/>
              <w:right w:val="single" w:color="auto" w:sz="4" w:space="0"/>
            </w:tcBorders>
            <w:vAlign w:val="center"/>
          </w:tcPr>
          <w:p w14:paraId="5D6D36C5">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年实际屠宰15万头（含）以上厂（场）数</w:t>
            </w:r>
          </w:p>
        </w:tc>
        <w:tc>
          <w:tcPr>
            <w:tcW w:w="856" w:type="dxa"/>
            <w:tcBorders>
              <w:top w:val="single" w:color="auto" w:sz="4" w:space="0"/>
              <w:left w:val="nil"/>
              <w:bottom w:val="single" w:color="auto" w:sz="4" w:space="0"/>
              <w:right w:val="single" w:color="auto" w:sz="4" w:space="0"/>
            </w:tcBorders>
            <w:vAlign w:val="center"/>
          </w:tcPr>
          <w:p w14:paraId="4BA82852">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年实际屠宰2万（含）-15万头厂（场）数</w:t>
            </w:r>
          </w:p>
        </w:tc>
        <w:tc>
          <w:tcPr>
            <w:tcW w:w="856" w:type="dxa"/>
            <w:tcBorders>
              <w:top w:val="single" w:color="auto" w:sz="4" w:space="0"/>
              <w:left w:val="nil"/>
              <w:bottom w:val="single" w:color="auto" w:sz="4" w:space="0"/>
              <w:right w:val="single" w:color="auto" w:sz="4" w:space="0"/>
            </w:tcBorders>
            <w:vAlign w:val="center"/>
          </w:tcPr>
          <w:p w14:paraId="270FA480">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年实际屠宰2万头以下厂（场）数</w:t>
            </w:r>
          </w:p>
        </w:tc>
        <w:tc>
          <w:tcPr>
            <w:tcW w:w="856" w:type="dxa"/>
            <w:tcBorders>
              <w:top w:val="single" w:color="auto" w:sz="4" w:space="0"/>
              <w:left w:val="nil"/>
              <w:bottom w:val="single" w:color="auto" w:sz="4" w:space="0"/>
              <w:right w:val="single" w:color="auto" w:sz="4" w:space="0"/>
            </w:tcBorders>
            <w:vAlign w:val="center"/>
          </w:tcPr>
          <w:p w14:paraId="3A3F0CD9">
            <w:pPr>
              <w:autoSpaceDE w:val="0"/>
              <w:spacing w:line="230" w:lineRule="exact"/>
              <w:rPr>
                <w:rFonts w:ascii="仿宋" w:hAnsi="仿宋" w:eastAsia="仿宋" w:cs="仿宋"/>
                <w:kern w:val="0"/>
                <w:sz w:val="22"/>
                <w:szCs w:val="22"/>
              </w:rPr>
            </w:pPr>
            <w:r>
              <w:rPr>
                <w:rFonts w:ascii="仿宋" w:hAnsi="仿宋" w:eastAsia="仿宋" w:cs="仿宋"/>
                <w:kern w:val="2"/>
                <w:sz w:val="22"/>
                <w:szCs w:val="22"/>
              </w:rPr>
              <w:t>有退出屠宰行业意愿的厂（场）数</w:t>
            </w:r>
          </w:p>
        </w:tc>
        <w:tc>
          <w:tcPr>
            <w:tcW w:w="856" w:type="dxa"/>
            <w:tcBorders>
              <w:top w:val="single" w:color="auto" w:sz="4" w:space="0"/>
              <w:left w:val="nil"/>
              <w:bottom w:val="single" w:color="auto" w:sz="4" w:space="0"/>
              <w:right w:val="single" w:color="auto" w:sz="4" w:space="0"/>
            </w:tcBorders>
            <w:vAlign w:val="center"/>
          </w:tcPr>
          <w:p w14:paraId="2642F9DD">
            <w:pPr>
              <w:autoSpaceDE w:val="0"/>
              <w:spacing w:line="230" w:lineRule="exact"/>
              <w:jc w:val="center"/>
              <w:rPr>
                <w:rFonts w:ascii="仿宋" w:hAnsi="仿宋" w:eastAsia="仿宋" w:cs="仿宋"/>
                <w:kern w:val="0"/>
                <w:sz w:val="22"/>
                <w:szCs w:val="22"/>
              </w:rPr>
            </w:pPr>
            <w:r>
              <w:rPr>
                <w:rFonts w:ascii="仿宋" w:hAnsi="仿宋" w:eastAsia="仿宋" w:cs="仿宋"/>
                <w:kern w:val="2"/>
                <w:sz w:val="22"/>
                <w:szCs w:val="22"/>
              </w:rPr>
              <w:t>计划与大型屠宰企业联合合作的厂（场）数</w:t>
            </w:r>
          </w:p>
        </w:tc>
        <w:tc>
          <w:tcPr>
            <w:tcW w:w="430" w:type="dxa"/>
            <w:tcBorders>
              <w:top w:val="single" w:color="auto" w:sz="4" w:space="0"/>
              <w:left w:val="nil"/>
              <w:bottom w:val="single" w:color="auto" w:sz="4" w:space="0"/>
              <w:right w:val="single" w:color="auto" w:sz="4" w:space="0"/>
            </w:tcBorders>
            <w:vAlign w:val="center"/>
          </w:tcPr>
          <w:p w14:paraId="755FEC0E">
            <w:pPr>
              <w:autoSpaceDE w:val="0"/>
              <w:spacing w:line="230" w:lineRule="exact"/>
              <w:jc w:val="center"/>
              <w:rPr>
                <w:rFonts w:ascii="仿宋" w:hAnsi="仿宋" w:eastAsia="仿宋" w:cs="仿宋"/>
                <w:kern w:val="0"/>
                <w:sz w:val="22"/>
                <w:szCs w:val="22"/>
              </w:rPr>
            </w:pPr>
            <w:r>
              <w:rPr>
                <w:rFonts w:ascii="仿宋" w:hAnsi="仿宋" w:eastAsia="仿宋" w:cs="仿宋"/>
                <w:kern w:val="2"/>
                <w:sz w:val="22"/>
                <w:szCs w:val="22"/>
              </w:rPr>
              <w:t>其他</w:t>
            </w:r>
          </w:p>
        </w:tc>
      </w:tr>
      <w:tr w14:paraId="6D33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4" w:type="dxa"/>
            <w:tcBorders>
              <w:top w:val="single" w:color="auto" w:sz="4" w:space="0"/>
              <w:left w:val="single" w:color="auto" w:sz="4" w:space="0"/>
              <w:bottom w:val="single" w:color="auto" w:sz="4" w:space="0"/>
              <w:right w:val="single" w:color="auto" w:sz="4" w:space="0"/>
            </w:tcBorders>
          </w:tcPr>
          <w:p w14:paraId="359C73E6">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1D707B17">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19DEF023">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03228583">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1F5DF99B">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05011BEF">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5FBDE28E">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6A2A6D1D">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3675E2CA">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0ACF1D72">
            <w:pPr>
              <w:autoSpaceDE w:val="0"/>
              <w:spacing w:line="260" w:lineRule="exact"/>
              <w:rPr>
                <w:rFonts w:ascii="仿宋" w:hAnsi="仿宋" w:eastAsia="仿宋" w:cs="仿宋"/>
                <w:kern w:val="0"/>
                <w:szCs w:val="32"/>
              </w:rPr>
            </w:pPr>
          </w:p>
        </w:tc>
        <w:tc>
          <w:tcPr>
            <w:tcW w:w="855" w:type="dxa"/>
            <w:tcBorders>
              <w:top w:val="single" w:color="auto" w:sz="4" w:space="0"/>
              <w:left w:val="nil"/>
              <w:bottom w:val="single" w:color="auto" w:sz="4" w:space="0"/>
              <w:right w:val="single" w:color="auto" w:sz="4" w:space="0"/>
            </w:tcBorders>
          </w:tcPr>
          <w:p w14:paraId="3FB01A91">
            <w:pPr>
              <w:autoSpaceDE w:val="0"/>
              <w:spacing w:line="260" w:lineRule="exact"/>
              <w:rPr>
                <w:rFonts w:ascii="仿宋" w:hAnsi="仿宋" w:eastAsia="仿宋" w:cs="仿宋"/>
                <w:kern w:val="0"/>
                <w:szCs w:val="32"/>
              </w:rPr>
            </w:pPr>
          </w:p>
        </w:tc>
        <w:tc>
          <w:tcPr>
            <w:tcW w:w="856" w:type="dxa"/>
            <w:tcBorders>
              <w:top w:val="single" w:color="auto" w:sz="4" w:space="0"/>
              <w:left w:val="nil"/>
              <w:bottom w:val="single" w:color="auto" w:sz="4" w:space="0"/>
              <w:right w:val="single" w:color="auto" w:sz="4" w:space="0"/>
            </w:tcBorders>
          </w:tcPr>
          <w:p w14:paraId="58E71B4D">
            <w:pPr>
              <w:autoSpaceDE w:val="0"/>
              <w:spacing w:line="260" w:lineRule="exact"/>
              <w:rPr>
                <w:rFonts w:ascii="仿宋" w:hAnsi="仿宋" w:eastAsia="仿宋" w:cs="仿宋"/>
                <w:kern w:val="0"/>
                <w:szCs w:val="32"/>
              </w:rPr>
            </w:pPr>
          </w:p>
        </w:tc>
        <w:tc>
          <w:tcPr>
            <w:tcW w:w="856" w:type="dxa"/>
            <w:tcBorders>
              <w:top w:val="single" w:color="auto" w:sz="4" w:space="0"/>
              <w:left w:val="nil"/>
              <w:bottom w:val="single" w:color="auto" w:sz="4" w:space="0"/>
              <w:right w:val="single" w:color="auto" w:sz="4" w:space="0"/>
            </w:tcBorders>
          </w:tcPr>
          <w:p w14:paraId="19570654">
            <w:pPr>
              <w:autoSpaceDE w:val="0"/>
              <w:spacing w:line="260" w:lineRule="exact"/>
              <w:rPr>
                <w:rFonts w:ascii="仿宋" w:hAnsi="仿宋" w:eastAsia="仿宋" w:cs="仿宋"/>
                <w:kern w:val="0"/>
                <w:szCs w:val="32"/>
              </w:rPr>
            </w:pPr>
          </w:p>
        </w:tc>
        <w:tc>
          <w:tcPr>
            <w:tcW w:w="856" w:type="dxa"/>
            <w:tcBorders>
              <w:top w:val="single" w:color="auto" w:sz="4" w:space="0"/>
              <w:left w:val="nil"/>
              <w:bottom w:val="single" w:color="auto" w:sz="4" w:space="0"/>
              <w:right w:val="single" w:color="auto" w:sz="4" w:space="0"/>
            </w:tcBorders>
          </w:tcPr>
          <w:p w14:paraId="670BF773">
            <w:pPr>
              <w:autoSpaceDE w:val="0"/>
              <w:spacing w:line="260" w:lineRule="exact"/>
              <w:rPr>
                <w:rFonts w:ascii="仿宋" w:hAnsi="仿宋" w:eastAsia="仿宋" w:cs="仿宋"/>
                <w:kern w:val="0"/>
                <w:szCs w:val="32"/>
              </w:rPr>
            </w:pPr>
          </w:p>
        </w:tc>
        <w:tc>
          <w:tcPr>
            <w:tcW w:w="856" w:type="dxa"/>
            <w:tcBorders>
              <w:top w:val="single" w:color="auto" w:sz="4" w:space="0"/>
              <w:left w:val="nil"/>
              <w:bottom w:val="single" w:color="auto" w:sz="4" w:space="0"/>
              <w:right w:val="single" w:color="auto" w:sz="4" w:space="0"/>
            </w:tcBorders>
          </w:tcPr>
          <w:p w14:paraId="1AA60266">
            <w:pPr>
              <w:autoSpaceDE w:val="0"/>
              <w:spacing w:line="260" w:lineRule="exact"/>
              <w:rPr>
                <w:rFonts w:ascii="仿宋" w:hAnsi="仿宋" w:eastAsia="仿宋" w:cs="仿宋"/>
                <w:kern w:val="0"/>
                <w:szCs w:val="32"/>
              </w:rPr>
            </w:pPr>
          </w:p>
        </w:tc>
        <w:tc>
          <w:tcPr>
            <w:tcW w:w="856" w:type="dxa"/>
            <w:tcBorders>
              <w:top w:val="single" w:color="auto" w:sz="4" w:space="0"/>
              <w:left w:val="nil"/>
              <w:bottom w:val="single" w:color="auto" w:sz="4" w:space="0"/>
              <w:right w:val="single" w:color="auto" w:sz="4" w:space="0"/>
            </w:tcBorders>
          </w:tcPr>
          <w:p w14:paraId="21575C6D">
            <w:pPr>
              <w:autoSpaceDE w:val="0"/>
              <w:spacing w:line="260" w:lineRule="exact"/>
              <w:rPr>
                <w:rFonts w:ascii="仿宋" w:hAnsi="仿宋" w:eastAsia="仿宋" w:cs="仿宋"/>
                <w:kern w:val="0"/>
                <w:sz w:val="22"/>
                <w:szCs w:val="22"/>
              </w:rPr>
            </w:pPr>
          </w:p>
        </w:tc>
        <w:tc>
          <w:tcPr>
            <w:tcW w:w="430" w:type="dxa"/>
            <w:tcBorders>
              <w:top w:val="single" w:color="auto" w:sz="4" w:space="0"/>
              <w:left w:val="nil"/>
              <w:bottom w:val="single" w:color="auto" w:sz="4" w:space="0"/>
              <w:right w:val="single" w:color="auto" w:sz="4" w:space="0"/>
            </w:tcBorders>
            <w:vAlign w:val="center"/>
          </w:tcPr>
          <w:p w14:paraId="3F98F1A9">
            <w:pPr>
              <w:autoSpaceDE w:val="0"/>
              <w:spacing w:line="260" w:lineRule="exact"/>
              <w:jc w:val="center"/>
              <w:rPr>
                <w:rFonts w:ascii="仿宋" w:hAnsi="仿宋" w:eastAsia="仿宋" w:cs="仿宋"/>
                <w:kern w:val="0"/>
                <w:sz w:val="22"/>
                <w:szCs w:val="22"/>
              </w:rPr>
            </w:pPr>
            <w:r>
              <w:rPr>
                <w:rFonts w:ascii="仿宋" w:hAnsi="仿宋" w:eastAsia="仿宋" w:cs="仿宋"/>
                <w:kern w:val="2"/>
                <w:sz w:val="22"/>
                <w:szCs w:val="22"/>
              </w:rPr>
              <w:t>需注明具体情况</w:t>
            </w:r>
          </w:p>
        </w:tc>
      </w:tr>
    </w:tbl>
    <w:p w14:paraId="0BBFAAD0">
      <w:pPr>
        <w:pStyle w:val="17"/>
        <w:jc w:val="left"/>
        <w:rPr>
          <w:rFonts w:ascii="黑体" w:hAnsi="宋体" w:eastAsia="黑体" w:cs="黑体"/>
          <w:sz w:val="32"/>
          <w:szCs w:val="32"/>
        </w:rPr>
      </w:pPr>
      <w:r>
        <w:rPr>
          <w:rFonts w:ascii="黑体" w:hAnsi="宋体" w:eastAsia="黑体" w:cs="黑体"/>
          <w:sz w:val="32"/>
          <w:szCs w:val="32"/>
        </w:rPr>
        <w:t xml:space="preserve">    三、推进《生猪屠宰质量管理规范》重点任务、保障措施</w:t>
      </w:r>
    </w:p>
    <w:p w14:paraId="5A7C1A21">
      <w:pPr>
        <w:pStyle w:val="17"/>
        <w:jc w:val="left"/>
        <w:rPr>
          <w:rFonts w:ascii="黑体" w:hAnsi="宋体" w:eastAsia="黑体" w:cs="黑体"/>
          <w:sz w:val="32"/>
          <w:szCs w:val="32"/>
        </w:rPr>
      </w:pPr>
      <w:r>
        <w:rPr>
          <w:rFonts w:ascii="黑体" w:hAnsi="宋体" w:eastAsia="黑体" w:cs="黑体"/>
          <w:sz w:val="32"/>
          <w:szCs w:val="32"/>
        </w:rPr>
        <w:t xml:space="preserve">    四、推进《生猪屠宰质量管理规范》领导小组、工作小组名单及责任分工，明确办公室及办公室主任、联络员名单及联系方式。</w:t>
      </w:r>
    </w:p>
    <w:p w14:paraId="3BEB6E37">
      <w:pPr>
        <w:pStyle w:val="17"/>
        <w:jc w:val="left"/>
        <w:rPr>
          <w:rFonts w:ascii="黑体" w:hAnsi="宋体" w:eastAsia="黑体" w:cs="黑体"/>
          <w:sz w:val="32"/>
          <w:szCs w:val="32"/>
        </w:rPr>
      </w:pPr>
      <w:r>
        <w:rPr>
          <w:rFonts w:ascii="黑体" w:hAnsi="宋体" w:eastAsia="黑体" w:cs="黑体"/>
          <w:sz w:val="32"/>
          <w:szCs w:val="32"/>
        </w:rPr>
        <w:t xml:space="preserve">   </w:t>
      </w:r>
    </w:p>
    <w:p w14:paraId="63CD19F6">
      <w:pPr>
        <w:pStyle w:val="17"/>
        <w:jc w:val="left"/>
        <w:rPr>
          <w:rFonts w:ascii="黑体" w:hAnsi="宋体" w:eastAsia="黑体" w:cs="黑体"/>
          <w:sz w:val="32"/>
          <w:szCs w:val="32"/>
        </w:rPr>
      </w:pPr>
      <w:r>
        <w:rPr>
          <w:rFonts w:ascii="黑体" w:hAnsi="宋体" w:eastAsia="黑体" w:cs="黑体"/>
          <w:sz w:val="32"/>
          <w:szCs w:val="32"/>
        </w:rPr>
        <w:t xml:space="preserve"> 五、《生猪屠宰质量管理规范》指导服务专家组</w:t>
      </w:r>
    </w:p>
    <w:tbl>
      <w:tblPr>
        <w:tblStyle w:val="1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0"/>
        <w:gridCol w:w="4155"/>
        <w:gridCol w:w="6239"/>
      </w:tblGrid>
      <w:tr w14:paraId="6A60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top w:val="single" w:color="auto" w:sz="4" w:space="0"/>
              <w:left w:val="single" w:color="auto" w:sz="4" w:space="0"/>
              <w:bottom w:val="single" w:color="auto" w:sz="4" w:space="0"/>
              <w:right w:val="single" w:color="auto" w:sz="4" w:space="0"/>
            </w:tcBorders>
          </w:tcPr>
          <w:p w14:paraId="52887FB5">
            <w:pPr>
              <w:jc w:val="center"/>
              <w:rPr>
                <w:kern w:val="0"/>
                <w:sz w:val="28"/>
                <w:szCs w:val="28"/>
              </w:rPr>
            </w:pPr>
            <w:r>
              <w:rPr>
                <w:kern w:val="2"/>
                <w:sz w:val="28"/>
                <w:szCs w:val="28"/>
              </w:rPr>
              <w:t>县（市、区）</w:t>
            </w:r>
          </w:p>
        </w:tc>
        <w:tc>
          <w:tcPr>
            <w:tcW w:w="4155" w:type="dxa"/>
            <w:tcBorders>
              <w:top w:val="single" w:color="auto" w:sz="4" w:space="0"/>
              <w:left w:val="nil"/>
              <w:bottom w:val="single" w:color="auto" w:sz="4" w:space="0"/>
              <w:right w:val="single" w:color="auto" w:sz="4" w:space="0"/>
            </w:tcBorders>
          </w:tcPr>
          <w:p w14:paraId="03F36F9D">
            <w:pPr>
              <w:jc w:val="center"/>
              <w:rPr>
                <w:kern w:val="0"/>
                <w:sz w:val="28"/>
                <w:szCs w:val="28"/>
              </w:rPr>
            </w:pPr>
            <w:r>
              <w:rPr>
                <w:kern w:val="2"/>
                <w:sz w:val="28"/>
                <w:szCs w:val="28"/>
              </w:rPr>
              <w:t>生猪定点屠宰厂（场）</w:t>
            </w:r>
          </w:p>
        </w:tc>
        <w:tc>
          <w:tcPr>
            <w:tcW w:w="6239" w:type="dxa"/>
            <w:tcBorders>
              <w:top w:val="single" w:color="auto" w:sz="4" w:space="0"/>
              <w:left w:val="nil"/>
              <w:bottom w:val="single" w:color="auto" w:sz="4" w:space="0"/>
              <w:right w:val="single" w:color="auto" w:sz="4" w:space="0"/>
            </w:tcBorders>
          </w:tcPr>
          <w:p w14:paraId="3D6C3642">
            <w:pPr>
              <w:jc w:val="center"/>
              <w:rPr>
                <w:kern w:val="0"/>
                <w:sz w:val="28"/>
                <w:szCs w:val="28"/>
              </w:rPr>
            </w:pPr>
            <w:r>
              <w:rPr>
                <w:kern w:val="2"/>
                <w:sz w:val="28"/>
                <w:szCs w:val="28"/>
              </w:rPr>
              <w:t>指导服务专家成员及联系方式</w:t>
            </w:r>
          </w:p>
        </w:tc>
      </w:tr>
      <w:tr w14:paraId="053F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top w:val="single" w:color="auto" w:sz="4" w:space="0"/>
              <w:left w:val="single" w:color="auto" w:sz="4" w:space="0"/>
              <w:bottom w:val="single" w:color="auto" w:sz="4" w:space="0"/>
              <w:right w:val="single" w:color="auto" w:sz="4" w:space="0"/>
            </w:tcBorders>
          </w:tcPr>
          <w:p w14:paraId="4CE11AFD">
            <w:pPr>
              <w:jc w:val="left"/>
              <w:rPr>
                <w:rFonts w:ascii="黑体" w:hAnsi="宋体" w:eastAsia="黑体" w:cs="黑体"/>
                <w:kern w:val="0"/>
                <w:szCs w:val="32"/>
              </w:rPr>
            </w:pPr>
          </w:p>
        </w:tc>
        <w:tc>
          <w:tcPr>
            <w:tcW w:w="4155" w:type="dxa"/>
            <w:tcBorders>
              <w:top w:val="single" w:color="auto" w:sz="4" w:space="0"/>
              <w:left w:val="nil"/>
              <w:bottom w:val="single" w:color="auto" w:sz="4" w:space="0"/>
              <w:right w:val="single" w:color="auto" w:sz="4" w:space="0"/>
            </w:tcBorders>
          </w:tcPr>
          <w:p w14:paraId="588FF70D">
            <w:pPr>
              <w:jc w:val="left"/>
              <w:rPr>
                <w:rFonts w:ascii="黑体" w:hAnsi="宋体" w:eastAsia="黑体" w:cs="黑体"/>
                <w:kern w:val="0"/>
                <w:szCs w:val="32"/>
              </w:rPr>
            </w:pPr>
          </w:p>
        </w:tc>
        <w:tc>
          <w:tcPr>
            <w:tcW w:w="6239" w:type="dxa"/>
            <w:tcBorders>
              <w:top w:val="single" w:color="auto" w:sz="4" w:space="0"/>
              <w:left w:val="nil"/>
              <w:bottom w:val="single" w:color="auto" w:sz="4" w:space="0"/>
              <w:right w:val="single" w:color="auto" w:sz="4" w:space="0"/>
            </w:tcBorders>
          </w:tcPr>
          <w:p w14:paraId="0EB87564">
            <w:pPr>
              <w:jc w:val="left"/>
              <w:rPr>
                <w:rFonts w:ascii="黑体" w:hAnsi="宋体" w:eastAsia="黑体" w:cs="黑体"/>
                <w:kern w:val="0"/>
                <w:szCs w:val="32"/>
              </w:rPr>
            </w:pPr>
          </w:p>
        </w:tc>
      </w:tr>
      <w:tr w14:paraId="6528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0" w:type="dxa"/>
            <w:tcBorders>
              <w:top w:val="single" w:color="auto" w:sz="4" w:space="0"/>
              <w:left w:val="single" w:color="auto" w:sz="4" w:space="0"/>
              <w:bottom w:val="single" w:color="auto" w:sz="4" w:space="0"/>
              <w:right w:val="single" w:color="auto" w:sz="4" w:space="0"/>
            </w:tcBorders>
          </w:tcPr>
          <w:p w14:paraId="7DAF0496">
            <w:pPr>
              <w:jc w:val="left"/>
              <w:rPr>
                <w:rFonts w:ascii="黑体" w:hAnsi="宋体" w:eastAsia="黑体" w:cs="黑体"/>
                <w:kern w:val="0"/>
                <w:szCs w:val="32"/>
              </w:rPr>
            </w:pPr>
          </w:p>
        </w:tc>
        <w:tc>
          <w:tcPr>
            <w:tcW w:w="4155" w:type="dxa"/>
            <w:tcBorders>
              <w:top w:val="single" w:color="auto" w:sz="4" w:space="0"/>
              <w:left w:val="nil"/>
              <w:bottom w:val="single" w:color="auto" w:sz="4" w:space="0"/>
              <w:right w:val="single" w:color="auto" w:sz="4" w:space="0"/>
            </w:tcBorders>
          </w:tcPr>
          <w:p w14:paraId="48F63CF1">
            <w:pPr>
              <w:jc w:val="left"/>
              <w:rPr>
                <w:rFonts w:ascii="黑体" w:hAnsi="宋体" w:eastAsia="黑体" w:cs="黑体"/>
                <w:kern w:val="0"/>
                <w:szCs w:val="32"/>
              </w:rPr>
            </w:pPr>
          </w:p>
        </w:tc>
        <w:tc>
          <w:tcPr>
            <w:tcW w:w="6239" w:type="dxa"/>
            <w:tcBorders>
              <w:top w:val="single" w:color="auto" w:sz="4" w:space="0"/>
              <w:left w:val="nil"/>
              <w:bottom w:val="single" w:color="auto" w:sz="4" w:space="0"/>
              <w:right w:val="single" w:color="auto" w:sz="4" w:space="0"/>
            </w:tcBorders>
          </w:tcPr>
          <w:p w14:paraId="5988D0F8">
            <w:pPr>
              <w:jc w:val="left"/>
              <w:rPr>
                <w:rFonts w:ascii="黑体" w:hAnsi="宋体" w:eastAsia="黑体" w:cs="黑体"/>
                <w:kern w:val="0"/>
                <w:szCs w:val="32"/>
              </w:rPr>
            </w:pPr>
          </w:p>
        </w:tc>
      </w:tr>
    </w:tbl>
    <w:p w14:paraId="32E948BC">
      <w:pPr>
        <w:pStyle w:val="17"/>
        <w:ind w:firstLine="640"/>
        <w:jc w:val="left"/>
        <w:rPr>
          <w:rFonts w:ascii="黑体" w:hAnsi="宋体" w:eastAsia="黑体" w:cs="黑体"/>
          <w:sz w:val="32"/>
          <w:szCs w:val="32"/>
        </w:rPr>
      </w:pPr>
      <w:r>
        <w:rPr>
          <w:rFonts w:ascii="黑体" w:hAnsi="宋体" w:eastAsia="黑体" w:cs="黑体"/>
          <w:sz w:val="32"/>
          <w:szCs w:val="32"/>
        </w:rPr>
        <w:t xml:space="preserve"> </w:t>
      </w:r>
    </w:p>
    <w:p w14:paraId="133F346D">
      <w:pPr>
        <w:pStyle w:val="17"/>
        <w:jc w:val="left"/>
        <w:rPr>
          <w:rFonts w:ascii="黑体" w:hAnsi="宋体" w:eastAsia="黑体" w:cs="黑体"/>
          <w:sz w:val="32"/>
          <w:szCs w:val="32"/>
        </w:rPr>
      </w:pPr>
      <w:r>
        <w:rPr>
          <w:rFonts w:ascii="黑体" w:hAnsi="宋体" w:eastAsia="黑体" w:cs="黑体"/>
          <w:sz w:val="32"/>
          <w:szCs w:val="32"/>
        </w:rPr>
        <w:t xml:space="preserve"> </w:t>
      </w:r>
    </w:p>
    <w:p w14:paraId="74864A8E">
      <w:pPr>
        <w:pStyle w:val="12"/>
        <w:rPr>
          <w:rFonts w:ascii="黑体" w:hAnsi="宋体" w:eastAsia="黑体" w:cs="黑体"/>
          <w:sz w:val="32"/>
          <w:szCs w:val="32"/>
        </w:rPr>
        <w:sectPr>
          <w:pgSz w:w="16838" w:h="11906" w:orient="landscape"/>
          <w:pgMar w:top="1800" w:right="1440" w:bottom="1800" w:left="1440" w:header="851" w:footer="992" w:gutter="0"/>
          <w:pgNumType w:fmt="numberInDash"/>
          <w:cols w:space="708" w:num="1"/>
          <w:docGrid w:type="lines" w:linePitch="312" w:charSpace="0"/>
        </w:sectPr>
      </w:pPr>
    </w:p>
    <w:p w14:paraId="4EF0FD47">
      <w:pPr>
        <w:pStyle w:val="17"/>
        <w:widowControl/>
        <w:snapToGrid w:val="0"/>
        <w:spacing w:line="560" w:lineRule="exact"/>
        <w:rPr>
          <w:rFonts w:ascii="黑体" w:hAnsi="宋体" w:eastAsia="黑体" w:cs="黑体"/>
          <w:sz w:val="32"/>
          <w:szCs w:val="32"/>
        </w:rPr>
      </w:pPr>
      <w:r>
        <w:rPr>
          <w:rFonts w:ascii="黑体" w:hAnsi="宋体" w:eastAsia="黑体" w:cs="黑体"/>
          <w:sz w:val="32"/>
          <w:szCs w:val="32"/>
        </w:rPr>
        <w:t>附件3</w:t>
      </w:r>
    </w:p>
    <w:p w14:paraId="5A642FA4">
      <w:pPr>
        <w:pStyle w:val="17"/>
        <w:rPr>
          <w:rFonts w:ascii="黑体" w:hAnsi="宋体" w:eastAsia="黑体" w:cs="黑体"/>
          <w:sz w:val="32"/>
          <w:szCs w:val="32"/>
        </w:rPr>
      </w:pPr>
      <w:r>
        <w:rPr>
          <w:rFonts w:ascii="黑体" w:hAnsi="宋体" w:eastAsia="黑体" w:cs="黑体"/>
          <w:sz w:val="32"/>
          <w:szCs w:val="32"/>
        </w:rPr>
        <w:t xml:space="preserve"> </w:t>
      </w:r>
    </w:p>
    <w:p w14:paraId="4398D956">
      <w:pPr>
        <w:pStyle w:val="17"/>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生猪屠宰质量管理规范首次检查工作程序</w:t>
      </w:r>
    </w:p>
    <w:p w14:paraId="6572AC8C">
      <w:pPr>
        <w:pStyle w:val="17"/>
        <w:autoSpaceDE w:val="0"/>
        <w:spacing w:line="560" w:lineRule="exact"/>
        <w:ind w:firstLine="640" w:firstLineChars="200"/>
        <w:rPr>
          <w:rFonts w:ascii="Times New Roman" w:hAnsi="Times New Roman" w:eastAsia="CESI仿宋-GB2312"/>
          <w:sz w:val="32"/>
          <w:szCs w:val="32"/>
        </w:rPr>
      </w:pPr>
      <w:r>
        <w:rPr>
          <w:rFonts w:ascii="Times New Roman" w:hAnsi="Times New Roman" w:eastAsia="CESI仿宋-GB2312"/>
          <w:sz w:val="32"/>
          <w:szCs w:val="32"/>
        </w:rPr>
        <w:t xml:space="preserve"> </w:t>
      </w:r>
    </w:p>
    <w:p w14:paraId="7FFC7DBF">
      <w:pPr>
        <w:pStyle w:val="17"/>
        <w:widowControl/>
        <w:autoSpaceDE w:val="0"/>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省畜牧局组织开展《生猪屠宰质量管理规范》首次检查，按照本程序执行。</w:t>
      </w:r>
    </w:p>
    <w:p w14:paraId="3CF15A10">
      <w:pPr>
        <w:pStyle w:val="17"/>
        <w:autoSpaceDE w:val="0"/>
        <w:spacing w:line="560" w:lineRule="exact"/>
        <w:ind w:firstLine="640" w:firstLineChars="200"/>
        <w:rPr>
          <w:rFonts w:ascii="Times New Roman" w:hAnsi="Times New Roman" w:eastAsia="黑体"/>
          <w:sz w:val="32"/>
          <w:szCs w:val="32"/>
        </w:rPr>
      </w:pPr>
      <w:r>
        <w:rPr>
          <w:rFonts w:ascii="黑体" w:hAnsi="宋体" w:eastAsia="黑体" w:cs="黑体"/>
          <w:sz w:val="32"/>
          <w:szCs w:val="32"/>
        </w:rPr>
        <w:t>一、准备阶段</w:t>
      </w:r>
    </w:p>
    <w:p w14:paraId="6BDBCB3B">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 </w:t>
      </w:r>
      <w:r>
        <w:rPr>
          <w:rFonts w:ascii="仿宋_GB2312" w:hAnsi="Times New Roman" w:eastAsia="仿宋_GB2312" w:cs="仿宋_GB2312"/>
          <w:sz w:val="32"/>
          <w:szCs w:val="32"/>
        </w:rPr>
        <w:t>生猪定点屠宰厂（场）对照《生猪屠宰质量管理规范》及《生猪屠宰质量管理规范检查标准》开展自查，对自查发现的问题和缺陷项目自行整改，整改后认为基本符合《生猪屠宰质量管理规范》要求的，形成自查报告（附录</w:t>
      </w:r>
      <w:r>
        <w:rPr>
          <w:rFonts w:hint="eastAsia" w:ascii="仿宋_GB2312" w:hAnsi="仿宋_GB2312" w:eastAsia="仿宋_GB2312" w:cs="仿宋_GB2312"/>
          <w:sz w:val="32"/>
          <w:szCs w:val="32"/>
        </w:rPr>
        <w:t>2），由所在地县级畜牧兽医主管部门审核后，逐级报送至省畜牧局。报送市级申请函、生猪定点屠宰厂（场）自查报告纸质材料（一式两份），同时报送盖章扫描版材料。</w:t>
      </w:r>
    </w:p>
    <w:p w14:paraId="77F0B916">
      <w:pPr>
        <w:pStyle w:val="17"/>
        <w:spacing w:line="560" w:lineRule="exact"/>
        <w:ind w:firstLine="640" w:firstLineChars="200"/>
        <w:rPr>
          <w:rFonts w:ascii="仿宋_GB2312" w:hAnsi="Times New Roman" w:eastAsia="仿宋_GB2312" w:cs="仿宋_GB2312"/>
          <w:sz w:val="32"/>
          <w:szCs w:val="32"/>
        </w:rPr>
      </w:pPr>
      <w:r>
        <w:rPr>
          <w:rFonts w:hint="eastAsia" w:ascii="仿宋_GB2312" w:hAnsi="仿宋_GB2312" w:eastAsia="仿宋_GB2312" w:cs="仿宋_GB2312"/>
          <w:sz w:val="32"/>
          <w:szCs w:val="32"/>
        </w:rPr>
        <w:t>2. 省畜牧局收到生猪定点屠宰厂（场）自查报告后，结</w:t>
      </w:r>
      <w:r>
        <w:rPr>
          <w:rFonts w:ascii="仿宋_GB2312" w:hAnsi="Times New Roman" w:eastAsia="仿宋_GB2312" w:cs="仿宋_GB2312"/>
          <w:sz w:val="32"/>
          <w:szCs w:val="32"/>
        </w:rPr>
        <w:t>合检查计划及时组织开展检查，对取得部级生猪屠宰标准化建设示范单位称号的生猪定点屠宰厂（场）开展自查报告审查或现场检查。</w:t>
      </w:r>
    </w:p>
    <w:p w14:paraId="78A4A521">
      <w:pPr>
        <w:pStyle w:val="17"/>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检查组至少</w:t>
      </w:r>
      <w:r>
        <w:rPr>
          <w:rFonts w:hint="eastAsia" w:ascii="仿宋_GB2312" w:hAnsi="仿宋_GB2312" w:eastAsia="仿宋_GB2312" w:cs="仿宋_GB2312"/>
          <w:sz w:val="32"/>
          <w:szCs w:val="32"/>
        </w:rPr>
        <w:t>由3</w:t>
      </w:r>
      <w:r>
        <w:rPr>
          <w:rFonts w:ascii="仿宋_GB2312" w:hAnsi="Times New Roman" w:eastAsia="仿宋_GB2312" w:cs="仿宋_GB2312"/>
          <w:sz w:val="32"/>
          <w:szCs w:val="32"/>
        </w:rPr>
        <w:t>名检查员组成，实行组长负责制，检查员可从全省屠宰质量管理专家库中随机选派，也可邀请其他省份或部级专家库的专家参加，必要时增加执法人员。检查组成员与被检查生猪定点屠宰厂（场）（以下简称</w:t>
      </w:r>
      <w:r>
        <w:rPr>
          <w:rFonts w:ascii="Times New Roman" w:hAnsi="Times New Roman" w:eastAsia="仿宋_GB2312"/>
          <w:sz w:val="32"/>
          <w:szCs w:val="32"/>
        </w:rPr>
        <w:t>“</w:t>
      </w:r>
      <w:r>
        <w:rPr>
          <w:rFonts w:ascii="仿宋_GB2312" w:hAnsi="Times New Roman" w:eastAsia="仿宋_GB2312" w:cs="仿宋_GB2312"/>
          <w:sz w:val="32"/>
          <w:szCs w:val="32"/>
        </w:rPr>
        <w:t>被检查厂</w:t>
      </w:r>
      <w:r>
        <w:rPr>
          <w:rFonts w:ascii="Times New Roman" w:hAnsi="Times New Roman" w:eastAsia="仿宋_GB2312"/>
          <w:sz w:val="32"/>
          <w:szCs w:val="32"/>
        </w:rPr>
        <w:t>”</w:t>
      </w:r>
      <w:r>
        <w:rPr>
          <w:rFonts w:ascii="仿宋_GB2312" w:hAnsi="Times New Roman" w:eastAsia="仿宋_GB2312" w:cs="仿宋_GB2312"/>
          <w:sz w:val="32"/>
          <w:szCs w:val="32"/>
        </w:rPr>
        <w:t>）之间存在利害关系或其他可能影响检查公正情形的，应当主动提出回避。被检查厂所在地市级或县级畜牧兽医主管部门应派出观察员。</w:t>
      </w:r>
    </w:p>
    <w:p w14:paraId="48A8B956">
      <w:pPr>
        <w:pStyle w:val="17"/>
        <w:snapToGrid w:val="0"/>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检查前应当向被检查厂所在地市级畜牧兽医主管部门下发检查通知单，告知检查时间。被检查厂应做好生产计划安排，检查期间原则上应处于生产状态。</w:t>
      </w:r>
    </w:p>
    <w:p w14:paraId="43C4684F">
      <w:pPr>
        <w:pStyle w:val="17"/>
        <w:spacing w:line="560" w:lineRule="exact"/>
        <w:ind w:firstLine="640" w:firstLineChars="200"/>
        <w:rPr>
          <w:rFonts w:ascii="Times New Roman" w:hAnsi="Times New Roman" w:eastAsia="黑体"/>
          <w:sz w:val="32"/>
          <w:szCs w:val="32"/>
        </w:rPr>
      </w:pPr>
      <w:r>
        <w:rPr>
          <w:rFonts w:ascii="黑体" w:hAnsi="宋体" w:eastAsia="黑体" w:cs="黑体"/>
          <w:sz w:val="32"/>
          <w:szCs w:val="32"/>
        </w:rPr>
        <w:t>二、实施阶段</w:t>
      </w:r>
    </w:p>
    <w:p w14:paraId="18433B51">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检查组组长应当制定《生猪屠宰质量管理规范检查工作方案》（附录3），明确检查组成员工作分工。</w:t>
      </w:r>
    </w:p>
    <w:p w14:paraId="10FA6219">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检查组到达被检查厂后，应当出示生猪屠宰质量管理规范检查通知单。</w:t>
      </w:r>
    </w:p>
    <w:p w14:paraId="65449E9A">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 检查组与被检查厂及其所在地市县畜牧兽医主管部门召开首次会议，检查组宣读检查纪律，并签署《无利害关系声明和廉政承诺书》，提出检查要求，被检查厂介绍《生猪屠宰质量管理规范》实施情况。</w:t>
      </w:r>
    </w:p>
    <w:p w14:paraId="2F73C9F4">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 被检查厂应当按照检查组要求，明确检查现场负责人，配合开展检查，提供真实、完整的证照、文件、记录、数据等相关材料，如实回答检查组的询问。</w:t>
      </w:r>
    </w:p>
    <w:p w14:paraId="1B7A1EEA">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 检查组按照《生猪屠宰质量管理规范检查标准》要求，逐项进行检查。</w:t>
      </w:r>
    </w:p>
    <w:p w14:paraId="662432FD">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 检查组组长可根据检查需要召集临时会议，对检查发现的问题进行充分讨论，听取被检查厂的陈述解释，必要时可要求被检查厂书面说明有关情况。</w:t>
      </w:r>
    </w:p>
    <w:p w14:paraId="31C9100A">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 检查组根据检查情况进行综合评定，填写《生猪屠宰质量管理规范检查缺陷项目表》（附录4），撰写《生猪屠宰质量管理规范检查报告》（附录5）。</w:t>
      </w:r>
    </w:p>
    <w:p w14:paraId="401535D6">
      <w:pPr>
        <w:pStyle w:val="17"/>
        <w:snapToGrid w:val="0"/>
        <w:spacing w:line="56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 xml:space="preserve">8. </w:t>
      </w:r>
      <w:r>
        <w:rPr>
          <w:rFonts w:ascii="仿宋_GB2312" w:hAnsi="Times New Roman" w:eastAsia="仿宋_GB2312" w:cs="仿宋_GB2312"/>
          <w:sz w:val="32"/>
          <w:szCs w:val="32"/>
        </w:rPr>
        <w:t>检查组与被检查厂及其所在地市县畜牧兽医主管部门召开末次会议，通报检查情况，确认缺陷项目，宣布检查结论，提出缺陷项目整改时限建议。没有异议的，被检查厂负责人在检查报告和缺陷项目表上签字确认；拒绝签字的，检查组应注明原因，观察员应签字确认。</w:t>
      </w:r>
    </w:p>
    <w:p w14:paraId="5EBB8D5C">
      <w:pPr>
        <w:pStyle w:val="17"/>
        <w:spacing w:line="560" w:lineRule="exact"/>
        <w:ind w:firstLine="640" w:firstLineChars="200"/>
        <w:rPr>
          <w:rFonts w:ascii="Times New Roman" w:hAnsi="Times New Roman" w:eastAsia="黑体"/>
          <w:sz w:val="32"/>
          <w:szCs w:val="32"/>
        </w:rPr>
      </w:pPr>
      <w:r>
        <w:rPr>
          <w:rFonts w:ascii="黑体" w:hAnsi="宋体" w:eastAsia="黑体" w:cs="黑体"/>
          <w:sz w:val="32"/>
          <w:szCs w:val="32"/>
        </w:rPr>
        <w:t>三、整改上报阶段</w:t>
      </w:r>
    </w:p>
    <w:p w14:paraId="41B56DA3">
      <w:pPr>
        <w:pStyle w:val="1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Times New Roman" w:hAnsi="Times New Roman" w:eastAsia="仿宋_GB2312"/>
          <w:sz w:val="32"/>
          <w:szCs w:val="32"/>
        </w:rPr>
        <w:t xml:space="preserve">. </w:t>
      </w:r>
      <w:r>
        <w:rPr>
          <w:rFonts w:ascii="仿宋_GB2312" w:hAnsi="Times New Roman" w:eastAsia="仿宋_GB2312" w:cs="仿宋_GB2312"/>
          <w:sz w:val="32"/>
          <w:szCs w:val="32"/>
        </w:rPr>
        <w:t>市县级畜牧兽医主管部门督促被检查厂按照检查意见制定整改方案。被检查厂应当按时完成整改，并将整改报告逐级报所在地市级畜牧兽医主管部门。市县级畜牧兽医主管部门负责组织对被检查厂整改落实情况实施监督和核实，认为整改符合要求的，在《生猪屠宰质量管理规范整改情况核查表》（附</w:t>
      </w:r>
      <w:r>
        <w:rPr>
          <w:rFonts w:hint="eastAsia" w:ascii="仿宋_GB2312" w:hAnsi="仿宋_GB2312" w:eastAsia="仿宋_GB2312" w:cs="仿宋_GB2312"/>
          <w:sz w:val="32"/>
          <w:szCs w:val="32"/>
        </w:rPr>
        <w:t>录6，以下简称《核查表》）填写核查意见，并将整改报告和《核查表》送检查组。</w:t>
      </w:r>
    </w:p>
    <w:p w14:paraId="5BB618EC">
      <w:pPr>
        <w:pStyle w:val="17"/>
        <w:ind w:firstLine="640" w:firstLineChars="200"/>
        <w:jc w:val="left"/>
        <w:rPr>
          <w:rFonts w:ascii="Times New Roman" w:hAnsi="Times New Roman" w:eastAsia="仿宋_GB2312"/>
          <w:sz w:val="32"/>
          <w:szCs w:val="32"/>
        </w:rPr>
      </w:pPr>
      <w:r>
        <w:rPr>
          <w:rFonts w:hint="eastAsia" w:ascii="仿宋_GB2312" w:hAnsi="仿宋_GB2312" w:eastAsia="仿宋_GB2312" w:cs="仿宋_GB2312"/>
          <w:sz w:val="32"/>
          <w:szCs w:val="32"/>
        </w:rPr>
        <w:t>检查组组长组织审核相关内容，必要时，可以进行现场核查，并在《核查表》填写意见。核查工作完成后5个</w:t>
      </w:r>
      <w:r>
        <w:rPr>
          <w:rFonts w:ascii="仿宋_GB2312" w:hAnsi="Times New Roman" w:eastAsia="仿宋_GB2312" w:cs="仿宋_GB2312"/>
          <w:sz w:val="32"/>
          <w:szCs w:val="32"/>
        </w:rPr>
        <w:t>工作日内将整改报告、《核查表》以及《生猪屠宰质量管理规范检查报告》《生猪屠宰质量管理规范检查缺陷项目表》《生猪屠宰质量管理规范检查工作方案》和检查员《无利害关系声明和廉政承诺书》一并报省畜牧局审核确认。</w:t>
      </w:r>
    </w:p>
    <w:p w14:paraId="01E1B31C">
      <w:pPr>
        <w:pStyle w:val="17"/>
        <w:spacing w:line="560" w:lineRule="exact"/>
        <w:ind w:firstLine="640" w:firstLineChars="200"/>
        <w:rPr>
          <w:rFonts w:ascii="Times New Roman" w:hAnsi="Times New Roman" w:eastAsia="仿宋"/>
          <w:sz w:val="32"/>
          <w:szCs w:val="32"/>
        </w:rPr>
      </w:pPr>
      <w:r>
        <w:rPr>
          <w:rFonts w:hint="eastAsia" w:ascii="仿宋_GB2312" w:hAnsi="仿宋_GB2312" w:eastAsia="仿宋_GB2312" w:cs="仿宋_GB2312"/>
          <w:sz w:val="32"/>
          <w:szCs w:val="32"/>
        </w:rPr>
        <w:t>2. 省畜牧局应当在确认检查结论后20个工作日内公开检查结果，通报设区的市级人民政府，并将检查</w:t>
      </w:r>
      <w:r>
        <w:rPr>
          <w:rFonts w:ascii="仿宋_GB2312" w:hAnsi="Times New Roman" w:eastAsia="仿宋_GB2312" w:cs="仿宋_GB2312"/>
          <w:sz w:val="32"/>
          <w:szCs w:val="32"/>
        </w:rPr>
        <w:t>结果信息报送至农业农村部屠宰技术中心。</w:t>
      </w:r>
    </w:p>
    <w:p w14:paraId="5CF507FA">
      <w:pPr>
        <w:pStyle w:val="12"/>
        <w:rPr>
          <w:rFonts w:ascii="黑体" w:hAnsi="宋体" w:eastAsia="黑体" w:cs="黑体"/>
          <w:sz w:val="32"/>
          <w:szCs w:val="32"/>
        </w:rPr>
        <w:sectPr>
          <w:pgSz w:w="11906" w:h="16838"/>
          <w:pgMar w:top="1440" w:right="1800" w:bottom="1440" w:left="1800" w:header="851" w:footer="992" w:gutter="0"/>
          <w:pgNumType w:fmt="numberInDash"/>
          <w:cols w:space="708" w:num="1"/>
          <w:docGrid w:type="lines" w:linePitch="312" w:charSpace="0"/>
        </w:sectPr>
      </w:pPr>
    </w:p>
    <w:tbl>
      <w:tblPr>
        <w:tblStyle w:val="5"/>
        <w:tblW w:w="5000" w:type="pct"/>
        <w:jc w:val="center"/>
        <w:tblLayout w:type="autofit"/>
        <w:tblCellMar>
          <w:top w:w="0" w:type="dxa"/>
          <w:left w:w="108" w:type="dxa"/>
          <w:bottom w:w="0" w:type="dxa"/>
          <w:right w:w="108" w:type="dxa"/>
        </w:tblCellMar>
      </w:tblPr>
      <w:tblGrid>
        <w:gridCol w:w="620"/>
        <w:gridCol w:w="1386"/>
        <w:gridCol w:w="1016"/>
        <w:gridCol w:w="8157"/>
        <w:gridCol w:w="1914"/>
        <w:gridCol w:w="1081"/>
      </w:tblGrid>
      <w:tr w14:paraId="1711A740">
        <w:tblPrEx>
          <w:tblCellMar>
            <w:top w:w="0" w:type="dxa"/>
            <w:left w:w="108" w:type="dxa"/>
            <w:bottom w:w="0" w:type="dxa"/>
            <w:right w:w="108" w:type="dxa"/>
          </w:tblCellMar>
        </w:tblPrEx>
        <w:trPr>
          <w:trHeight w:val="600" w:hRule="atLeast"/>
          <w:jc w:val="center"/>
        </w:trPr>
        <w:tc>
          <w:tcPr>
            <w:tcW w:w="5000" w:type="pct"/>
            <w:gridSpan w:val="6"/>
            <w:tcBorders>
              <w:top w:val="nil"/>
              <w:left w:val="nil"/>
              <w:bottom w:val="nil"/>
              <w:right w:val="nil"/>
            </w:tcBorders>
            <w:shd w:val="clear" w:color="auto" w:fill="auto"/>
            <w:noWrap/>
            <w:vAlign w:val="center"/>
          </w:tcPr>
          <w:p w14:paraId="183C89DE">
            <w:pPr>
              <w:widowControl/>
              <w:jc w:val="left"/>
              <w:textAlignment w:val="center"/>
              <w:rPr>
                <w:rFonts w:ascii="黑体" w:hAnsi="黑体" w:eastAsia="黑体" w:cs="黑体"/>
                <w:color w:val="000000"/>
                <w:kern w:val="0"/>
                <w:szCs w:val="32"/>
              </w:rPr>
            </w:pPr>
            <w:r>
              <w:rPr>
                <w:rFonts w:hint="eastAsia" w:ascii="黑体" w:hAnsi="黑体" w:eastAsia="黑体" w:cs="黑体"/>
                <w:color w:val="000000"/>
                <w:kern w:val="0"/>
                <w:szCs w:val="32"/>
              </w:rPr>
              <w:t>附录1</w:t>
            </w:r>
          </w:p>
          <w:p w14:paraId="0562275B">
            <w:pPr>
              <w:widowControl/>
              <w:jc w:val="center"/>
              <w:textAlignment w:val="center"/>
              <w:rPr>
                <w:rFonts w:ascii="宋体" w:hAnsi="宋体" w:eastAsia="宋体" w:cs="宋体"/>
                <w:color w:val="000000"/>
                <w:sz w:val="20"/>
                <w:szCs w:val="20"/>
              </w:rPr>
            </w:pPr>
            <w:r>
              <w:rPr>
                <w:rFonts w:hint="eastAsia" w:ascii="方正小标宋简体" w:hAnsi="方正小标宋简体" w:eastAsia="方正小标宋简体" w:cs="方正小标宋简体"/>
                <w:color w:val="000000"/>
                <w:kern w:val="0"/>
                <w:sz w:val="44"/>
                <w:szCs w:val="44"/>
              </w:rPr>
              <w:t>生猪屠宰质量管理规范检查项目表</w:t>
            </w:r>
          </w:p>
        </w:tc>
      </w:tr>
      <w:tr w14:paraId="1889627F">
        <w:tblPrEx>
          <w:tblCellMar>
            <w:top w:w="0" w:type="dxa"/>
            <w:left w:w="108" w:type="dxa"/>
            <w:bottom w:w="0" w:type="dxa"/>
            <w:right w:w="108" w:type="dxa"/>
          </w:tblCellMar>
        </w:tblPrEx>
        <w:trPr>
          <w:trHeight w:val="64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660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序号</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757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章节</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4C3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条款</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68E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检查内容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7A6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主要检查方法</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F0F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检查结果</w:t>
            </w:r>
          </w:p>
        </w:tc>
      </w:tr>
      <w:tr w14:paraId="010CEB0C">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F8E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0FF9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机构与人员</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2BB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6C5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生猪定点屠宰厂（场）主要负责人全面负责本厂（场）生猪产品质量安全工作。</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275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查看文件等资料。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2396">
            <w:pPr>
              <w:jc w:val="center"/>
              <w:rPr>
                <w:rFonts w:ascii="宋体" w:hAnsi="宋体" w:eastAsia="宋体" w:cs="宋体"/>
                <w:color w:val="000000"/>
                <w:sz w:val="20"/>
                <w:szCs w:val="20"/>
              </w:rPr>
            </w:pPr>
          </w:p>
        </w:tc>
      </w:tr>
      <w:tr w14:paraId="1F08DB1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3A6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850E8">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8D2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9EC8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生猪定点屠宰厂（场）应当设立质量管理部门，负责从生猪进厂（场）到生猪产品出厂（场）的全过程质量管理。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B75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查看文件等资料。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04A6E">
            <w:pPr>
              <w:rPr>
                <w:rFonts w:ascii="宋体" w:hAnsi="宋体" w:eastAsia="宋体" w:cs="宋体"/>
                <w:color w:val="000000"/>
                <w:sz w:val="20"/>
                <w:szCs w:val="20"/>
              </w:rPr>
            </w:pPr>
          </w:p>
        </w:tc>
      </w:tr>
      <w:tr w14:paraId="390AF2A7">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E7AE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3</w:t>
            </w:r>
            <w:r>
              <w:rPr>
                <w:rStyle w:val="28"/>
                <w:rFonts w:hint="eastAsia" w:ascii="宋体" w:hAnsi="宋体" w:eastAsia="宋体" w:cs="宋体"/>
              </w:rPr>
              <w:t>*</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B60C8">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609E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F9D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生猪定点屠宰厂（场）应当明确质量安全负责人。</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7B4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查看文件等资料。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C896">
            <w:pPr>
              <w:rPr>
                <w:rFonts w:ascii="宋体" w:hAnsi="宋体" w:eastAsia="宋体" w:cs="宋体"/>
                <w:color w:val="000000"/>
                <w:sz w:val="20"/>
                <w:szCs w:val="20"/>
              </w:rPr>
            </w:pPr>
          </w:p>
        </w:tc>
      </w:tr>
      <w:tr w14:paraId="66C935AA">
        <w:tblPrEx>
          <w:tblCellMar>
            <w:top w:w="0" w:type="dxa"/>
            <w:left w:w="108" w:type="dxa"/>
            <w:bottom w:w="0" w:type="dxa"/>
            <w:right w:w="108" w:type="dxa"/>
          </w:tblCellMar>
        </w:tblPrEx>
        <w:trPr>
          <w:trHeight w:val="9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C40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7A2F2">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EAF3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577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质量安全负责人应当至少具有畜牧兽医、食品卫生等相关专业大专学历或中级专业技术职称，以及两年屠宰质量安全管理相关工作经验；学历和技术职称都不能满足的，应当至少具有五年屠宰质量安全管理相关工作经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B91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查看档案等资料。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425F">
            <w:pPr>
              <w:rPr>
                <w:rFonts w:ascii="宋体" w:hAnsi="宋体" w:eastAsia="宋体" w:cs="宋体"/>
                <w:color w:val="000000"/>
                <w:sz w:val="20"/>
                <w:szCs w:val="20"/>
              </w:rPr>
            </w:pPr>
          </w:p>
        </w:tc>
      </w:tr>
      <w:tr w14:paraId="1DE476B8">
        <w:tblPrEx>
          <w:tblCellMar>
            <w:top w:w="0" w:type="dxa"/>
            <w:left w:w="108" w:type="dxa"/>
            <w:bottom w:w="0" w:type="dxa"/>
            <w:right w:w="108" w:type="dxa"/>
          </w:tblCellMar>
        </w:tblPrEx>
        <w:trPr>
          <w:trHeight w:val="1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006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DD7C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DE54F">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7149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质量安全负责人应当具备下列质量安全管理能力：</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（一）掌握生猪屠宰、动物防疫、食品安全等法律、法规和有关标准；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（二）具备识别和控制生猪产品质量安全风险的专业知识；</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（三）熟悉屠宰相关设施设备、工艺流程、操作程序以及过程控制等要求；</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（四）其他应当具备的质量安全管理能力。</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636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2FC1">
            <w:pPr>
              <w:rPr>
                <w:rFonts w:ascii="宋体" w:hAnsi="宋体" w:eastAsia="宋体" w:cs="宋体"/>
                <w:color w:val="000000"/>
                <w:sz w:val="20"/>
                <w:szCs w:val="20"/>
              </w:rPr>
            </w:pPr>
          </w:p>
        </w:tc>
      </w:tr>
      <w:tr w14:paraId="69DFBDBA">
        <w:tblPrEx>
          <w:tblCellMar>
            <w:top w:w="0" w:type="dxa"/>
            <w:left w:w="108" w:type="dxa"/>
            <w:bottom w:w="0" w:type="dxa"/>
            <w:right w:w="108" w:type="dxa"/>
          </w:tblCellMar>
        </w:tblPrEx>
        <w:trPr>
          <w:trHeight w:val="74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8B4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ECAC4">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192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B85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生猪定点屠宰厂（场）的质量安全负责人直接对本厂（场）主要负责人负责。</w:t>
            </w:r>
            <w:r>
              <w:rPr>
                <w:rFonts w:hint="eastAsia" w:ascii="宋体" w:hAnsi="宋体" w:eastAsia="宋体" w:cs="宋体"/>
                <w:color w:val="000000"/>
                <w:kern w:val="0"/>
                <w:sz w:val="20"/>
                <w:szCs w:val="20"/>
              </w:rPr>
              <w:br w:type="textWrapping"/>
            </w:r>
            <w:r>
              <w:rPr>
                <w:rStyle w:val="29"/>
                <w:rFonts w:hint="eastAsia" w:ascii="宋体" w:hAnsi="宋体" w:eastAsia="宋体" w:cs="宋体"/>
              </w:rPr>
              <w:t>生猪定点屠宰厂（场）质量安全负责人承担下列主要职责：</w:t>
            </w:r>
            <w:r>
              <w:rPr>
                <w:rFonts w:hint="eastAsia" w:ascii="宋体" w:hAnsi="宋体" w:eastAsia="宋体" w:cs="宋体"/>
                <w:color w:val="000000"/>
                <w:kern w:val="0"/>
                <w:sz w:val="20"/>
                <w:szCs w:val="20"/>
              </w:rPr>
              <w:br w:type="textWrapping"/>
            </w:r>
            <w:r>
              <w:rPr>
                <w:rStyle w:val="29"/>
                <w:rFonts w:hint="eastAsia" w:ascii="宋体" w:hAnsi="宋体" w:eastAsia="宋体" w:cs="宋体"/>
              </w:rPr>
              <w:t>（一）组织制定并落实本厂（场）生猪进厂（场）查验登记、待宰静养、肉品品质检验、产品出厂（场）记录、不合格产品召回、无害化处理、现场巡查等质量管理制度；</w:t>
            </w:r>
            <w:r>
              <w:rPr>
                <w:rFonts w:hint="eastAsia" w:ascii="宋体" w:hAnsi="宋体" w:eastAsia="宋体" w:cs="宋体"/>
                <w:color w:val="000000"/>
                <w:kern w:val="0"/>
                <w:sz w:val="20"/>
                <w:szCs w:val="20"/>
              </w:rPr>
              <w:br w:type="textWrapping"/>
            </w:r>
            <w:r>
              <w:rPr>
                <w:rStyle w:val="29"/>
                <w:rFonts w:hint="eastAsia" w:ascii="宋体" w:hAnsi="宋体" w:eastAsia="宋体" w:cs="宋体"/>
              </w:rPr>
              <w:t>（二）组织拟订委托屠宰协议，并对其中的质量安全条款实施监督和检查；</w:t>
            </w:r>
            <w:r>
              <w:rPr>
                <w:rFonts w:hint="eastAsia" w:ascii="宋体" w:hAnsi="宋体" w:eastAsia="宋体" w:cs="宋体"/>
                <w:color w:val="000000"/>
                <w:kern w:val="0"/>
                <w:sz w:val="20"/>
                <w:szCs w:val="20"/>
              </w:rPr>
              <w:br w:type="textWrapping"/>
            </w:r>
            <w:r>
              <w:rPr>
                <w:rStyle w:val="29"/>
                <w:rFonts w:hint="eastAsia" w:ascii="宋体" w:hAnsi="宋体" w:eastAsia="宋体" w:cs="宋体"/>
              </w:rPr>
              <w:t>（三）组织落实国家规定的操作规程、消毒技术规范、技术要求以及本规范；</w:t>
            </w:r>
            <w:r>
              <w:rPr>
                <w:rFonts w:hint="eastAsia" w:ascii="宋体" w:hAnsi="宋体" w:eastAsia="宋体" w:cs="宋体"/>
                <w:color w:val="000000"/>
                <w:kern w:val="0"/>
                <w:sz w:val="20"/>
                <w:szCs w:val="20"/>
              </w:rPr>
              <w:br w:type="textWrapping"/>
            </w:r>
            <w:r>
              <w:rPr>
                <w:rStyle w:val="29"/>
                <w:rFonts w:hint="eastAsia" w:ascii="宋体" w:hAnsi="宋体" w:eastAsia="宋体" w:cs="宋体"/>
              </w:rPr>
              <w:t>（四）组织拟定并督促落实质量安全风险防控措施，定期组织开展自查，评估质量安全状况，及时向本厂（场）主要负责人报告质量安全工作情况并提出改进措施，阻止、纠正质量安全违法行为或不规范行为；</w:t>
            </w:r>
            <w:r>
              <w:rPr>
                <w:rFonts w:hint="eastAsia" w:ascii="宋体" w:hAnsi="宋体" w:eastAsia="宋体" w:cs="宋体"/>
                <w:color w:val="000000"/>
                <w:kern w:val="0"/>
                <w:sz w:val="20"/>
                <w:szCs w:val="20"/>
              </w:rPr>
              <w:br w:type="textWrapping"/>
            </w:r>
            <w:r>
              <w:rPr>
                <w:rStyle w:val="29"/>
                <w:rFonts w:hint="eastAsia" w:ascii="宋体" w:hAnsi="宋体" w:eastAsia="宋体" w:cs="宋体"/>
              </w:rPr>
              <w:t>（五）组织开展相关法律、法规和标准的培训和考核；</w:t>
            </w:r>
            <w:r>
              <w:rPr>
                <w:rFonts w:hint="eastAsia" w:ascii="宋体" w:hAnsi="宋体" w:eastAsia="宋体" w:cs="宋体"/>
                <w:color w:val="000000"/>
                <w:kern w:val="0"/>
                <w:sz w:val="20"/>
                <w:szCs w:val="20"/>
              </w:rPr>
              <w:br w:type="textWrapping"/>
            </w:r>
            <w:r>
              <w:rPr>
                <w:rStyle w:val="29"/>
                <w:rFonts w:hint="eastAsia" w:ascii="宋体" w:hAnsi="宋体" w:eastAsia="宋体" w:cs="宋体"/>
              </w:rPr>
              <w:t>（六）负责本厂（场）检验室质量管理体系的建立和持续有效运行；</w:t>
            </w:r>
            <w:r>
              <w:rPr>
                <w:rFonts w:hint="eastAsia" w:ascii="宋体" w:hAnsi="宋体" w:eastAsia="宋体" w:cs="宋体"/>
                <w:color w:val="000000"/>
                <w:kern w:val="0"/>
                <w:sz w:val="20"/>
                <w:szCs w:val="20"/>
              </w:rPr>
              <w:br w:type="textWrapping"/>
            </w:r>
            <w:r>
              <w:rPr>
                <w:rStyle w:val="29"/>
                <w:rFonts w:hint="eastAsia" w:ascii="宋体" w:hAnsi="宋体" w:eastAsia="宋体" w:cs="宋体"/>
              </w:rPr>
              <w:t>（七）接受和配合农业农村主管部门开展的监督检查等工作；</w:t>
            </w:r>
            <w:r>
              <w:rPr>
                <w:rFonts w:hint="eastAsia" w:ascii="宋体" w:hAnsi="宋体" w:eastAsia="宋体" w:cs="宋体"/>
                <w:color w:val="000000"/>
                <w:kern w:val="0"/>
                <w:sz w:val="20"/>
                <w:szCs w:val="20"/>
              </w:rPr>
              <w:br w:type="textWrapping"/>
            </w:r>
            <w:r>
              <w:rPr>
                <w:rStyle w:val="29"/>
                <w:rFonts w:hint="eastAsia" w:ascii="宋体" w:hAnsi="宋体" w:eastAsia="宋体" w:cs="宋体"/>
              </w:rPr>
              <w:t>（八）其他质量安全管理责任。</w:t>
            </w:r>
            <w:r>
              <w:rPr>
                <w:rFonts w:hint="eastAsia"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br w:type="textWrapping"/>
            </w:r>
            <w:r>
              <w:rPr>
                <w:rStyle w:val="29"/>
                <w:rFonts w:hint="eastAsia" w:ascii="宋体" w:hAnsi="宋体" w:eastAsia="宋体" w:cs="宋体"/>
              </w:rPr>
              <w:t>生猪定点屠宰厂（场）应当按照前款规定，结合本厂（场）实际，细化制定质量安全负责人职责。</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9F8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查看文件等资料。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CE4B">
            <w:pPr>
              <w:rPr>
                <w:rFonts w:ascii="宋体" w:hAnsi="宋体" w:eastAsia="宋体" w:cs="宋体"/>
                <w:color w:val="000000"/>
                <w:sz w:val="20"/>
                <w:szCs w:val="20"/>
              </w:rPr>
            </w:pPr>
          </w:p>
        </w:tc>
      </w:tr>
      <w:tr w14:paraId="43428C3D">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C9DC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2DE43">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7306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B13F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生猪定点屠宰厂（场）应当配备与屠宰规模相适应的屠宰技术人员。</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2B05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查看人员登记表，实地查看。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5A237">
            <w:pPr>
              <w:rPr>
                <w:rFonts w:ascii="宋体" w:hAnsi="宋体" w:eastAsia="宋体" w:cs="宋体"/>
                <w:color w:val="000000"/>
                <w:sz w:val="20"/>
                <w:szCs w:val="20"/>
              </w:rPr>
            </w:pPr>
          </w:p>
        </w:tc>
      </w:tr>
      <w:tr w14:paraId="503230D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276E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C6A9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18CB0">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B96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屠宰技术人员应当具有相关基础理论知识和实际操作技能，符合《畜禽屠宰加工人员岗位技能要求》（NY/T 3349）的规定。</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F2E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实地查看，提问不同岗位人员。</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AB142">
            <w:pPr>
              <w:rPr>
                <w:rFonts w:ascii="宋体" w:hAnsi="宋体" w:eastAsia="宋体" w:cs="宋体"/>
                <w:color w:val="000000"/>
                <w:sz w:val="20"/>
                <w:szCs w:val="20"/>
              </w:rPr>
            </w:pPr>
          </w:p>
        </w:tc>
      </w:tr>
      <w:tr w14:paraId="361A9BA0">
        <w:tblPrEx>
          <w:tblCellMar>
            <w:top w:w="0" w:type="dxa"/>
            <w:left w:w="108" w:type="dxa"/>
            <w:bottom w:w="0" w:type="dxa"/>
            <w:right w:w="108" w:type="dxa"/>
          </w:tblCellMar>
        </w:tblPrEx>
        <w:trPr>
          <w:trHeight w:val="23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10F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9*</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ECBE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机构与人员</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C78A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B7F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生猪定点屠宰厂（场）应当配备与屠宰规模相适应的兽医卫生检验人员，满足生猪屠宰肉品品质检验规程规定的各岗位工作需要。</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（一）每小时屠宰量大于300头的，至少配备11名兽医卫生检验人员；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（二）每小时屠宰量大于150头，不超过300头的，至少配备9名兽医卫生检验人员；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（三）每小时屠宰量大于70头，不超过150头的，至少配备7名兽医卫生检验人员；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（四）每小时屠宰量大于30头，不超过70头的，至少配备5名兽医卫生检验人员；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（五）每小时屠宰量大于10头，不超过30头的，至少配备3名兽医卫生检验人员；</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（六）每小时屠宰量不超过10头的 ，至少配备2名兽医卫生检验人员。</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12E4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查看人员登记表，实地查看。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ABFB">
            <w:pPr>
              <w:rPr>
                <w:rFonts w:ascii="宋体" w:hAnsi="宋体" w:eastAsia="宋体" w:cs="宋体"/>
                <w:color w:val="000000"/>
                <w:sz w:val="20"/>
                <w:szCs w:val="20"/>
              </w:rPr>
            </w:pPr>
          </w:p>
        </w:tc>
      </w:tr>
      <w:tr w14:paraId="1A12B08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7DB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8BDAF">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9027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A3C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兽医卫生检验人员应当符合《生猪屠宰兽医卫生检验人员岗位技能要求》（NY/T 3350）的规定，经农业农村主管部门考核合格后方可上岗。</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4CED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查看证书，现场提问。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4541">
            <w:pPr>
              <w:rPr>
                <w:rFonts w:ascii="宋体" w:hAnsi="宋体" w:eastAsia="宋体" w:cs="宋体"/>
                <w:color w:val="000000"/>
                <w:sz w:val="20"/>
                <w:szCs w:val="20"/>
              </w:rPr>
            </w:pPr>
          </w:p>
        </w:tc>
      </w:tr>
      <w:tr w14:paraId="559A2D9D">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F0F8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AB6DB">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0563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BE6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生猪定点屠宰厂（场）的屠宰技术人员和兽医卫生检验人员，以及其他可能与生猪产品接触的人员每年应当至少进行一次健康检查，并取得健康证明。</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43FD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查看人员登记表、健康证明等资料。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A365E">
            <w:pPr>
              <w:rPr>
                <w:rFonts w:ascii="宋体" w:hAnsi="宋体" w:eastAsia="宋体" w:cs="宋体"/>
                <w:color w:val="000000"/>
                <w:sz w:val="20"/>
                <w:szCs w:val="20"/>
              </w:rPr>
            </w:pPr>
          </w:p>
        </w:tc>
      </w:tr>
      <w:tr w14:paraId="3D5C06DC">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B9E2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9AC8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AC4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A33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患有人畜共患传染病的人员不得直接从事生猪屠宰和检验检测等工作。</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FA08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138F">
            <w:pPr>
              <w:rPr>
                <w:rFonts w:ascii="宋体" w:hAnsi="宋体" w:eastAsia="宋体" w:cs="宋体"/>
                <w:color w:val="000000"/>
                <w:sz w:val="20"/>
                <w:szCs w:val="20"/>
              </w:rPr>
            </w:pPr>
          </w:p>
        </w:tc>
      </w:tr>
      <w:tr w14:paraId="4CB58E69">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48B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4F0AE">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722B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4E4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生猪定点屠宰厂（场）应当加强员工培训，制定年度培训计划。</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C02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查看培训计划。</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A124">
            <w:pPr>
              <w:rPr>
                <w:rFonts w:ascii="宋体" w:hAnsi="宋体" w:eastAsia="宋体" w:cs="宋体"/>
                <w:color w:val="000000"/>
                <w:sz w:val="20"/>
                <w:szCs w:val="20"/>
              </w:rPr>
            </w:pPr>
          </w:p>
        </w:tc>
      </w:tr>
      <w:tr w14:paraId="11C4FB46">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8E3D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7171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33B2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B19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生猪定点屠宰厂（场）应当对不同岗位人员进行分类培训，培训内容应当与岗位要求相适应，填写并保存培训记录。</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C15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查看培训内容、记录等资料。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B163">
            <w:pPr>
              <w:rPr>
                <w:rFonts w:ascii="宋体" w:hAnsi="宋体" w:eastAsia="宋体" w:cs="宋体"/>
                <w:color w:val="000000"/>
                <w:sz w:val="20"/>
                <w:szCs w:val="20"/>
              </w:rPr>
            </w:pPr>
          </w:p>
        </w:tc>
      </w:tr>
      <w:tr w14:paraId="3AE01C8D">
        <w:tblPrEx>
          <w:tblCellMar>
            <w:top w:w="0" w:type="dxa"/>
            <w:left w:w="108" w:type="dxa"/>
            <w:bottom w:w="0" w:type="dxa"/>
            <w:right w:w="108" w:type="dxa"/>
          </w:tblCellMar>
        </w:tblPrEx>
        <w:trPr>
          <w:trHeight w:val="10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720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15*</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7D88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厂房与设施设备</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94CF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250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生猪定点屠宰厂（场）应当符合省级生猪屠宰行业发展规划。</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752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查看省级行业发展规划或省级农业农村主管部门意见。</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32F2">
            <w:pPr>
              <w:rPr>
                <w:rFonts w:ascii="宋体" w:hAnsi="宋体" w:eastAsia="宋体" w:cs="宋体"/>
                <w:color w:val="000000"/>
                <w:sz w:val="20"/>
                <w:szCs w:val="20"/>
              </w:rPr>
            </w:pPr>
          </w:p>
        </w:tc>
      </w:tr>
      <w:tr w14:paraId="68763F4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3AC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4292">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92D2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092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生猪定点屠宰厂（场）应当符合动物防疫条件。</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9F80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查看动物防疫条件合格证。</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1885">
            <w:pPr>
              <w:rPr>
                <w:rFonts w:ascii="宋体" w:hAnsi="宋体" w:eastAsia="宋体" w:cs="宋体"/>
                <w:color w:val="000000"/>
                <w:sz w:val="20"/>
                <w:szCs w:val="20"/>
              </w:rPr>
            </w:pPr>
          </w:p>
        </w:tc>
      </w:tr>
      <w:tr w14:paraId="0FB29FEB">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98E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DFBB2">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DC7D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901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具备符合《生活饮用水卫生标准》（GB 5749）规定的水源。</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252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查看用水检测报告或供水用水合同。</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EA28">
            <w:pPr>
              <w:rPr>
                <w:rFonts w:ascii="宋体" w:hAnsi="宋体" w:eastAsia="宋体" w:cs="宋体"/>
                <w:color w:val="000000"/>
                <w:sz w:val="20"/>
                <w:szCs w:val="20"/>
              </w:rPr>
            </w:pPr>
          </w:p>
        </w:tc>
      </w:tr>
      <w:tr w14:paraId="7481F2C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5F1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B7AC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5018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AFB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具备符合要求的电源。</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CF4C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7D86">
            <w:pPr>
              <w:rPr>
                <w:rFonts w:ascii="宋体" w:hAnsi="宋体" w:eastAsia="宋体" w:cs="宋体"/>
                <w:color w:val="000000"/>
                <w:sz w:val="20"/>
                <w:szCs w:val="20"/>
              </w:rPr>
            </w:pPr>
          </w:p>
        </w:tc>
      </w:tr>
      <w:tr w14:paraId="2251C1F9">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76E4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4A630">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02EE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D8F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厂区周围应当有良好的环境卫生条件，远离产生污染源的工业企业或其他场所，远离受污染的水体以及虫害大量孳生的场所。</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447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实地查看，必要时查看卫星地图。</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14A5">
            <w:pPr>
              <w:rPr>
                <w:rFonts w:ascii="宋体" w:hAnsi="宋体" w:eastAsia="宋体" w:cs="宋体"/>
                <w:color w:val="000000"/>
                <w:sz w:val="20"/>
                <w:szCs w:val="20"/>
              </w:rPr>
            </w:pPr>
          </w:p>
        </w:tc>
      </w:tr>
      <w:tr w14:paraId="14203678">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98FD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5DA43">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3965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2B2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厂区周围应当建有围墙等隔离设施。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C9B3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F94A">
            <w:pPr>
              <w:rPr>
                <w:rFonts w:ascii="宋体" w:hAnsi="宋体" w:eastAsia="宋体" w:cs="宋体"/>
                <w:color w:val="000000"/>
                <w:sz w:val="20"/>
                <w:szCs w:val="20"/>
              </w:rPr>
            </w:pPr>
          </w:p>
        </w:tc>
      </w:tr>
      <w:tr w14:paraId="6AF93689">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718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E7DF5">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3307B">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AC4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厂区主要道路应当硬化，路面平整、易冲洗，不积水。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A4E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0828">
            <w:pPr>
              <w:rPr>
                <w:rFonts w:ascii="宋体" w:hAnsi="宋体" w:eastAsia="宋体" w:cs="宋体"/>
                <w:color w:val="000000"/>
                <w:sz w:val="20"/>
                <w:szCs w:val="20"/>
              </w:rPr>
            </w:pPr>
          </w:p>
        </w:tc>
      </w:tr>
      <w:tr w14:paraId="61BDBD5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6BED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22*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D076">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89F3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CD47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厂区应当划分为生产区和非生产区，二者之间设有隔离设施。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DBD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9FCE4">
            <w:pPr>
              <w:rPr>
                <w:rFonts w:ascii="宋体" w:hAnsi="宋体" w:eastAsia="宋体" w:cs="宋体"/>
                <w:color w:val="000000"/>
                <w:sz w:val="20"/>
                <w:szCs w:val="20"/>
              </w:rPr>
            </w:pPr>
          </w:p>
        </w:tc>
      </w:tr>
      <w:tr w14:paraId="6BC3C7FA">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6F6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23*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A56DE">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2CE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7080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成品出厂应当使用专用通道和出入口，运送生猪和废弃物的，不得与其共用。</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7364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查看厂区平面图，实地查看。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31FC">
            <w:pPr>
              <w:rPr>
                <w:rFonts w:ascii="宋体" w:hAnsi="宋体" w:eastAsia="宋体" w:cs="宋体"/>
                <w:color w:val="000000"/>
                <w:sz w:val="20"/>
                <w:szCs w:val="20"/>
              </w:rPr>
            </w:pPr>
          </w:p>
        </w:tc>
      </w:tr>
      <w:tr w14:paraId="1FB0F66A">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DCF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24*</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1E17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厂房与设施设备</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5B7D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F1C2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设有待宰间、隔离间、屠宰间、急宰间、检验室、官方兽医室和无害化处理间（或暂存设施）等。</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2AF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查看厂区平面图，实地查看。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B7D4">
            <w:pPr>
              <w:rPr>
                <w:rFonts w:ascii="宋体" w:hAnsi="宋体" w:eastAsia="宋体" w:cs="宋体"/>
                <w:color w:val="000000"/>
                <w:sz w:val="20"/>
                <w:szCs w:val="20"/>
              </w:rPr>
            </w:pPr>
          </w:p>
        </w:tc>
      </w:tr>
      <w:tr w14:paraId="6A5CCF08">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8CA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DC78">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C5B1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053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设有生猪运输车辆、产品运输车辆以及工具清洗消毒的区域。</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EC6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6A531">
            <w:pPr>
              <w:rPr>
                <w:rFonts w:ascii="宋体" w:hAnsi="宋体" w:eastAsia="宋体" w:cs="宋体"/>
                <w:color w:val="000000"/>
                <w:sz w:val="20"/>
                <w:szCs w:val="20"/>
              </w:rPr>
            </w:pPr>
          </w:p>
        </w:tc>
      </w:tr>
      <w:tr w14:paraId="582783F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21F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2769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3BD0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3E5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生猪运输车辆清洗消毒区域应当临近生猪卸载区域。</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05B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8CB2">
            <w:pPr>
              <w:rPr>
                <w:rFonts w:ascii="宋体" w:hAnsi="宋体" w:eastAsia="宋体" w:cs="宋体"/>
                <w:color w:val="000000"/>
                <w:sz w:val="20"/>
                <w:szCs w:val="20"/>
              </w:rPr>
            </w:pPr>
          </w:p>
        </w:tc>
      </w:tr>
      <w:tr w14:paraId="5B7D637F">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DAA4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6CE5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95653">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3AD8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有符合环境保护要求的污染防治设施。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D15EB">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查看排污许可证或备案文件等资料，实地查看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29F5">
            <w:pPr>
              <w:rPr>
                <w:rFonts w:ascii="宋体" w:hAnsi="宋体" w:eastAsia="宋体" w:cs="宋体"/>
                <w:color w:val="000000"/>
                <w:sz w:val="20"/>
                <w:szCs w:val="20"/>
              </w:rPr>
            </w:pPr>
          </w:p>
        </w:tc>
      </w:tr>
      <w:tr w14:paraId="637B326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0EA5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B5E90">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1E68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E53E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生产区各车间的布局与设施应当满足生产工艺流程和卫生要求。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2CBF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查看厂区平面图，实地查看。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BF02">
            <w:pPr>
              <w:rPr>
                <w:rFonts w:ascii="宋体" w:hAnsi="宋体" w:eastAsia="宋体" w:cs="宋体"/>
                <w:color w:val="000000"/>
                <w:sz w:val="20"/>
                <w:szCs w:val="20"/>
              </w:rPr>
            </w:pPr>
          </w:p>
        </w:tc>
      </w:tr>
      <w:tr w14:paraId="5CC8F044">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C3B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29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43BE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3B35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BA0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屠宰间不应设置在无害化处理间、废弃物集存场所、污水处理设施、锅炉房等建筑物及场所主导风向的下风侧。</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161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查看厂区平面图，实地查看。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5840">
            <w:pPr>
              <w:rPr>
                <w:rFonts w:ascii="宋体" w:hAnsi="宋体" w:eastAsia="宋体" w:cs="宋体"/>
                <w:color w:val="000000"/>
                <w:sz w:val="20"/>
                <w:szCs w:val="20"/>
              </w:rPr>
            </w:pPr>
          </w:p>
        </w:tc>
      </w:tr>
      <w:tr w14:paraId="6B8C06B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DF6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30*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7FC0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625D4">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A81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屠宰间清洁区与非清洁区应当分隔。</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0E8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6CCA">
            <w:pPr>
              <w:rPr>
                <w:rFonts w:ascii="宋体" w:hAnsi="宋体" w:eastAsia="宋体" w:cs="宋体"/>
                <w:color w:val="000000"/>
                <w:sz w:val="20"/>
                <w:szCs w:val="20"/>
              </w:rPr>
            </w:pPr>
          </w:p>
        </w:tc>
      </w:tr>
      <w:tr w14:paraId="104B75D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7236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3C4CE">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2FBA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436C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待宰间应当有足够的圈舍容量，能容纳不少于设计单班屠宰能力的生猪。</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F4E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37E1">
            <w:pPr>
              <w:rPr>
                <w:rFonts w:ascii="宋体" w:hAnsi="宋体" w:eastAsia="宋体" w:cs="宋体"/>
                <w:color w:val="000000"/>
                <w:sz w:val="20"/>
                <w:szCs w:val="20"/>
              </w:rPr>
            </w:pPr>
          </w:p>
        </w:tc>
      </w:tr>
      <w:tr w14:paraId="7B39F496">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388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6741B">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210BC">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3F7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待宰间圈舍隔墙高度不低于1米，隔墙和地面应当采用不渗水、易清洗材料。</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1F49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869A0">
            <w:pPr>
              <w:rPr>
                <w:rFonts w:ascii="宋体" w:hAnsi="宋体" w:eastAsia="宋体" w:cs="宋体"/>
                <w:color w:val="000000"/>
                <w:sz w:val="20"/>
                <w:szCs w:val="20"/>
              </w:rPr>
            </w:pPr>
          </w:p>
        </w:tc>
      </w:tr>
      <w:tr w14:paraId="69987F2B">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B3E0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11DCE">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488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2117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隔离间应当单独设立，位于待宰间主导风向的下风侧，宜靠近卸猪台。</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CF2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B12AA">
            <w:pPr>
              <w:rPr>
                <w:rFonts w:ascii="宋体" w:hAnsi="宋体" w:eastAsia="宋体" w:cs="宋体"/>
                <w:color w:val="000000"/>
                <w:sz w:val="20"/>
                <w:szCs w:val="20"/>
              </w:rPr>
            </w:pPr>
          </w:p>
        </w:tc>
      </w:tr>
      <w:tr w14:paraId="6C887001">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4D49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3A6D5">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0B8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660E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急宰间应当设在待宰间和隔离间附近，有冷、热水供应装置，出入口设置便于手推车出入的消毒池。</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F7E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C97B">
            <w:pPr>
              <w:rPr>
                <w:rFonts w:ascii="宋体" w:hAnsi="宋体" w:eastAsia="宋体" w:cs="宋体"/>
                <w:color w:val="000000"/>
                <w:sz w:val="20"/>
                <w:szCs w:val="20"/>
              </w:rPr>
            </w:pPr>
          </w:p>
        </w:tc>
      </w:tr>
      <w:tr w14:paraId="2E20C5C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3723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BEE04">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3F29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D2A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屠宰间的建筑面积与设施应当与设计屠宰能力相适应。</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5AA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查看车间平面图，实地查看。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2436E">
            <w:pPr>
              <w:rPr>
                <w:rFonts w:ascii="宋体" w:hAnsi="宋体" w:eastAsia="宋体" w:cs="宋体"/>
                <w:color w:val="000000"/>
                <w:sz w:val="20"/>
                <w:szCs w:val="20"/>
              </w:rPr>
            </w:pPr>
          </w:p>
        </w:tc>
      </w:tr>
      <w:tr w14:paraId="76888A87">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4C6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0398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4387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28B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屠宰间地面应当采用易清洗、耐腐蚀的材料，其表面应当平整无裂缝、无积水。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BF4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2685">
            <w:pPr>
              <w:rPr>
                <w:rFonts w:ascii="宋体" w:hAnsi="宋体" w:eastAsia="宋体" w:cs="宋体"/>
                <w:color w:val="000000"/>
                <w:sz w:val="20"/>
                <w:szCs w:val="20"/>
              </w:rPr>
            </w:pPr>
          </w:p>
        </w:tc>
      </w:tr>
      <w:tr w14:paraId="12363C0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E37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AE646">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75B1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EDD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屠宰间内各加工区应当划分明确，人流、物流互不干扰，符合生产工艺、卫生及检验检疫要求。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DF7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查看车间平面图，实地查看。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80A8">
            <w:pPr>
              <w:rPr>
                <w:rFonts w:ascii="宋体" w:hAnsi="宋体" w:eastAsia="宋体" w:cs="宋体"/>
                <w:color w:val="000000"/>
                <w:sz w:val="20"/>
                <w:szCs w:val="20"/>
              </w:rPr>
            </w:pPr>
          </w:p>
        </w:tc>
      </w:tr>
      <w:tr w14:paraId="4EAA5213">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340D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38*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8E0A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DEB3F">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F37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屠宰间不得用于屠宰生猪以外的其他动物。</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1A7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查看生产记录，实地查看。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374C">
            <w:pPr>
              <w:rPr>
                <w:rFonts w:ascii="宋体" w:hAnsi="宋体" w:eastAsia="宋体" w:cs="宋体"/>
                <w:color w:val="000000"/>
                <w:sz w:val="20"/>
                <w:szCs w:val="20"/>
              </w:rPr>
            </w:pPr>
          </w:p>
        </w:tc>
      </w:tr>
      <w:tr w14:paraId="4C22CCA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ADDF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39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DA9B">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E5C2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200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屠宰间检验检疫操作区域的长度应当按照每位检验检疫人员不小于1.5米计算，踏脚台高度应当适合检验检疫操作的要求。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3F8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B2204">
            <w:pPr>
              <w:rPr>
                <w:rFonts w:ascii="宋体" w:hAnsi="宋体" w:eastAsia="宋体" w:cs="宋体"/>
                <w:color w:val="000000"/>
                <w:sz w:val="20"/>
                <w:szCs w:val="20"/>
              </w:rPr>
            </w:pPr>
          </w:p>
        </w:tc>
      </w:tr>
      <w:tr w14:paraId="55CCFE3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BB8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89D83">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56A8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C74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屠宰间的清洁区和非清洁区应当分别设有与屠宰能力相适应并与屠宰间相连通的更衣室。</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383A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26AC">
            <w:pPr>
              <w:rPr>
                <w:rFonts w:ascii="宋体" w:hAnsi="宋体" w:eastAsia="宋体" w:cs="宋体"/>
                <w:color w:val="000000"/>
                <w:sz w:val="20"/>
                <w:szCs w:val="20"/>
              </w:rPr>
            </w:pPr>
          </w:p>
        </w:tc>
      </w:tr>
      <w:tr w14:paraId="53820449">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845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9F3B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7E65E">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C4F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屠宰间根据需要设置卫生间。卫生间不得与屠宰加工、包装或储存等区域直接连通。</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E11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C0B22">
            <w:pPr>
              <w:rPr>
                <w:rFonts w:ascii="宋体" w:hAnsi="宋体" w:eastAsia="宋体" w:cs="宋体"/>
                <w:color w:val="000000"/>
                <w:sz w:val="20"/>
                <w:szCs w:val="20"/>
              </w:rPr>
            </w:pPr>
          </w:p>
        </w:tc>
      </w:tr>
      <w:tr w14:paraId="29A8C932">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2E76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8F656">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B3DAF">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F15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屠宰间的卫生间门应当能自动关闭，门窗不应直接开向车间。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4AF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C7D69">
            <w:pPr>
              <w:rPr>
                <w:rFonts w:ascii="宋体" w:hAnsi="宋体" w:eastAsia="宋体" w:cs="宋体"/>
                <w:color w:val="000000"/>
                <w:sz w:val="20"/>
                <w:szCs w:val="20"/>
              </w:rPr>
            </w:pPr>
          </w:p>
        </w:tc>
      </w:tr>
      <w:tr w14:paraId="60661861">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EA7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43</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D819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厂房与设施设备</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A939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AF26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屠宰间应当根据工艺流程的需要，在用水位置分别设置冷、热水供应装置，消毒用热水温度不应低于82℃。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6EB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实地查看，必要时使用温度计检测。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E89B">
            <w:pPr>
              <w:rPr>
                <w:rFonts w:ascii="宋体" w:hAnsi="宋体" w:eastAsia="宋体" w:cs="宋体"/>
                <w:color w:val="000000"/>
                <w:sz w:val="20"/>
                <w:szCs w:val="20"/>
              </w:rPr>
            </w:pPr>
          </w:p>
        </w:tc>
      </w:tr>
      <w:tr w14:paraId="275DB10A">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057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C35A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DA68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268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屠宰间加工用水的管道应当有防虹吸或防回流装置。</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642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FC0D">
            <w:pPr>
              <w:rPr>
                <w:rFonts w:ascii="宋体" w:hAnsi="宋体" w:eastAsia="宋体" w:cs="宋体"/>
                <w:color w:val="000000"/>
                <w:sz w:val="20"/>
                <w:szCs w:val="20"/>
              </w:rPr>
            </w:pPr>
          </w:p>
        </w:tc>
      </w:tr>
      <w:tr w14:paraId="0D44374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23C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B588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C90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4C97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屠宰间明沟排水口处应当设置不易腐蚀材料格栅，并有防鼠、防臭设施。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414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BC7A">
            <w:pPr>
              <w:rPr>
                <w:rFonts w:ascii="宋体" w:hAnsi="宋体" w:eastAsia="宋体" w:cs="宋体"/>
                <w:color w:val="000000"/>
                <w:sz w:val="20"/>
                <w:szCs w:val="20"/>
              </w:rPr>
            </w:pPr>
          </w:p>
        </w:tc>
      </w:tr>
      <w:tr w14:paraId="0AAA9634">
        <w:tblPrEx>
          <w:tblCellMar>
            <w:top w:w="0" w:type="dxa"/>
            <w:left w:w="108" w:type="dxa"/>
            <w:bottom w:w="0" w:type="dxa"/>
            <w:right w:w="108" w:type="dxa"/>
          </w:tblCellMar>
        </w:tblPrEx>
        <w:trPr>
          <w:trHeight w:val="9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BF3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734A6">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13B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D73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屠宰间照度应当能满足检验检疫人员和屠宰技术人员的工作需要。屠宰间加工线操作部位的照度应当不低于200勒克斯，检验检疫操作部位的照度应当不低于500勒克斯。</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72D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实地查看，必要时使用照度仪检测。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49F07">
            <w:pPr>
              <w:rPr>
                <w:rFonts w:ascii="宋体" w:hAnsi="宋体" w:eastAsia="宋体" w:cs="宋体"/>
                <w:color w:val="000000"/>
                <w:sz w:val="20"/>
                <w:szCs w:val="20"/>
              </w:rPr>
            </w:pPr>
          </w:p>
        </w:tc>
      </w:tr>
      <w:tr w14:paraId="4FC97459">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F2D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0DAF5">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245B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9F2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屠宰间内应当有良好的通风、排气装置。</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C68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C1F80">
            <w:pPr>
              <w:rPr>
                <w:rFonts w:ascii="宋体" w:hAnsi="宋体" w:eastAsia="宋体" w:cs="宋体"/>
                <w:color w:val="000000"/>
                <w:sz w:val="20"/>
                <w:szCs w:val="20"/>
              </w:rPr>
            </w:pPr>
          </w:p>
        </w:tc>
      </w:tr>
      <w:tr w14:paraId="2F9A37FD">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7DF6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48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847E">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C5F35">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D8AE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屠宰间内空气流动的方向应当从清洁区流向非清洁区。</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F3D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EAE33">
            <w:pPr>
              <w:rPr>
                <w:rFonts w:ascii="宋体" w:hAnsi="宋体" w:eastAsia="宋体" w:cs="宋体"/>
                <w:color w:val="000000"/>
                <w:sz w:val="20"/>
                <w:szCs w:val="20"/>
              </w:rPr>
            </w:pPr>
          </w:p>
        </w:tc>
      </w:tr>
      <w:tr w14:paraId="498740AA">
        <w:tblPrEx>
          <w:tblCellMar>
            <w:top w:w="0" w:type="dxa"/>
            <w:left w:w="108" w:type="dxa"/>
            <w:bottom w:w="0" w:type="dxa"/>
            <w:right w:w="108" w:type="dxa"/>
          </w:tblCellMar>
        </w:tblPrEx>
        <w:trPr>
          <w:trHeight w:val="10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004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49*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33C0">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6213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06D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生猪定点屠宰厂（场）应当配备与设计屠宰能力相适应、符合国家规定的屠宰设备和工器具，并按工艺流程有序排列，避免引起交叉污染。</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不得使用产业结构调整指导目录中规定的淘汰类生产工艺装备。</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8A2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8CB2">
            <w:pPr>
              <w:rPr>
                <w:rFonts w:ascii="宋体" w:hAnsi="宋体" w:eastAsia="宋体" w:cs="宋体"/>
                <w:color w:val="000000"/>
                <w:sz w:val="20"/>
                <w:szCs w:val="20"/>
              </w:rPr>
            </w:pPr>
          </w:p>
        </w:tc>
      </w:tr>
      <w:tr w14:paraId="11B3839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B4C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15B1">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6C3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008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屠宰间内与生猪产品接触的设备和工器具，应当耐腐蚀、可反复清洗消毒，不与生猪产品、清洁剂和消毒剂等发生反应。</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422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7A15">
            <w:pPr>
              <w:rPr>
                <w:rFonts w:ascii="宋体" w:hAnsi="宋体" w:eastAsia="宋体" w:cs="宋体"/>
                <w:color w:val="000000"/>
                <w:sz w:val="20"/>
                <w:szCs w:val="20"/>
              </w:rPr>
            </w:pPr>
          </w:p>
        </w:tc>
      </w:tr>
      <w:tr w14:paraId="285AC72A">
        <w:tblPrEx>
          <w:tblCellMar>
            <w:top w:w="0" w:type="dxa"/>
            <w:left w:w="108" w:type="dxa"/>
            <w:bottom w:w="0" w:type="dxa"/>
            <w:right w:w="108" w:type="dxa"/>
          </w:tblCellMar>
        </w:tblPrEx>
        <w:trPr>
          <w:trHeight w:val="10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78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552D4">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07DB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A874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设有符合要求的检验室，配备满足日常检验检测需要的设施设备，能够开展常见理化指标检测，“瘦肉精”等的快速筛查，以及国家规定的非洲猪瘟等动物疫病检测，并具备一定的兽药残留检测能力。</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B4F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E556">
            <w:pPr>
              <w:rPr>
                <w:rFonts w:ascii="宋体" w:hAnsi="宋体" w:eastAsia="宋体" w:cs="宋体"/>
                <w:color w:val="000000"/>
                <w:sz w:val="20"/>
                <w:szCs w:val="20"/>
              </w:rPr>
            </w:pPr>
          </w:p>
        </w:tc>
      </w:tr>
      <w:tr w14:paraId="78C030F3">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5C83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62359">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ADA9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1C2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生猪定点屠宰厂（场）应当根据生产工艺和产品类型等需要，设置相应的储存库。</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C2C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查看出厂记录等资料，实地查看。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8B77">
            <w:pPr>
              <w:rPr>
                <w:rFonts w:ascii="宋体" w:hAnsi="宋体" w:eastAsia="宋体" w:cs="宋体"/>
                <w:color w:val="000000"/>
                <w:sz w:val="20"/>
                <w:szCs w:val="20"/>
              </w:rPr>
            </w:pPr>
          </w:p>
        </w:tc>
      </w:tr>
      <w:tr w14:paraId="29BB0D2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0703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9A52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EAE0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5E8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储存库内应当有防霉、防鼠、防虫设施。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10F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0C27">
            <w:pPr>
              <w:rPr>
                <w:rFonts w:ascii="宋体" w:hAnsi="宋体" w:eastAsia="宋体" w:cs="宋体"/>
                <w:color w:val="000000"/>
                <w:sz w:val="20"/>
                <w:szCs w:val="20"/>
              </w:rPr>
            </w:pPr>
          </w:p>
        </w:tc>
      </w:tr>
      <w:tr w14:paraId="642F4CED">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197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E189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02C6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5EA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储存库的温度应当符合所储存产品的特定要求。冷藏、冷冻储存库应当具有温度监控设备。</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DDB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F3FD">
            <w:pPr>
              <w:rPr>
                <w:rFonts w:ascii="宋体" w:hAnsi="宋体" w:eastAsia="宋体" w:cs="宋体"/>
                <w:color w:val="000000"/>
                <w:sz w:val="20"/>
                <w:szCs w:val="20"/>
              </w:rPr>
            </w:pPr>
          </w:p>
        </w:tc>
      </w:tr>
      <w:tr w14:paraId="46CCCCC9">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CD7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1E872">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D32F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第二十九条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C414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生猪定点屠宰厂（场）应当在不同场所配备必要的清洗消毒设施设备，不同场所清洗消毒设施设备不得混用。</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E91D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3B596">
            <w:pPr>
              <w:rPr>
                <w:rFonts w:ascii="宋体" w:hAnsi="宋体" w:eastAsia="宋体" w:cs="宋体"/>
                <w:color w:val="000000"/>
                <w:sz w:val="20"/>
                <w:szCs w:val="20"/>
              </w:rPr>
            </w:pPr>
          </w:p>
        </w:tc>
      </w:tr>
      <w:tr w14:paraId="369DAA8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B8CB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89060">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4A43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0516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厂（场）区出入口处应当单独设置人员消毒通道。</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70F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BDFC">
            <w:pPr>
              <w:rPr>
                <w:rFonts w:ascii="宋体" w:hAnsi="宋体" w:eastAsia="宋体" w:cs="宋体"/>
                <w:color w:val="000000"/>
                <w:sz w:val="20"/>
                <w:szCs w:val="20"/>
              </w:rPr>
            </w:pPr>
          </w:p>
        </w:tc>
      </w:tr>
      <w:tr w14:paraId="2C5DBE4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D9E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0A8E">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86A2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F77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生猪运输车辆入口处应当设置与门同宽，长4米以上、深0.3米以上的消毒池，配置消毒喷雾器或设置消毒通道。</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3C6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DFFE">
            <w:pPr>
              <w:rPr>
                <w:rFonts w:ascii="宋体" w:hAnsi="宋体" w:eastAsia="宋体" w:cs="宋体"/>
                <w:color w:val="000000"/>
                <w:sz w:val="20"/>
                <w:szCs w:val="20"/>
              </w:rPr>
            </w:pPr>
          </w:p>
        </w:tc>
      </w:tr>
      <w:tr w14:paraId="44C8DAE1">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0E21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012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5823F">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13D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屠宰间入口处应当设置与屠宰规模相适应的洗手设施、换鞋设施或工作鞋靴消毒设施。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B4E8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B142">
            <w:pPr>
              <w:rPr>
                <w:rFonts w:ascii="宋体" w:hAnsi="宋体" w:eastAsia="宋体" w:cs="宋体"/>
                <w:color w:val="000000"/>
                <w:sz w:val="20"/>
                <w:szCs w:val="20"/>
              </w:rPr>
            </w:pPr>
          </w:p>
        </w:tc>
      </w:tr>
      <w:tr w14:paraId="70060EBA">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A7D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59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7D6B0">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5764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0F6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车间内应当设有工器具、容器和固定设备的清洗消毒设施，并有充足的冷热水源。</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1191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E700">
            <w:pPr>
              <w:rPr>
                <w:rFonts w:ascii="宋体" w:hAnsi="宋体" w:eastAsia="宋体" w:cs="宋体"/>
                <w:color w:val="000000"/>
                <w:sz w:val="20"/>
                <w:szCs w:val="20"/>
              </w:rPr>
            </w:pPr>
          </w:p>
        </w:tc>
      </w:tr>
      <w:tr w14:paraId="597CEEAB">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236F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C1C83">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64DF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F236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隔离间、无害化处理间的门口应当设置车轮、鞋靴消毒设施。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E7EC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325E0">
            <w:pPr>
              <w:rPr>
                <w:rFonts w:ascii="宋体" w:hAnsi="宋体" w:eastAsia="宋体" w:cs="宋体"/>
                <w:color w:val="000000"/>
                <w:sz w:val="20"/>
                <w:szCs w:val="20"/>
              </w:rPr>
            </w:pPr>
          </w:p>
        </w:tc>
      </w:tr>
      <w:tr w14:paraId="3B90CAF2">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728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61</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0736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厂房与设施设备</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3B3D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D005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生猪定点屠宰厂（场）应当在远离车间的地点设置废弃物临时存放设施。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B75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A4AAF">
            <w:pPr>
              <w:rPr>
                <w:rFonts w:ascii="宋体" w:hAnsi="宋体" w:eastAsia="宋体" w:cs="宋体"/>
                <w:color w:val="000000"/>
                <w:sz w:val="20"/>
                <w:szCs w:val="20"/>
              </w:rPr>
            </w:pPr>
          </w:p>
        </w:tc>
      </w:tr>
      <w:tr w14:paraId="2104444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CD0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21C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4F72B">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17E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废弃物临时存放设施应当便于清洗消毒，结构严密，能防止虫害、鼠害等。</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806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73AA">
            <w:pPr>
              <w:rPr>
                <w:rFonts w:ascii="宋体" w:hAnsi="宋体" w:eastAsia="宋体" w:cs="宋体"/>
                <w:color w:val="000000"/>
                <w:sz w:val="20"/>
                <w:szCs w:val="20"/>
              </w:rPr>
            </w:pPr>
          </w:p>
        </w:tc>
      </w:tr>
      <w:tr w14:paraId="09439048">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F8C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986B">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B4C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D50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车间内存放废弃物的设施和容器应当有清晰、明显标识。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C8C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0B0E">
            <w:pPr>
              <w:rPr>
                <w:rFonts w:ascii="宋体" w:hAnsi="宋体" w:eastAsia="宋体" w:cs="宋体"/>
                <w:color w:val="000000"/>
                <w:sz w:val="20"/>
                <w:szCs w:val="20"/>
              </w:rPr>
            </w:pPr>
          </w:p>
        </w:tc>
      </w:tr>
      <w:tr w14:paraId="38A585ED">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42B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E06E5">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2BC9F">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D91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厂区内废弃物应当及时清除或处理，不应堆放废弃设备和其他杂物。</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8F8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8402">
            <w:pPr>
              <w:rPr>
                <w:rFonts w:ascii="宋体" w:hAnsi="宋体" w:eastAsia="宋体" w:cs="宋体"/>
                <w:color w:val="000000"/>
                <w:sz w:val="20"/>
                <w:szCs w:val="20"/>
              </w:rPr>
            </w:pPr>
          </w:p>
        </w:tc>
      </w:tr>
      <w:tr w14:paraId="4FC6DB9D">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55B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96984">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FFE5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D27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生猪定点屠宰厂（场）应当配备与设计屠宰能力相适应的病死生猪及病害生猪产品无害化处理设施设备。</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947A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C591">
            <w:pPr>
              <w:rPr>
                <w:rFonts w:ascii="宋体" w:hAnsi="宋体" w:eastAsia="宋体" w:cs="宋体"/>
                <w:color w:val="000000"/>
                <w:sz w:val="20"/>
                <w:szCs w:val="20"/>
              </w:rPr>
            </w:pPr>
          </w:p>
        </w:tc>
      </w:tr>
      <w:tr w14:paraId="68B1719A">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A3C3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66*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EDC3">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69AF5">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AC5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无害化处理采用的处理方法应当符合《病死及病害动物无害化处理技术规范》及相关要求。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A3D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5094">
            <w:pPr>
              <w:rPr>
                <w:rFonts w:ascii="宋体" w:hAnsi="宋体" w:eastAsia="宋体" w:cs="宋体"/>
                <w:color w:val="000000"/>
                <w:sz w:val="20"/>
                <w:szCs w:val="20"/>
              </w:rPr>
            </w:pPr>
          </w:p>
        </w:tc>
      </w:tr>
      <w:tr w14:paraId="0219ADC3">
        <w:tblPrEx>
          <w:tblCellMar>
            <w:top w:w="0" w:type="dxa"/>
            <w:left w:w="108" w:type="dxa"/>
            <w:bottom w:w="0" w:type="dxa"/>
            <w:right w:w="108" w:type="dxa"/>
          </w:tblCellMar>
        </w:tblPrEx>
        <w:trPr>
          <w:trHeight w:val="10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DF60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67</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5F8F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宰前管理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DD28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6FE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加强对进厂（场）生猪的管理，建立供应商评价制度，全面评估供应商（包括生猪饲养者、生猪经纪人、委托人等）的生猪疫病防控和质量安全保障能力。供应商评价内容应当包括生猪来源、防疫、兽药和饲料使用、运输等情况，以及质量安全保障措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A94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E9415">
            <w:pPr>
              <w:rPr>
                <w:rFonts w:ascii="宋体" w:hAnsi="宋体" w:eastAsia="宋体" w:cs="宋体"/>
                <w:color w:val="000000"/>
                <w:sz w:val="20"/>
                <w:szCs w:val="20"/>
              </w:rPr>
            </w:pPr>
          </w:p>
        </w:tc>
      </w:tr>
      <w:tr w14:paraId="268F55A1">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F1B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0B71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49059">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0339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编制合格供应商名录，做好记录和保存。</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14D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A120">
            <w:pPr>
              <w:rPr>
                <w:rFonts w:ascii="宋体" w:hAnsi="宋体" w:eastAsia="宋体" w:cs="宋体"/>
                <w:color w:val="000000"/>
                <w:sz w:val="20"/>
                <w:szCs w:val="20"/>
              </w:rPr>
            </w:pPr>
          </w:p>
        </w:tc>
      </w:tr>
      <w:tr w14:paraId="4005DDDF">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93C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69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5C341">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FC6A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A137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生猪定点屠宰厂（场）应当建立生猪进厂（场）查验登记制度，规定查验登记流程、生猪验收标准、生猪查验要求、不合格生猪处理、查验登记记录等内容。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06F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87BE">
            <w:pPr>
              <w:rPr>
                <w:rFonts w:ascii="宋体" w:hAnsi="宋体" w:eastAsia="宋体" w:cs="宋体"/>
                <w:color w:val="000000"/>
                <w:sz w:val="20"/>
                <w:szCs w:val="20"/>
              </w:rPr>
            </w:pPr>
          </w:p>
        </w:tc>
      </w:tr>
      <w:tr w14:paraId="09C49299">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DA1D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70*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0FAF">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68D6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9A7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查验登记记录包括生猪进厂（场）时间、生猪来源、数量、检疫证明号和生猪供货者名称、地址、联系方式、运输车辆信息、查验结果和查验人等内容。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EE6B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822FA">
            <w:pPr>
              <w:rPr>
                <w:rFonts w:ascii="宋体" w:hAnsi="宋体" w:eastAsia="宋体" w:cs="宋体"/>
                <w:color w:val="000000"/>
                <w:sz w:val="20"/>
                <w:szCs w:val="20"/>
              </w:rPr>
            </w:pPr>
          </w:p>
        </w:tc>
      </w:tr>
      <w:tr w14:paraId="0F85126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E48D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E717">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7677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688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生猪定点屠宰厂（场）应当依法查验进厂（场）生猪的检疫证明、承诺达标合格证等凭证。发生动物疫情时，还应当查验运输车辆基本情况。</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C84B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BD49">
            <w:pPr>
              <w:rPr>
                <w:rFonts w:ascii="宋体" w:hAnsi="宋体" w:eastAsia="宋体" w:cs="宋体"/>
                <w:color w:val="000000"/>
                <w:sz w:val="20"/>
                <w:szCs w:val="20"/>
              </w:rPr>
            </w:pPr>
          </w:p>
        </w:tc>
      </w:tr>
      <w:tr w14:paraId="62370C29">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DB1C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846B2">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35D5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670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应当利用信息化手段核实相关信息，确保证物相符。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C5E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8FAB">
            <w:pPr>
              <w:jc w:val="center"/>
              <w:rPr>
                <w:rFonts w:ascii="宋体" w:hAnsi="宋体" w:eastAsia="宋体" w:cs="宋体"/>
                <w:b/>
                <w:bCs/>
                <w:color w:val="000000"/>
                <w:sz w:val="20"/>
                <w:szCs w:val="20"/>
              </w:rPr>
            </w:pPr>
          </w:p>
        </w:tc>
      </w:tr>
      <w:tr w14:paraId="3152174B">
        <w:tblPrEx>
          <w:tblCellMar>
            <w:top w:w="0" w:type="dxa"/>
            <w:left w:w="108" w:type="dxa"/>
            <w:bottom w:w="0" w:type="dxa"/>
            <w:right w:w="108" w:type="dxa"/>
          </w:tblCellMar>
        </w:tblPrEx>
        <w:trPr>
          <w:trHeight w:val="56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9B4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73*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CAFD0">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24B3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E74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对进厂（场）生猪应当查验畜禽标识佩戴情况以及精神状况、外貌、呼吸状态和排泄物状态等，确认临床健康，符合验收标准。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BEAF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644D">
            <w:pPr>
              <w:jc w:val="center"/>
              <w:rPr>
                <w:rFonts w:ascii="宋体" w:hAnsi="宋体" w:eastAsia="宋体" w:cs="宋体"/>
                <w:b/>
                <w:bCs/>
                <w:color w:val="000000"/>
                <w:sz w:val="20"/>
                <w:szCs w:val="20"/>
              </w:rPr>
            </w:pPr>
          </w:p>
        </w:tc>
      </w:tr>
      <w:tr w14:paraId="137C4BF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9FE6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74*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4FFB">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CEED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386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生猪定点屠宰厂（场）应当将验收合格的生猪赶入待宰间静养待宰，按批次对生猪实施分圈管理。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EEE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B5F5">
            <w:pPr>
              <w:rPr>
                <w:rFonts w:ascii="宋体" w:hAnsi="宋体" w:eastAsia="宋体" w:cs="宋体"/>
                <w:color w:val="000000"/>
                <w:sz w:val="20"/>
                <w:szCs w:val="20"/>
              </w:rPr>
            </w:pPr>
          </w:p>
        </w:tc>
      </w:tr>
      <w:tr w14:paraId="2820D711">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122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F6CD">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983B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812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生猪定点屠宰厂（场）应当按照“一圈一档”的原则对待宰生猪实施档案管理，如实记录生猪供应商名称、生猪数量、来源、入圈时间、生猪批次等内容。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F232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17D0">
            <w:pPr>
              <w:rPr>
                <w:rFonts w:ascii="宋体" w:hAnsi="宋体" w:eastAsia="宋体" w:cs="宋体"/>
                <w:color w:val="000000"/>
                <w:sz w:val="20"/>
                <w:szCs w:val="20"/>
              </w:rPr>
            </w:pPr>
          </w:p>
        </w:tc>
      </w:tr>
      <w:tr w14:paraId="1C281B31">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DF6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B779">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420D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7884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生猪定点屠宰厂（场）应当建立生猪待宰静养管理制度，明确生猪宰前停食停水静养时限、待宰巡查频次、巡查内容、问题处理和待宰静养记录等内容。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0733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9BADD">
            <w:pPr>
              <w:rPr>
                <w:rFonts w:ascii="宋体" w:hAnsi="宋体" w:eastAsia="宋体" w:cs="宋体"/>
                <w:color w:val="000000"/>
                <w:sz w:val="20"/>
                <w:szCs w:val="20"/>
              </w:rPr>
            </w:pPr>
          </w:p>
        </w:tc>
      </w:tr>
      <w:tr w14:paraId="21F28037">
        <w:tblPrEx>
          <w:tblCellMar>
            <w:top w:w="0" w:type="dxa"/>
            <w:left w:w="108" w:type="dxa"/>
            <w:bottom w:w="0" w:type="dxa"/>
            <w:right w:w="108" w:type="dxa"/>
          </w:tblCellMar>
        </w:tblPrEx>
        <w:trPr>
          <w:trHeight w:val="56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470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17DDE">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D9FF4">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DB19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生猪临宰前应当停食静养不少于12小时，宰前3小时停止喂水。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038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2387E">
            <w:pPr>
              <w:rPr>
                <w:rFonts w:ascii="宋体" w:hAnsi="宋体" w:eastAsia="宋体" w:cs="宋体"/>
                <w:color w:val="000000"/>
                <w:sz w:val="20"/>
                <w:szCs w:val="20"/>
              </w:rPr>
            </w:pPr>
          </w:p>
        </w:tc>
      </w:tr>
      <w:tr w14:paraId="1B814986">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7E4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78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0B68C">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7A8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FB8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生猪定点屠宰厂（场）应当在生猪屠宰前，对生猪体表进行喷淋，洗净生猪体表的粪便、污物等。</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FAD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4BBC0">
            <w:pPr>
              <w:rPr>
                <w:rFonts w:ascii="宋体" w:hAnsi="宋体" w:eastAsia="宋体" w:cs="宋体"/>
                <w:color w:val="000000"/>
                <w:sz w:val="20"/>
                <w:szCs w:val="20"/>
              </w:rPr>
            </w:pPr>
          </w:p>
        </w:tc>
      </w:tr>
      <w:tr w14:paraId="331B5814">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6BD0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79*</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C19D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宰前管理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8B8B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78B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生猪定点屠宰厂（场）应当及时对卸载后的生猪运输车辆进行彻底清洗消毒。</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203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1FA41">
            <w:pPr>
              <w:rPr>
                <w:rFonts w:ascii="宋体" w:hAnsi="宋体" w:eastAsia="宋体" w:cs="宋体"/>
                <w:color w:val="000000"/>
                <w:sz w:val="20"/>
                <w:szCs w:val="20"/>
              </w:rPr>
            </w:pPr>
          </w:p>
        </w:tc>
      </w:tr>
      <w:tr w14:paraId="040B88E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DB67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80*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457D">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218A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9EC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每批次生猪送宰后，应当对空圈进行彻底清洗消毒。</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C1A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9D53">
            <w:pPr>
              <w:rPr>
                <w:rFonts w:ascii="宋体" w:hAnsi="宋体" w:eastAsia="宋体" w:cs="宋体"/>
                <w:color w:val="000000"/>
                <w:sz w:val="20"/>
                <w:szCs w:val="20"/>
              </w:rPr>
            </w:pPr>
          </w:p>
        </w:tc>
      </w:tr>
      <w:tr w14:paraId="7A58A8FC">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34E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81</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BD175">
            <w:pPr>
              <w:widowControl/>
              <w:jc w:val="center"/>
              <w:textAlignment w:val="center"/>
              <w:rPr>
                <w:rFonts w:ascii="宋体" w:hAnsi="宋体" w:eastAsia="宋体" w:cs="宋体"/>
                <w:color w:val="000000"/>
                <w:kern w:val="0"/>
                <w:sz w:val="20"/>
                <w:szCs w:val="20"/>
              </w:rPr>
            </w:pPr>
          </w:p>
          <w:p w14:paraId="46670006">
            <w:pPr>
              <w:widowControl/>
              <w:jc w:val="center"/>
              <w:textAlignment w:val="center"/>
              <w:rPr>
                <w:rFonts w:ascii="宋体" w:hAnsi="宋体" w:eastAsia="宋体" w:cs="宋体"/>
                <w:color w:val="000000"/>
                <w:kern w:val="0"/>
                <w:sz w:val="20"/>
                <w:szCs w:val="20"/>
              </w:rPr>
            </w:pPr>
          </w:p>
          <w:p w14:paraId="19FA6D9E">
            <w:pPr>
              <w:widowControl/>
              <w:jc w:val="center"/>
              <w:textAlignment w:val="center"/>
              <w:rPr>
                <w:rFonts w:ascii="宋体" w:hAnsi="宋体" w:eastAsia="宋体" w:cs="宋体"/>
                <w:color w:val="000000"/>
                <w:kern w:val="0"/>
                <w:sz w:val="20"/>
                <w:szCs w:val="20"/>
              </w:rPr>
            </w:pPr>
          </w:p>
          <w:p w14:paraId="55A09F43">
            <w:pPr>
              <w:widowControl/>
              <w:jc w:val="center"/>
              <w:textAlignment w:val="center"/>
              <w:rPr>
                <w:rFonts w:ascii="宋体" w:hAnsi="宋体" w:eastAsia="宋体" w:cs="宋体"/>
                <w:color w:val="000000"/>
                <w:kern w:val="0"/>
                <w:sz w:val="20"/>
                <w:szCs w:val="20"/>
              </w:rPr>
            </w:pPr>
          </w:p>
          <w:p w14:paraId="335D0A8B">
            <w:pPr>
              <w:widowControl/>
              <w:jc w:val="center"/>
              <w:textAlignment w:val="center"/>
              <w:rPr>
                <w:rFonts w:ascii="宋体" w:hAnsi="宋体" w:eastAsia="宋体" w:cs="宋体"/>
                <w:color w:val="000000"/>
                <w:kern w:val="0"/>
                <w:sz w:val="20"/>
                <w:szCs w:val="20"/>
              </w:rPr>
            </w:pPr>
          </w:p>
          <w:p w14:paraId="10AEB7F4">
            <w:pPr>
              <w:widowControl/>
              <w:jc w:val="center"/>
              <w:textAlignment w:val="center"/>
              <w:rPr>
                <w:rFonts w:ascii="宋体" w:hAnsi="宋体" w:eastAsia="宋体" w:cs="宋体"/>
                <w:color w:val="000000"/>
                <w:kern w:val="0"/>
                <w:sz w:val="20"/>
                <w:szCs w:val="20"/>
              </w:rPr>
            </w:pPr>
          </w:p>
          <w:p w14:paraId="62E3D846">
            <w:pPr>
              <w:widowControl/>
              <w:jc w:val="center"/>
              <w:textAlignment w:val="center"/>
              <w:rPr>
                <w:rFonts w:ascii="宋体" w:hAnsi="宋体" w:eastAsia="宋体" w:cs="宋体"/>
                <w:color w:val="000000"/>
                <w:kern w:val="0"/>
                <w:sz w:val="20"/>
                <w:szCs w:val="20"/>
              </w:rPr>
            </w:pPr>
          </w:p>
          <w:p w14:paraId="4E4836D0">
            <w:pPr>
              <w:widowControl/>
              <w:jc w:val="center"/>
              <w:textAlignment w:val="center"/>
              <w:rPr>
                <w:rFonts w:ascii="宋体" w:hAnsi="宋体" w:eastAsia="宋体" w:cs="宋体"/>
                <w:color w:val="000000"/>
                <w:kern w:val="0"/>
                <w:sz w:val="20"/>
                <w:szCs w:val="20"/>
              </w:rPr>
            </w:pPr>
          </w:p>
          <w:p w14:paraId="1B97DA53">
            <w:pPr>
              <w:widowControl/>
              <w:jc w:val="center"/>
              <w:textAlignment w:val="center"/>
              <w:rPr>
                <w:rFonts w:ascii="宋体" w:hAnsi="宋体" w:eastAsia="宋体" w:cs="宋体"/>
                <w:color w:val="000000"/>
                <w:kern w:val="0"/>
                <w:sz w:val="20"/>
                <w:szCs w:val="20"/>
              </w:rPr>
            </w:pPr>
          </w:p>
          <w:p w14:paraId="3F0552B0">
            <w:pPr>
              <w:widowControl/>
              <w:jc w:val="center"/>
              <w:textAlignment w:val="center"/>
              <w:rPr>
                <w:rFonts w:ascii="宋体" w:hAnsi="宋体" w:eastAsia="宋体" w:cs="宋体"/>
                <w:color w:val="000000"/>
                <w:kern w:val="0"/>
                <w:sz w:val="20"/>
                <w:szCs w:val="20"/>
              </w:rPr>
            </w:pPr>
          </w:p>
          <w:p w14:paraId="11082020">
            <w:pPr>
              <w:widowControl/>
              <w:jc w:val="center"/>
              <w:textAlignment w:val="center"/>
              <w:rPr>
                <w:rFonts w:ascii="宋体" w:hAnsi="宋体" w:eastAsia="宋体" w:cs="宋体"/>
                <w:color w:val="000000"/>
                <w:kern w:val="0"/>
                <w:sz w:val="20"/>
                <w:szCs w:val="20"/>
              </w:rPr>
            </w:pPr>
          </w:p>
          <w:p w14:paraId="6DE0DD68">
            <w:pPr>
              <w:widowControl/>
              <w:jc w:val="center"/>
              <w:textAlignment w:val="center"/>
              <w:rPr>
                <w:rFonts w:ascii="宋体" w:hAnsi="宋体" w:eastAsia="宋体" w:cs="宋体"/>
                <w:color w:val="000000"/>
                <w:kern w:val="0"/>
                <w:sz w:val="20"/>
                <w:szCs w:val="20"/>
              </w:rPr>
            </w:pPr>
          </w:p>
          <w:p w14:paraId="48575F38">
            <w:pPr>
              <w:widowControl/>
              <w:jc w:val="center"/>
              <w:textAlignment w:val="center"/>
              <w:rPr>
                <w:rFonts w:ascii="宋体" w:hAnsi="宋体" w:eastAsia="宋体" w:cs="宋体"/>
                <w:color w:val="000000"/>
                <w:kern w:val="0"/>
                <w:sz w:val="20"/>
                <w:szCs w:val="20"/>
              </w:rPr>
            </w:pPr>
          </w:p>
          <w:p w14:paraId="2CD84B8F">
            <w:pPr>
              <w:widowControl/>
              <w:jc w:val="center"/>
              <w:textAlignment w:val="center"/>
              <w:rPr>
                <w:rFonts w:ascii="宋体" w:hAnsi="宋体" w:eastAsia="宋体" w:cs="宋体"/>
                <w:color w:val="000000"/>
                <w:kern w:val="0"/>
                <w:sz w:val="20"/>
                <w:szCs w:val="20"/>
              </w:rPr>
            </w:pPr>
          </w:p>
          <w:p w14:paraId="17B3D55C">
            <w:pPr>
              <w:widowControl/>
              <w:jc w:val="center"/>
              <w:textAlignment w:val="center"/>
              <w:rPr>
                <w:rFonts w:ascii="宋体" w:hAnsi="宋体" w:eastAsia="宋体" w:cs="宋体"/>
                <w:color w:val="000000"/>
                <w:kern w:val="0"/>
                <w:sz w:val="20"/>
                <w:szCs w:val="20"/>
              </w:rPr>
            </w:pPr>
          </w:p>
          <w:p w14:paraId="2273891A">
            <w:pPr>
              <w:widowControl/>
              <w:jc w:val="center"/>
              <w:textAlignment w:val="center"/>
              <w:rPr>
                <w:rFonts w:ascii="宋体" w:hAnsi="宋体" w:eastAsia="宋体" w:cs="宋体"/>
                <w:color w:val="000000"/>
                <w:kern w:val="0"/>
                <w:sz w:val="20"/>
                <w:szCs w:val="20"/>
              </w:rPr>
            </w:pPr>
          </w:p>
          <w:p w14:paraId="349F9132">
            <w:pPr>
              <w:widowControl/>
              <w:jc w:val="center"/>
              <w:textAlignment w:val="center"/>
              <w:rPr>
                <w:rFonts w:ascii="宋体" w:hAnsi="宋体" w:eastAsia="宋体" w:cs="宋体"/>
                <w:color w:val="000000"/>
                <w:kern w:val="0"/>
                <w:sz w:val="20"/>
                <w:szCs w:val="20"/>
              </w:rPr>
            </w:pPr>
          </w:p>
          <w:p w14:paraId="79AA3600">
            <w:pPr>
              <w:widowControl/>
              <w:jc w:val="center"/>
              <w:textAlignment w:val="center"/>
              <w:rPr>
                <w:rFonts w:ascii="宋体" w:hAnsi="宋体" w:eastAsia="宋体" w:cs="宋体"/>
                <w:color w:val="000000"/>
                <w:kern w:val="0"/>
                <w:sz w:val="20"/>
                <w:szCs w:val="20"/>
              </w:rPr>
            </w:pPr>
          </w:p>
          <w:p w14:paraId="7778079D">
            <w:pPr>
              <w:widowControl/>
              <w:jc w:val="center"/>
              <w:textAlignment w:val="center"/>
              <w:rPr>
                <w:rFonts w:ascii="宋体" w:hAnsi="宋体" w:eastAsia="宋体" w:cs="宋体"/>
                <w:color w:val="000000"/>
                <w:kern w:val="0"/>
                <w:sz w:val="20"/>
                <w:szCs w:val="20"/>
              </w:rPr>
            </w:pPr>
          </w:p>
          <w:p w14:paraId="319526B7">
            <w:pPr>
              <w:widowControl/>
              <w:jc w:val="center"/>
              <w:textAlignment w:val="center"/>
              <w:rPr>
                <w:rFonts w:ascii="宋体" w:hAnsi="宋体" w:eastAsia="宋体" w:cs="宋体"/>
                <w:color w:val="000000"/>
                <w:kern w:val="0"/>
                <w:sz w:val="20"/>
                <w:szCs w:val="20"/>
              </w:rPr>
            </w:pPr>
          </w:p>
          <w:p w14:paraId="4CBE8835">
            <w:pPr>
              <w:widowControl/>
              <w:jc w:val="center"/>
              <w:textAlignment w:val="center"/>
              <w:rPr>
                <w:rFonts w:ascii="宋体" w:hAnsi="宋体" w:eastAsia="宋体" w:cs="宋体"/>
                <w:color w:val="000000"/>
                <w:kern w:val="0"/>
                <w:sz w:val="20"/>
                <w:szCs w:val="20"/>
              </w:rPr>
            </w:pPr>
          </w:p>
          <w:p w14:paraId="26E68E4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屠宰过程管理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64F2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第三十九条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002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生猪定点屠宰厂（场）应当制作屠宰工艺流程图，在显著位置公示。</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497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5D6E">
            <w:pPr>
              <w:rPr>
                <w:rFonts w:ascii="宋体" w:hAnsi="宋体" w:eastAsia="宋体" w:cs="宋体"/>
                <w:color w:val="000000"/>
                <w:sz w:val="20"/>
                <w:szCs w:val="20"/>
              </w:rPr>
            </w:pPr>
          </w:p>
        </w:tc>
      </w:tr>
      <w:tr w14:paraId="5E3F51F8">
        <w:tblPrEx>
          <w:tblCellMar>
            <w:top w:w="0" w:type="dxa"/>
            <w:left w:w="108" w:type="dxa"/>
            <w:bottom w:w="0" w:type="dxa"/>
            <w:right w:w="108" w:type="dxa"/>
          </w:tblCellMar>
        </w:tblPrEx>
        <w:trPr>
          <w:trHeight w:val="9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F0D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82*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EE08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06FD3">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CFF5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生猪定点屠宰厂（场）屠宰生猪的工艺应当至少包括致昏、刺杀放血、烫毛脱毛（或剥皮）、吊挂提升、去头蹄尾、雕圈、开膛净腔、劈半（锯半）、整修等，符合《畜禽屠宰操作规程 生猪》（GB/T 17236）的相关规定。</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D59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68D43">
            <w:pPr>
              <w:rPr>
                <w:rFonts w:ascii="宋体" w:hAnsi="宋体" w:eastAsia="宋体" w:cs="宋体"/>
                <w:color w:val="000000"/>
                <w:sz w:val="20"/>
                <w:szCs w:val="20"/>
              </w:rPr>
            </w:pPr>
          </w:p>
        </w:tc>
      </w:tr>
      <w:tr w14:paraId="478A9741">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30C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98BA">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28CE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C39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生猪定点屠宰厂（场）应当根据屠宰工艺流程设置屠宰生产岗位，并在显著位置悬挂岗位标识牌。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74E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C27F3">
            <w:pPr>
              <w:rPr>
                <w:rFonts w:ascii="宋体" w:hAnsi="宋体" w:eastAsia="宋体" w:cs="宋体"/>
                <w:color w:val="000000"/>
                <w:sz w:val="20"/>
                <w:szCs w:val="20"/>
              </w:rPr>
            </w:pPr>
          </w:p>
        </w:tc>
      </w:tr>
      <w:tr w14:paraId="79645B73">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13D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84*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16E3">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58A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C6F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制定并执行主要岗位的操作规范。</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3344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查看规范文本等资料，实地查看，现场提问。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5F26">
            <w:pPr>
              <w:rPr>
                <w:rFonts w:ascii="宋体" w:hAnsi="宋体" w:eastAsia="宋体" w:cs="宋体"/>
                <w:color w:val="000000"/>
                <w:sz w:val="20"/>
                <w:szCs w:val="20"/>
              </w:rPr>
            </w:pPr>
          </w:p>
        </w:tc>
      </w:tr>
      <w:tr w14:paraId="6BA6B2D9">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0C4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FC2B0">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D4FA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270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生猪定点屠宰厂（场）每日屠宰生猪前，应当检查工作环境、屠宰设施设备、工器具、容器等的卫生状况和运行使用状态。</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BAB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868C">
            <w:pPr>
              <w:rPr>
                <w:rFonts w:ascii="宋体" w:hAnsi="宋体" w:eastAsia="宋体" w:cs="宋体"/>
                <w:color w:val="000000"/>
                <w:sz w:val="20"/>
                <w:szCs w:val="20"/>
              </w:rPr>
            </w:pPr>
          </w:p>
        </w:tc>
      </w:tr>
      <w:tr w14:paraId="1E0ED746">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C68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86*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94E8F">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A649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FCA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生猪定点屠宰厂（场）应当根据经营方式和产品类型，制定屠宰生产记录表单。如实记录生猪批次、数量、宰前重量、生猪产品名称、宰后重量、生猪产品所有人、生产批号、屠宰时间等内容。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8D06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4A3C">
            <w:pPr>
              <w:rPr>
                <w:rFonts w:ascii="宋体" w:hAnsi="宋体" w:eastAsia="宋体" w:cs="宋体"/>
                <w:color w:val="000000"/>
                <w:sz w:val="20"/>
                <w:szCs w:val="20"/>
              </w:rPr>
            </w:pPr>
          </w:p>
        </w:tc>
      </w:tr>
      <w:tr w14:paraId="310DA07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13C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3C52A">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D0E0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7931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生猪定点屠宰厂（场）应当对厂（场）区定期除虫灭害。</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FFF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C887">
            <w:pPr>
              <w:rPr>
                <w:rFonts w:ascii="宋体" w:hAnsi="宋体" w:eastAsia="宋体" w:cs="宋体"/>
                <w:color w:val="000000"/>
                <w:sz w:val="20"/>
                <w:szCs w:val="20"/>
              </w:rPr>
            </w:pPr>
          </w:p>
        </w:tc>
      </w:tr>
      <w:tr w14:paraId="3E07D31E">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8CE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318EF">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D222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4EBD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屠宰间配备防鼠、防蚊蝇等设施。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B00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E3B4">
            <w:pPr>
              <w:rPr>
                <w:rFonts w:ascii="宋体" w:hAnsi="宋体" w:eastAsia="宋体" w:cs="宋体"/>
                <w:color w:val="000000"/>
                <w:sz w:val="20"/>
                <w:szCs w:val="20"/>
              </w:rPr>
            </w:pPr>
          </w:p>
        </w:tc>
      </w:tr>
      <w:tr w14:paraId="05EA10B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3D6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89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F64F">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D79CB">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221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保持屠宰现场清洁卫生，及时清理杂物。</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BCA6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68F5B">
            <w:pPr>
              <w:rPr>
                <w:rFonts w:ascii="宋体" w:hAnsi="宋体" w:eastAsia="宋体" w:cs="宋体"/>
                <w:color w:val="000000"/>
                <w:sz w:val="20"/>
                <w:szCs w:val="20"/>
              </w:rPr>
            </w:pPr>
          </w:p>
        </w:tc>
      </w:tr>
      <w:tr w14:paraId="37CF972D">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0BA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FB441">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A54F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DD9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工作人员进入屠宰间前进行洗手、消毒，更换工作衣帽和鞋靴。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71A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FC5A">
            <w:pPr>
              <w:rPr>
                <w:rFonts w:ascii="宋体" w:hAnsi="宋体" w:eastAsia="宋体" w:cs="宋体"/>
                <w:color w:val="000000"/>
                <w:sz w:val="20"/>
                <w:szCs w:val="20"/>
              </w:rPr>
            </w:pPr>
          </w:p>
        </w:tc>
      </w:tr>
      <w:tr w14:paraId="66F5B95E">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7AA9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7A026">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F00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AA0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屠宰过程中，非清洁区与清洁区的工作人员不得串岗。</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219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E774">
            <w:pPr>
              <w:rPr>
                <w:rFonts w:ascii="宋体" w:hAnsi="宋体" w:eastAsia="宋体" w:cs="宋体"/>
                <w:color w:val="000000"/>
                <w:sz w:val="20"/>
                <w:szCs w:val="20"/>
              </w:rPr>
            </w:pPr>
          </w:p>
        </w:tc>
      </w:tr>
      <w:tr w14:paraId="017A035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2CC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D15C">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C2D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0F2D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屠宰过程中生猪产品及使用的工器具不得落地，不得与不清洁的表面接触。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7D8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7076">
            <w:pPr>
              <w:rPr>
                <w:rFonts w:ascii="宋体" w:hAnsi="宋体" w:eastAsia="宋体" w:cs="宋体"/>
                <w:color w:val="000000"/>
                <w:sz w:val="20"/>
                <w:szCs w:val="20"/>
              </w:rPr>
            </w:pPr>
          </w:p>
        </w:tc>
      </w:tr>
      <w:tr w14:paraId="45AC6902">
        <w:tblPrEx>
          <w:tblCellMar>
            <w:top w:w="0" w:type="dxa"/>
            <w:left w:w="108" w:type="dxa"/>
            <w:bottom w:w="0" w:type="dxa"/>
            <w:right w:w="108" w:type="dxa"/>
          </w:tblCellMar>
        </w:tblPrEx>
        <w:trPr>
          <w:trHeight w:val="8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231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93*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2691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1345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722A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生猪屠宰、检验过程中使用的工器具，如刀具、内脏托盘等，应当一猪一更换，每次使用后用82 ℃以上的热水进行清洗消毒，不得使用化学清洁剂。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AFC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必要时使用温度计检测温度。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2414D">
            <w:pPr>
              <w:rPr>
                <w:rFonts w:ascii="宋体" w:hAnsi="宋体" w:eastAsia="宋体" w:cs="宋体"/>
                <w:color w:val="000000"/>
                <w:sz w:val="20"/>
                <w:szCs w:val="20"/>
              </w:rPr>
            </w:pPr>
          </w:p>
        </w:tc>
      </w:tr>
      <w:tr w14:paraId="154C306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0CE9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94*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BA92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0705">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C96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病害及可疑病害胴体、组织、体液、胃肠内容物等应当单独放置，避免污染其他生猪产品、设备和场地；造成污染的，按要求进行处理。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06D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897A">
            <w:pPr>
              <w:rPr>
                <w:rFonts w:ascii="宋体" w:hAnsi="宋体" w:eastAsia="宋体" w:cs="宋体"/>
                <w:color w:val="000000"/>
                <w:sz w:val="20"/>
                <w:szCs w:val="20"/>
              </w:rPr>
            </w:pPr>
          </w:p>
        </w:tc>
      </w:tr>
      <w:tr w14:paraId="00B6DE21">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0588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F638C">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D835B">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E2A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使用符合国家规定的加工助剂、清洗剂、消毒剂、润滑剂等化学制剂。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C04A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3FFF">
            <w:pPr>
              <w:rPr>
                <w:rFonts w:ascii="宋体" w:hAnsi="宋体" w:eastAsia="宋体" w:cs="宋体"/>
                <w:color w:val="000000"/>
                <w:sz w:val="20"/>
                <w:szCs w:val="20"/>
              </w:rPr>
            </w:pPr>
          </w:p>
        </w:tc>
      </w:tr>
      <w:tr w14:paraId="668A490A">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F31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F2EDD">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AC23">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633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不得在屠宰过程中进行设施设备的维护、维修等作业。确需进行的，应当停止屠宰作业，并采取适当措施避免污染生猪产品。</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3D1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A2CB">
            <w:pPr>
              <w:rPr>
                <w:rFonts w:ascii="宋体" w:hAnsi="宋体" w:eastAsia="宋体" w:cs="宋体"/>
                <w:color w:val="000000"/>
                <w:sz w:val="20"/>
                <w:szCs w:val="20"/>
              </w:rPr>
            </w:pPr>
          </w:p>
        </w:tc>
      </w:tr>
      <w:tr w14:paraId="7714691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64DC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97*</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3556E">
            <w:pPr>
              <w:widowControl/>
              <w:jc w:val="center"/>
              <w:textAlignment w:val="center"/>
              <w:rPr>
                <w:rFonts w:ascii="宋体" w:hAnsi="宋体" w:eastAsia="宋体" w:cs="宋体"/>
                <w:color w:val="000000"/>
                <w:kern w:val="0"/>
                <w:sz w:val="20"/>
                <w:szCs w:val="20"/>
              </w:rPr>
            </w:pPr>
          </w:p>
          <w:p w14:paraId="05906B80">
            <w:pPr>
              <w:widowControl/>
              <w:jc w:val="center"/>
              <w:textAlignment w:val="center"/>
              <w:rPr>
                <w:rFonts w:ascii="宋体" w:hAnsi="宋体" w:eastAsia="宋体" w:cs="宋体"/>
                <w:color w:val="000000"/>
                <w:kern w:val="0"/>
                <w:sz w:val="20"/>
                <w:szCs w:val="20"/>
              </w:rPr>
            </w:pPr>
          </w:p>
          <w:p w14:paraId="351D7317">
            <w:pPr>
              <w:widowControl/>
              <w:jc w:val="center"/>
              <w:textAlignment w:val="center"/>
              <w:rPr>
                <w:rFonts w:ascii="宋体" w:hAnsi="宋体" w:eastAsia="宋体" w:cs="宋体"/>
                <w:color w:val="000000"/>
                <w:kern w:val="0"/>
                <w:sz w:val="20"/>
                <w:szCs w:val="20"/>
              </w:rPr>
            </w:pPr>
          </w:p>
          <w:p w14:paraId="509E7DEB">
            <w:pPr>
              <w:widowControl/>
              <w:jc w:val="center"/>
              <w:textAlignment w:val="center"/>
              <w:rPr>
                <w:rFonts w:ascii="宋体" w:hAnsi="宋体" w:eastAsia="宋体" w:cs="宋体"/>
                <w:color w:val="000000"/>
                <w:kern w:val="0"/>
                <w:sz w:val="20"/>
                <w:szCs w:val="20"/>
              </w:rPr>
            </w:pPr>
          </w:p>
          <w:p w14:paraId="210C7928">
            <w:pPr>
              <w:widowControl/>
              <w:jc w:val="center"/>
              <w:textAlignment w:val="center"/>
              <w:rPr>
                <w:rFonts w:ascii="宋体" w:hAnsi="宋体" w:eastAsia="宋体" w:cs="宋体"/>
                <w:color w:val="000000"/>
                <w:kern w:val="0"/>
                <w:sz w:val="20"/>
                <w:szCs w:val="20"/>
              </w:rPr>
            </w:pPr>
          </w:p>
          <w:p w14:paraId="7420D4D5">
            <w:pPr>
              <w:widowControl/>
              <w:jc w:val="center"/>
              <w:textAlignment w:val="center"/>
              <w:rPr>
                <w:rFonts w:ascii="宋体" w:hAnsi="宋体" w:eastAsia="宋体" w:cs="宋体"/>
                <w:color w:val="000000"/>
                <w:kern w:val="0"/>
                <w:sz w:val="20"/>
                <w:szCs w:val="20"/>
              </w:rPr>
            </w:pPr>
          </w:p>
          <w:p w14:paraId="0346CE7D">
            <w:pPr>
              <w:widowControl/>
              <w:jc w:val="center"/>
              <w:textAlignment w:val="center"/>
              <w:rPr>
                <w:rFonts w:ascii="宋体" w:hAnsi="宋体" w:eastAsia="宋体" w:cs="宋体"/>
                <w:color w:val="000000"/>
                <w:kern w:val="0"/>
                <w:sz w:val="20"/>
                <w:szCs w:val="20"/>
              </w:rPr>
            </w:pPr>
          </w:p>
          <w:p w14:paraId="795CD3E4">
            <w:pPr>
              <w:widowControl/>
              <w:jc w:val="center"/>
              <w:textAlignment w:val="center"/>
              <w:rPr>
                <w:rFonts w:ascii="宋体" w:hAnsi="宋体" w:eastAsia="宋体" w:cs="宋体"/>
                <w:color w:val="000000"/>
                <w:kern w:val="0"/>
                <w:sz w:val="20"/>
                <w:szCs w:val="20"/>
              </w:rPr>
            </w:pPr>
          </w:p>
          <w:p w14:paraId="26E37147">
            <w:pPr>
              <w:widowControl/>
              <w:jc w:val="center"/>
              <w:textAlignment w:val="center"/>
              <w:rPr>
                <w:rFonts w:ascii="宋体" w:hAnsi="宋体" w:eastAsia="宋体" w:cs="宋体"/>
                <w:color w:val="000000"/>
                <w:kern w:val="0"/>
                <w:sz w:val="20"/>
                <w:szCs w:val="20"/>
              </w:rPr>
            </w:pPr>
          </w:p>
          <w:p w14:paraId="0160548E">
            <w:pPr>
              <w:widowControl/>
              <w:jc w:val="center"/>
              <w:textAlignment w:val="center"/>
              <w:rPr>
                <w:rFonts w:ascii="宋体" w:hAnsi="宋体" w:eastAsia="宋体" w:cs="宋体"/>
                <w:color w:val="000000"/>
                <w:kern w:val="0"/>
                <w:sz w:val="20"/>
                <w:szCs w:val="20"/>
              </w:rPr>
            </w:pPr>
          </w:p>
          <w:p w14:paraId="43A40A1D">
            <w:pPr>
              <w:widowControl/>
              <w:jc w:val="center"/>
              <w:textAlignment w:val="center"/>
              <w:rPr>
                <w:rFonts w:ascii="宋体" w:hAnsi="宋体" w:eastAsia="宋体" w:cs="宋体"/>
                <w:color w:val="000000"/>
                <w:kern w:val="0"/>
                <w:sz w:val="20"/>
                <w:szCs w:val="20"/>
              </w:rPr>
            </w:pPr>
          </w:p>
          <w:p w14:paraId="31B7852D">
            <w:pPr>
              <w:widowControl/>
              <w:jc w:val="center"/>
              <w:textAlignment w:val="center"/>
              <w:rPr>
                <w:rFonts w:ascii="宋体" w:hAnsi="宋体" w:eastAsia="宋体" w:cs="宋体"/>
                <w:color w:val="000000"/>
                <w:kern w:val="0"/>
                <w:sz w:val="20"/>
                <w:szCs w:val="20"/>
              </w:rPr>
            </w:pPr>
          </w:p>
          <w:p w14:paraId="0728A45C">
            <w:pPr>
              <w:widowControl/>
              <w:jc w:val="center"/>
              <w:textAlignment w:val="center"/>
              <w:rPr>
                <w:rFonts w:ascii="宋体" w:hAnsi="宋体" w:eastAsia="宋体" w:cs="宋体"/>
                <w:color w:val="000000"/>
                <w:kern w:val="0"/>
                <w:sz w:val="20"/>
                <w:szCs w:val="20"/>
              </w:rPr>
            </w:pPr>
          </w:p>
          <w:p w14:paraId="7EA6CE3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屠宰过程管理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4CE4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839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每日屠宰结束后，对屠宰间等场地进行彻底清洗消毒。</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795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8AB6">
            <w:pPr>
              <w:rPr>
                <w:rFonts w:ascii="宋体" w:hAnsi="宋体" w:eastAsia="宋体" w:cs="宋体"/>
                <w:color w:val="000000"/>
                <w:sz w:val="20"/>
                <w:szCs w:val="20"/>
              </w:rPr>
            </w:pPr>
          </w:p>
        </w:tc>
      </w:tr>
      <w:tr w14:paraId="48EEF298">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F23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72D0B">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C609C">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203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生猪产品与不可食用副产品、废弃物、病死生猪及病害产品等分类分区分库存放，清晰标识。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BAB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8353">
            <w:pPr>
              <w:rPr>
                <w:rFonts w:ascii="宋体" w:hAnsi="宋体" w:eastAsia="宋体" w:cs="宋体"/>
                <w:color w:val="000000"/>
                <w:sz w:val="20"/>
                <w:szCs w:val="20"/>
              </w:rPr>
            </w:pPr>
          </w:p>
        </w:tc>
      </w:tr>
      <w:tr w14:paraId="61AFF86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30C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99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5123D">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2110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384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生猪定点屠宰厂（场）应当建立屠宰设备管理制度，制度应当包括采购与验收、使用操作、维护维修及相关记录等内容。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0117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E0D0">
            <w:pPr>
              <w:rPr>
                <w:rFonts w:ascii="宋体" w:hAnsi="宋体" w:eastAsia="宋体" w:cs="宋体"/>
                <w:color w:val="000000"/>
                <w:sz w:val="20"/>
                <w:szCs w:val="20"/>
              </w:rPr>
            </w:pPr>
          </w:p>
        </w:tc>
      </w:tr>
      <w:tr w14:paraId="1BFB7B13">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CD72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F0A72">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A062">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0E5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生猪定点屠宰厂（场）应当制定屠宰关键设备操作规程。</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F69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查看规程文本等资料。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2EB3">
            <w:pPr>
              <w:rPr>
                <w:rFonts w:ascii="宋体" w:hAnsi="宋体" w:eastAsia="宋体" w:cs="宋体"/>
                <w:color w:val="000000"/>
                <w:sz w:val="20"/>
                <w:szCs w:val="20"/>
              </w:rPr>
            </w:pPr>
          </w:p>
        </w:tc>
      </w:tr>
      <w:tr w14:paraId="0FA074D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09A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64DC8">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74815">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E71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维护维修记录应当包括设备名称和编号、维护维修项目、日期、故障描述、结果，以及人员签字等内容。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B4F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4549">
            <w:pPr>
              <w:rPr>
                <w:rFonts w:ascii="宋体" w:hAnsi="宋体" w:eastAsia="宋体" w:cs="宋体"/>
                <w:color w:val="000000"/>
                <w:sz w:val="20"/>
                <w:szCs w:val="20"/>
              </w:rPr>
            </w:pPr>
          </w:p>
        </w:tc>
      </w:tr>
      <w:tr w14:paraId="09226CCB">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6FB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540B3">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5DE7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550C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生猪定点屠宰厂（场）应当按照国家有关规定严格化学试剂和危险化学品管理，按规定采购、储存、使用和处理。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B40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AC18E">
            <w:pPr>
              <w:rPr>
                <w:rFonts w:ascii="宋体" w:hAnsi="宋体" w:eastAsia="宋体" w:cs="宋体"/>
                <w:color w:val="000000"/>
                <w:sz w:val="20"/>
                <w:szCs w:val="20"/>
              </w:rPr>
            </w:pPr>
          </w:p>
        </w:tc>
      </w:tr>
      <w:tr w14:paraId="58AA23A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421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A4391">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1CE8C">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2C1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如实记录危险化学品名称、入库数量和日期、出库数量和日期、领用人签字、保管人签字、库存数量等内容。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E97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4329">
            <w:pPr>
              <w:rPr>
                <w:rFonts w:ascii="宋体" w:hAnsi="宋体" w:eastAsia="宋体" w:cs="宋体"/>
                <w:color w:val="000000"/>
                <w:sz w:val="20"/>
                <w:szCs w:val="20"/>
              </w:rPr>
            </w:pPr>
          </w:p>
        </w:tc>
      </w:tr>
      <w:tr w14:paraId="41E0434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C3A7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93C5">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AF3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2B7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生猪定点屠宰厂（场）应当严格遵守国家安全生产有关法律规定，加强安全生产管理，建立健全全员安全生产责任制和安全生产规章制度，构建安全风险分级管控和隐患排查治理双重预防机制。</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BFD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ECD5">
            <w:pPr>
              <w:rPr>
                <w:rFonts w:ascii="宋体" w:hAnsi="宋体" w:eastAsia="宋体" w:cs="宋体"/>
                <w:color w:val="000000"/>
                <w:sz w:val="20"/>
                <w:szCs w:val="20"/>
              </w:rPr>
            </w:pPr>
          </w:p>
        </w:tc>
      </w:tr>
      <w:tr w14:paraId="79375C7F">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C48C">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4AC59">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177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802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生猪定点屠宰厂（场）发现生猪染疫或者疑似染疫的，应当立即向所在地农业农村主管部门或者动物疫病预防控制机构报告，并采取停止屠宰、隔离等控制措施，同时告知驻场官方兽医。</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1A6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01BF">
            <w:pPr>
              <w:rPr>
                <w:rFonts w:ascii="宋体" w:hAnsi="宋体" w:eastAsia="宋体" w:cs="宋体"/>
                <w:color w:val="000000"/>
                <w:sz w:val="20"/>
                <w:szCs w:val="20"/>
              </w:rPr>
            </w:pPr>
          </w:p>
        </w:tc>
      </w:tr>
      <w:tr w14:paraId="249B4F2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93A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7FBE9">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1ADF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7B98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生猪定点屠宰厂（场）应当针对产品质量安全事件、重大动物疫情、安全生产事故等突发事件制定应急预案。</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4B6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查看预案文本等资料。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6124">
            <w:pPr>
              <w:rPr>
                <w:rFonts w:ascii="宋体" w:hAnsi="宋体" w:eastAsia="宋体" w:cs="宋体"/>
                <w:color w:val="000000"/>
                <w:sz w:val="20"/>
                <w:szCs w:val="20"/>
              </w:rPr>
            </w:pPr>
          </w:p>
        </w:tc>
      </w:tr>
      <w:tr w14:paraId="71B07CA6">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2B8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4F4E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32F4E">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BF39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定期开展应急培训和演练。                                                                 </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EC6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查看培训演练资料。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53BC">
            <w:pPr>
              <w:rPr>
                <w:rFonts w:ascii="宋体" w:hAnsi="宋体" w:eastAsia="宋体" w:cs="宋体"/>
                <w:color w:val="000000"/>
                <w:sz w:val="20"/>
                <w:szCs w:val="20"/>
              </w:rPr>
            </w:pPr>
          </w:p>
        </w:tc>
      </w:tr>
      <w:tr w14:paraId="35B5A62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ACAC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108</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A7C5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第六章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 xml:space="preserve">检验检疫 </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E00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第四十九条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2097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生猪定点屠宰厂（场）应当提供与屠宰规模相适应的官方兽医驻场检疫室、工作室和检疫操作台等设施。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C90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C571">
            <w:pPr>
              <w:rPr>
                <w:rFonts w:ascii="宋体" w:hAnsi="宋体" w:eastAsia="宋体" w:cs="宋体"/>
                <w:color w:val="000000"/>
                <w:sz w:val="20"/>
                <w:szCs w:val="20"/>
              </w:rPr>
            </w:pPr>
          </w:p>
        </w:tc>
      </w:tr>
      <w:tr w14:paraId="28EB7CAB">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0913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109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EABBE">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62A5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9CF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生猪定点屠宰厂（场）屠宰生猪，应当按照有关规定提前6小时申报检疫，并如实提交检疫申报单以及农业农村部规定的其他材料；急宰的，可以随时申报。</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4AE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B416">
            <w:pPr>
              <w:rPr>
                <w:rFonts w:ascii="宋体" w:hAnsi="宋体" w:eastAsia="宋体" w:cs="宋体"/>
                <w:color w:val="000000"/>
                <w:sz w:val="20"/>
                <w:szCs w:val="20"/>
              </w:rPr>
            </w:pPr>
          </w:p>
        </w:tc>
      </w:tr>
      <w:tr w14:paraId="6301400A">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C952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694A">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63F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2C56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生猪定点屠宰厂（场）的兽医卫生检验人员应当按照有关规定协助官方兽医实施检疫。</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D14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27DE">
            <w:pPr>
              <w:rPr>
                <w:rFonts w:ascii="宋体" w:hAnsi="宋体" w:eastAsia="宋体" w:cs="宋体"/>
                <w:color w:val="000000"/>
                <w:sz w:val="20"/>
                <w:szCs w:val="20"/>
              </w:rPr>
            </w:pPr>
          </w:p>
        </w:tc>
      </w:tr>
      <w:tr w14:paraId="0556AB13">
        <w:tblPrEx>
          <w:tblCellMar>
            <w:top w:w="0" w:type="dxa"/>
            <w:left w:w="108" w:type="dxa"/>
            <w:bottom w:w="0" w:type="dxa"/>
            <w:right w:w="108" w:type="dxa"/>
          </w:tblCellMar>
        </w:tblPrEx>
        <w:trPr>
          <w:trHeight w:val="10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4A9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5C7B6">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01E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09C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肉品品质检验管理制度，明确检验岗位设置、检验人员要求与职责、检验项目与方式以及检验结果判定、肉品品质检验验讫印章加盖、肉品品质检验合格证出具、检验不合格产品处理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B0F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2A5E">
            <w:pPr>
              <w:rPr>
                <w:rFonts w:ascii="宋体" w:hAnsi="宋体" w:eastAsia="宋体" w:cs="宋体"/>
                <w:color w:val="000000"/>
                <w:sz w:val="20"/>
                <w:szCs w:val="20"/>
              </w:rPr>
            </w:pPr>
          </w:p>
        </w:tc>
      </w:tr>
      <w:tr w14:paraId="2A1F8F2F">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33A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1BFC6">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26A5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3C6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生猪定点屠宰厂（场）应当按照生猪屠宰肉品品质检验规程和相关标准规定对生猪实施宰前检验。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5EE8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0DC0">
            <w:pPr>
              <w:rPr>
                <w:rFonts w:ascii="宋体" w:hAnsi="宋体" w:eastAsia="宋体" w:cs="宋体"/>
                <w:color w:val="000000"/>
                <w:sz w:val="20"/>
                <w:szCs w:val="20"/>
              </w:rPr>
            </w:pPr>
          </w:p>
        </w:tc>
      </w:tr>
      <w:tr w14:paraId="719808DB">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5C4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113*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CC9BD">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5489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F5D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如实记录生猪批次、入圈时间、数量、准宰数量、急宰数量、死亡数量和处理情况、检验人等内容。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C3F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65275">
            <w:pPr>
              <w:rPr>
                <w:rFonts w:ascii="宋体" w:hAnsi="宋体" w:eastAsia="宋体" w:cs="宋体"/>
                <w:color w:val="000000"/>
                <w:sz w:val="20"/>
                <w:szCs w:val="20"/>
              </w:rPr>
            </w:pPr>
          </w:p>
        </w:tc>
      </w:tr>
      <w:tr w14:paraId="53925CE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FBC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114*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F580">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972FF">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E86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生猪定点屠宰厂（场）应当根据屠宰生产工艺流程，设置与生猪屠宰同步进行的宰后检验岗位。宰后检验岗位应当至少包括头蹄检验、内脏检验、胴体检验、复验等岗位。</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9670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B311">
            <w:pPr>
              <w:rPr>
                <w:rFonts w:ascii="宋体" w:hAnsi="宋体" w:eastAsia="宋体" w:cs="宋体"/>
                <w:color w:val="000000"/>
                <w:sz w:val="20"/>
                <w:szCs w:val="20"/>
              </w:rPr>
            </w:pPr>
          </w:p>
        </w:tc>
      </w:tr>
      <w:tr w14:paraId="2321325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005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115</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6D0A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第六章 </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 xml:space="preserve">检验检疫 </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3782">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BFDB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制定宰后检验岗位操作规范，并悬挂检验岗位标识牌。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0F3F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查看规范文本等资料，实地查看。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E927">
            <w:pPr>
              <w:rPr>
                <w:rFonts w:ascii="宋体" w:hAnsi="宋体" w:eastAsia="宋体" w:cs="宋体"/>
                <w:color w:val="000000"/>
                <w:sz w:val="20"/>
                <w:szCs w:val="20"/>
              </w:rPr>
            </w:pPr>
          </w:p>
        </w:tc>
      </w:tr>
      <w:tr w14:paraId="3052474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B69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116*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861B1">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7C26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2EC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生猪定点屠宰厂（场）的兽医卫生检验人员应当按照生猪屠宰肉品品质检验规程和相关标准规定实施生猪宰后检验。检验合格的，出具肉品品质检验合格证，在胴体上加盖肉品品质检验验讫印章。</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5C6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BC76">
            <w:pPr>
              <w:rPr>
                <w:rFonts w:ascii="宋体" w:hAnsi="宋体" w:eastAsia="宋体" w:cs="宋体"/>
                <w:color w:val="000000"/>
                <w:sz w:val="20"/>
                <w:szCs w:val="20"/>
              </w:rPr>
            </w:pPr>
          </w:p>
        </w:tc>
      </w:tr>
      <w:tr w14:paraId="5E968224">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03E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117*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E531E">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480B">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B7F6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如实记录生猪批次、数量、检验合格数量、检验不合格数量、不合格原因及处理方式、检验人等内容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12AE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1D85">
            <w:pPr>
              <w:rPr>
                <w:rFonts w:ascii="宋体" w:hAnsi="宋体" w:eastAsia="宋体" w:cs="宋体"/>
                <w:color w:val="000000"/>
                <w:sz w:val="20"/>
                <w:szCs w:val="20"/>
              </w:rPr>
            </w:pPr>
          </w:p>
        </w:tc>
      </w:tr>
      <w:tr w14:paraId="02BB014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28BD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8EFF5">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D352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D75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生猪定点屠宰厂（场）的兽医卫生检验人员应当按照国家有关规定和本厂（场）肉品品质检验管理制度要求开展实验室检验检测。</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6B3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66B72">
            <w:pPr>
              <w:rPr>
                <w:rFonts w:ascii="宋体" w:hAnsi="宋体" w:eastAsia="宋体" w:cs="宋体"/>
                <w:color w:val="000000"/>
                <w:sz w:val="20"/>
                <w:szCs w:val="20"/>
              </w:rPr>
            </w:pPr>
          </w:p>
        </w:tc>
      </w:tr>
      <w:tr w14:paraId="0F5DD93C">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BA3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119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46F8">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344E4">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8F7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生猪定点屠宰厂（场）的兽医卫生检验人员应当做好检验检测记录。</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6EA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BB61">
            <w:pPr>
              <w:rPr>
                <w:rFonts w:ascii="宋体" w:hAnsi="宋体" w:eastAsia="宋体" w:cs="宋体"/>
                <w:color w:val="000000"/>
                <w:sz w:val="20"/>
                <w:szCs w:val="20"/>
              </w:rPr>
            </w:pPr>
          </w:p>
        </w:tc>
      </w:tr>
      <w:tr w14:paraId="45C550F9">
        <w:tblPrEx>
          <w:tblCellMar>
            <w:top w:w="0" w:type="dxa"/>
            <w:left w:w="108" w:type="dxa"/>
            <w:bottom w:w="0" w:type="dxa"/>
            <w:right w:w="108" w:type="dxa"/>
          </w:tblCellMar>
        </w:tblPrEx>
        <w:trPr>
          <w:trHeight w:val="1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2850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403A6">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5D83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B5F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生猪定点屠宰厂（场）应当采取以下一项或者多项措施加强实验室检验检测质量控制：</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（一）参加能力验证/实验室间比对；</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（二）对留存样品进行再检验检测；</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（三）在内部进行不同人员、不同方法、不同仪器设备的比对；</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（四）在内部开展实际操作的现场考核。</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4BE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查看相关活动资料。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2B72">
            <w:pPr>
              <w:rPr>
                <w:rFonts w:ascii="宋体" w:hAnsi="宋体" w:eastAsia="宋体" w:cs="宋体"/>
                <w:color w:val="000000"/>
                <w:sz w:val="20"/>
                <w:szCs w:val="20"/>
              </w:rPr>
            </w:pPr>
          </w:p>
        </w:tc>
      </w:tr>
      <w:tr w14:paraId="0439811A">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ACB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EF5E8">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7DB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CC3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生猪定点屠宰厂（场）应当对检验检测样品进行留存，如实记录样品编号、对应生猪产品名称、屠宰日期或生产批号、留样人、留存样品流向和处理时间等内容。样品留存时间不得少于3个月。</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B98B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D490">
            <w:pPr>
              <w:rPr>
                <w:rFonts w:ascii="宋体" w:hAnsi="宋体" w:eastAsia="宋体" w:cs="宋体"/>
                <w:color w:val="000000"/>
                <w:sz w:val="20"/>
                <w:szCs w:val="20"/>
              </w:rPr>
            </w:pPr>
          </w:p>
        </w:tc>
      </w:tr>
      <w:tr w14:paraId="6C2E925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3A4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83128">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4D56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第五十九条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D13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生猪定点屠宰厂（场）应当根据检验检测仪器设备配置情况，制定主要仪器设备操作规范。</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8CA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查看规范文本等资料，实地查看。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EA1C">
            <w:pPr>
              <w:rPr>
                <w:rFonts w:ascii="宋体" w:hAnsi="宋体" w:eastAsia="宋体" w:cs="宋体"/>
                <w:color w:val="000000"/>
                <w:sz w:val="20"/>
                <w:szCs w:val="20"/>
              </w:rPr>
            </w:pPr>
          </w:p>
        </w:tc>
      </w:tr>
      <w:tr w14:paraId="51E520EE">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BD2E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CA08">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FEF3C">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513F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定量检验的仪器设备应当定期校验。</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AB9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533FC">
            <w:pPr>
              <w:rPr>
                <w:rFonts w:ascii="宋体" w:hAnsi="宋体" w:eastAsia="宋体" w:cs="宋体"/>
                <w:color w:val="000000"/>
                <w:sz w:val="20"/>
                <w:szCs w:val="20"/>
              </w:rPr>
            </w:pPr>
          </w:p>
        </w:tc>
      </w:tr>
      <w:tr w14:paraId="75C2A4EE">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144B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16086">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E72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F144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仪器设备应当实行“一机一档”管理，档案包括仪器名称、型号、制造厂家、投入使用日期、使用记录等内容。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6008">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查看档案等资料。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2CC3">
            <w:pPr>
              <w:rPr>
                <w:rFonts w:ascii="宋体" w:hAnsi="宋体" w:eastAsia="宋体" w:cs="宋体"/>
                <w:color w:val="000000"/>
                <w:sz w:val="20"/>
                <w:szCs w:val="20"/>
              </w:rPr>
            </w:pPr>
          </w:p>
        </w:tc>
      </w:tr>
      <w:tr w14:paraId="74C27424">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68926">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890B8">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B2CE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9320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生猪定点屠宰厂（场）应当建立病死生猪及病害生猪产品无害化处理制度。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FF8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F3E7">
            <w:pPr>
              <w:rPr>
                <w:rFonts w:ascii="宋体" w:hAnsi="宋体" w:eastAsia="宋体" w:cs="宋体"/>
                <w:color w:val="000000"/>
                <w:sz w:val="20"/>
                <w:szCs w:val="20"/>
              </w:rPr>
            </w:pPr>
          </w:p>
        </w:tc>
      </w:tr>
      <w:tr w14:paraId="00C65F3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CF1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126*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38DB">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A6533">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402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应当对屠宰前确认的病死生猪、病害生猪、屠宰过程中经检疫或肉品品质检验确认为不合格的生猪产品，以及其他应当进行无害化处理的生猪及其产品及时进行无害化处理，填写并保存无害化处理记录</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4DB4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C9DB">
            <w:pPr>
              <w:rPr>
                <w:rFonts w:ascii="宋体" w:hAnsi="宋体" w:eastAsia="宋体" w:cs="宋体"/>
                <w:color w:val="000000"/>
                <w:sz w:val="20"/>
                <w:szCs w:val="20"/>
              </w:rPr>
            </w:pPr>
          </w:p>
        </w:tc>
      </w:tr>
      <w:tr w14:paraId="265AA4D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EEA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127</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E530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产品出厂管理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357C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DE19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生猪定点屠宰厂（场）应当严格生猪产品包装管理，使用的包装材料符合相关强制执行的标准。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D94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07277">
            <w:pPr>
              <w:rPr>
                <w:rFonts w:ascii="宋体" w:hAnsi="宋体" w:eastAsia="宋体" w:cs="宋体"/>
                <w:color w:val="000000"/>
                <w:sz w:val="20"/>
                <w:szCs w:val="20"/>
              </w:rPr>
            </w:pPr>
          </w:p>
        </w:tc>
      </w:tr>
      <w:tr w14:paraId="25C2BC4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530B">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C2E48">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88E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A64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包装材料和标签由专人保管，专库储存，并如实记录包装材料使用情况。</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248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D0D69">
            <w:pPr>
              <w:rPr>
                <w:rFonts w:ascii="宋体" w:hAnsi="宋体" w:eastAsia="宋体" w:cs="宋体"/>
                <w:color w:val="000000"/>
                <w:sz w:val="20"/>
                <w:szCs w:val="20"/>
              </w:rPr>
            </w:pPr>
          </w:p>
        </w:tc>
      </w:tr>
      <w:tr w14:paraId="42DC242D">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BD66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129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084D">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3D8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327E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包装后的生猪产品标签或标识与产品保持一致，且不易脱落，内容符合国家有关规定。</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176D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7EC4">
            <w:pPr>
              <w:rPr>
                <w:rFonts w:ascii="宋体" w:hAnsi="宋体" w:eastAsia="宋体" w:cs="宋体"/>
                <w:color w:val="000000"/>
                <w:sz w:val="20"/>
                <w:szCs w:val="20"/>
              </w:rPr>
            </w:pPr>
          </w:p>
        </w:tc>
      </w:tr>
      <w:tr w14:paraId="49CAB9CF">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29A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F4197">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A0A">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F7F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生猪定点屠宰厂（场）应当建立生猪产品储存管理制度。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421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32314">
            <w:pPr>
              <w:rPr>
                <w:rFonts w:ascii="宋体" w:hAnsi="宋体" w:eastAsia="宋体" w:cs="宋体"/>
                <w:color w:val="000000"/>
                <w:sz w:val="20"/>
                <w:szCs w:val="20"/>
              </w:rPr>
            </w:pPr>
          </w:p>
        </w:tc>
      </w:tr>
      <w:tr w14:paraId="2A934B73">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5D6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131</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4D43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产品出厂管理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4FC8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E13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未能及时出厂（场）的生猪产品，应当采取冷冻或者冷藏等必要措施予以储存，不同类型的生猪产品应当分开存放。</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224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8D78">
            <w:pPr>
              <w:rPr>
                <w:rFonts w:ascii="宋体" w:hAnsi="宋体" w:eastAsia="宋体" w:cs="宋体"/>
                <w:color w:val="000000"/>
                <w:sz w:val="20"/>
                <w:szCs w:val="20"/>
              </w:rPr>
            </w:pPr>
          </w:p>
        </w:tc>
      </w:tr>
      <w:tr w14:paraId="3DA3980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BEA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49C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EC8C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7DE1">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如实记录产品名称、生产批号、规格、入库数量和日期、储存地点（区域）、储存方式、保质期、出库数量和日期、库存数量、保管人等内容。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87FE">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66A5">
            <w:pPr>
              <w:jc w:val="center"/>
              <w:rPr>
                <w:rFonts w:ascii="宋体" w:hAnsi="宋体" w:eastAsia="宋体" w:cs="宋体"/>
                <w:color w:val="000000"/>
                <w:sz w:val="20"/>
                <w:szCs w:val="20"/>
              </w:rPr>
            </w:pPr>
          </w:p>
        </w:tc>
      </w:tr>
      <w:tr w14:paraId="31D9B553">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D93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133*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EAFC">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3B0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BC0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生猪定点屠宰厂（场）出厂（场）的生猪产品应当经检疫和肉品品质检验合格，加施检疫验讫印章和肉品品质检验合格验讫印章，附具检疫、检验合格证明。</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ECA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A094">
            <w:pPr>
              <w:rPr>
                <w:rFonts w:ascii="宋体" w:hAnsi="宋体" w:eastAsia="宋体" w:cs="宋体"/>
                <w:color w:val="000000"/>
                <w:sz w:val="20"/>
                <w:szCs w:val="20"/>
              </w:rPr>
            </w:pPr>
          </w:p>
        </w:tc>
      </w:tr>
      <w:tr w14:paraId="7D08FF0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EB9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EA092">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7CBF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924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生猪定点屠宰厂（场）应当建立生猪产品出厂（场）记录制度。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D65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D9878">
            <w:pPr>
              <w:rPr>
                <w:rFonts w:ascii="宋体" w:hAnsi="宋体" w:eastAsia="宋体" w:cs="宋体"/>
                <w:color w:val="000000"/>
                <w:sz w:val="20"/>
                <w:szCs w:val="20"/>
              </w:rPr>
            </w:pPr>
          </w:p>
        </w:tc>
      </w:tr>
      <w:tr w14:paraId="750349D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91A9A">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135*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F0830">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7F8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3F6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如实记录产品名称、规格、生产批号、数量、检疫证明号、肉品品质检验合格证号、屠宰日期、出厂（场）日期以及购货者名称、地址、联系方式等内容。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772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502DA">
            <w:pPr>
              <w:rPr>
                <w:rFonts w:ascii="宋体" w:hAnsi="宋体" w:eastAsia="宋体" w:cs="宋体"/>
                <w:color w:val="000000"/>
                <w:sz w:val="20"/>
                <w:szCs w:val="20"/>
              </w:rPr>
            </w:pPr>
          </w:p>
        </w:tc>
      </w:tr>
      <w:tr w14:paraId="4A3BB1B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41A4">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1EC07">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AC7C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4E6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生猪定点屠宰厂（场）运输生猪产品应当使用专用的运输工具，运输过程中应当根据产品类型和特点保持适宜的温度。</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24A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1959">
            <w:pPr>
              <w:rPr>
                <w:rFonts w:ascii="宋体" w:hAnsi="宋体" w:eastAsia="宋体" w:cs="宋体"/>
                <w:color w:val="000000"/>
                <w:sz w:val="20"/>
                <w:szCs w:val="20"/>
              </w:rPr>
            </w:pPr>
          </w:p>
        </w:tc>
      </w:tr>
      <w:tr w14:paraId="14ED6B94">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4BC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B8A9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1A34E">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34AB">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运输鲜片猪肉不得敞运，应当使用设有吊挂设施的专用车辆，产品间应当保持适当距离，不得接触运输工具的底部。</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B2C5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02F73">
            <w:pPr>
              <w:rPr>
                <w:rFonts w:ascii="宋体" w:hAnsi="宋体" w:eastAsia="宋体" w:cs="宋体"/>
                <w:color w:val="000000"/>
                <w:sz w:val="20"/>
                <w:szCs w:val="20"/>
              </w:rPr>
            </w:pPr>
          </w:p>
        </w:tc>
      </w:tr>
      <w:tr w14:paraId="4EEB75F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88A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8F7F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C6456">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AE7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包装的生猪产品和裸装的生猪产品应当尽量避免同车运输，无法避免时，应当采取物理性隔离防护措施。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E0FA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BEC5">
            <w:pPr>
              <w:rPr>
                <w:rFonts w:ascii="宋体" w:hAnsi="宋体" w:eastAsia="宋体" w:cs="宋体"/>
                <w:color w:val="000000"/>
                <w:sz w:val="20"/>
                <w:szCs w:val="20"/>
              </w:rPr>
            </w:pPr>
          </w:p>
        </w:tc>
      </w:tr>
      <w:tr w14:paraId="54ABD2F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F9EF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139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9CAEF">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985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8DF4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运输生猪产品的车辆应当在每批生猪产品运送结束后及时清洗消毒，保持清洁卫生。</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43C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FC56">
            <w:pPr>
              <w:rPr>
                <w:rFonts w:ascii="宋体" w:hAnsi="宋体" w:eastAsia="宋体" w:cs="宋体"/>
                <w:color w:val="000000"/>
                <w:sz w:val="20"/>
                <w:szCs w:val="20"/>
              </w:rPr>
            </w:pPr>
          </w:p>
        </w:tc>
      </w:tr>
      <w:tr w14:paraId="2190208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784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140</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032C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第八章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追溯与召回</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B65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D609">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生猪定点屠宰厂（场）应当建立生猪产品可追溯制度，确保生猪产品来源可查，去向可追。</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ECCC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A687">
            <w:pPr>
              <w:rPr>
                <w:rFonts w:ascii="宋体" w:hAnsi="宋体" w:eastAsia="宋体" w:cs="宋体"/>
                <w:color w:val="000000"/>
                <w:sz w:val="20"/>
                <w:szCs w:val="20"/>
              </w:rPr>
            </w:pPr>
          </w:p>
        </w:tc>
      </w:tr>
      <w:tr w14:paraId="3DDE56B5">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888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106E0">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4BCD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第六十八条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632B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生猪定点屠宰厂（场）应当建立生猪产品召回制度，明确召回情形、召回流程、召回生猪产品的处理、召回记录等内容。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A25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F0A2">
            <w:pPr>
              <w:rPr>
                <w:rFonts w:ascii="宋体" w:hAnsi="宋体" w:eastAsia="宋体" w:cs="宋体"/>
                <w:color w:val="000000"/>
                <w:sz w:val="20"/>
                <w:szCs w:val="20"/>
              </w:rPr>
            </w:pPr>
          </w:p>
        </w:tc>
      </w:tr>
      <w:tr w14:paraId="703DB307">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485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9578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E8E27">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2EA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生猪产品召回记录应当包括生猪产品名称、购买者、召回数量、召回日期等内容。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7582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1A25">
            <w:pPr>
              <w:rPr>
                <w:rFonts w:ascii="宋体" w:hAnsi="宋体" w:eastAsia="宋体" w:cs="宋体"/>
                <w:color w:val="000000"/>
                <w:sz w:val="20"/>
                <w:szCs w:val="20"/>
              </w:rPr>
            </w:pPr>
          </w:p>
        </w:tc>
      </w:tr>
      <w:tr w14:paraId="611DED2D">
        <w:tblPrEx>
          <w:tblCellMar>
            <w:top w:w="0" w:type="dxa"/>
            <w:left w:w="108" w:type="dxa"/>
            <w:bottom w:w="0" w:type="dxa"/>
            <w:right w:w="108" w:type="dxa"/>
          </w:tblCellMar>
        </w:tblPrEx>
        <w:trPr>
          <w:trHeight w:val="12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3F198">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26CC6">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2F06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第六十九条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750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通过自检自查、公众投诉举报、销售者（委托人）告知等方式发现其生产的生猪产品不符合食品安全标准、有证据证明可能危害人体健康、染疫或者疑似染疫的，应当立即停止屠宰，报告农业农村主管部门，通知销售者或者委托人，召回已经销售的生猪产品，并记录通知和召回情况。</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78A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2C42">
            <w:pPr>
              <w:rPr>
                <w:rFonts w:ascii="宋体" w:hAnsi="宋体" w:eastAsia="宋体" w:cs="宋体"/>
                <w:color w:val="000000"/>
                <w:sz w:val="20"/>
                <w:szCs w:val="20"/>
              </w:rPr>
            </w:pPr>
          </w:p>
        </w:tc>
      </w:tr>
      <w:tr w14:paraId="7F492116">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C60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144*</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1787F">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154F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BA4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生猪定点屠宰厂（场）应当对召回的生猪产品采取无害化处理等措施，防止其再次流入市场。</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B24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1E2C">
            <w:pPr>
              <w:rPr>
                <w:rFonts w:ascii="宋体" w:hAnsi="宋体" w:eastAsia="宋体" w:cs="宋体"/>
                <w:color w:val="000000"/>
                <w:sz w:val="20"/>
                <w:szCs w:val="20"/>
              </w:rPr>
            </w:pPr>
          </w:p>
        </w:tc>
      </w:tr>
      <w:tr w14:paraId="6B3BE5C6">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4C4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0E0FF">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8689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2E3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对因标签、标志或者说明书不符合要求而被召回的生猪产品，在采取补救措施且能保证产品质量安全的情况下可以继续销售。</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A81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9EEF">
            <w:pPr>
              <w:rPr>
                <w:rFonts w:ascii="宋体" w:hAnsi="宋体" w:eastAsia="宋体" w:cs="宋体"/>
                <w:color w:val="000000"/>
                <w:sz w:val="20"/>
                <w:szCs w:val="20"/>
              </w:rPr>
            </w:pPr>
          </w:p>
        </w:tc>
      </w:tr>
      <w:tr w14:paraId="53F6FA3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C95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146*</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6AD5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第九章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委托管理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76E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第七十一条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73FC">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生猪定点屠宰厂（场）接受委托屠宰的，应当与委托人签订委托屠宰协议，明确双方权利、义务和双方生猪产品质量安全责任。</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3F4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查看委托协议等资料。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7D16">
            <w:pPr>
              <w:rPr>
                <w:rFonts w:ascii="宋体" w:hAnsi="宋体" w:eastAsia="宋体" w:cs="宋体"/>
                <w:color w:val="000000"/>
                <w:sz w:val="20"/>
                <w:szCs w:val="20"/>
              </w:rPr>
            </w:pPr>
          </w:p>
        </w:tc>
      </w:tr>
      <w:tr w14:paraId="62121112">
        <w:tblPrEx>
          <w:tblCellMar>
            <w:top w:w="0" w:type="dxa"/>
            <w:left w:w="108" w:type="dxa"/>
            <w:bottom w:w="0" w:type="dxa"/>
            <w:right w:w="108" w:type="dxa"/>
          </w:tblCellMar>
        </w:tblPrEx>
        <w:trPr>
          <w:trHeight w:val="8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10C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C666B">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D86F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第七十二条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5EF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生猪定点屠宰厂（场）对于不具备检验检测条件和能力的项目，可以委托检验检测机构承担，并与其签订委托检验检测合同，明确检验检测项目和依据、样品要求、样品处理方式、保存期以及异议处理等内容。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8CE8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查看委托协议等资料。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F4DB">
            <w:pPr>
              <w:rPr>
                <w:rFonts w:ascii="宋体" w:hAnsi="宋体" w:eastAsia="宋体" w:cs="宋体"/>
                <w:color w:val="000000"/>
                <w:sz w:val="20"/>
                <w:szCs w:val="20"/>
              </w:rPr>
            </w:pPr>
          </w:p>
        </w:tc>
      </w:tr>
      <w:tr w14:paraId="09C4DB6D">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14F0">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2E305">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30C90">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160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检验检测机构应当取得法律法规规定的授权或资质认定。</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BD8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查看证书等资料。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81FA5">
            <w:pPr>
              <w:rPr>
                <w:rFonts w:ascii="宋体" w:hAnsi="宋体" w:eastAsia="宋体" w:cs="宋体"/>
                <w:color w:val="000000"/>
                <w:sz w:val="20"/>
                <w:szCs w:val="20"/>
              </w:rPr>
            </w:pPr>
          </w:p>
        </w:tc>
      </w:tr>
      <w:tr w14:paraId="06BF211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3E8B7">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149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80E7">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5034">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6394">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生猪定点屠宰厂（场）未配备病死生猪及病害生猪产品无害化处理设施设备的，应当委托动物和动物产品无害化处理场所进行无害化处理，并与其签订委托处理协议，明确双方权利和义务。</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27DA5">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查看委托协议等资料。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4B1A">
            <w:pPr>
              <w:rPr>
                <w:rFonts w:ascii="宋体" w:hAnsi="宋体" w:eastAsia="宋体" w:cs="宋体"/>
                <w:color w:val="000000"/>
                <w:sz w:val="20"/>
                <w:szCs w:val="20"/>
              </w:rPr>
            </w:pPr>
          </w:p>
        </w:tc>
      </w:tr>
      <w:tr w14:paraId="5D0E2F8C">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143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B74E1">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7AFE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第七十三条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671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动物和动物产品无害化处理场所应当符合法律法规规定的条件。</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BCE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查看动物防疫条件合格证等资料。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B30F">
            <w:pPr>
              <w:rPr>
                <w:rFonts w:ascii="宋体" w:hAnsi="宋体" w:eastAsia="宋体" w:cs="宋体"/>
                <w:color w:val="000000"/>
                <w:sz w:val="20"/>
                <w:szCs w:val="20"/>
              </w:rPr>
            </w:pPr>
          </w:p>
        </w:tc>
      </w:tr>
      <w:tr w14:paraId="44CDEC60">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3F6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151</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61C1A">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1D5FD">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93D7">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委托进行无害化处理的，应当设置病死生猪及病害生猪产品暂存场所，相关设施设备和存储条件符合防疫和生物安全要求，能够满足暂存需要。</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EA1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实地查看。</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536B6">
            <w:pPr>
              <w:rPr>
                <w:rFonts w:ascii="宋体" w:hAnsi="宋体" w:eastAsia="宋体" w:cs="宋体"/>
                <w:color w:val="000000"/>
                <w:sz w:val="20"/>
                <w:szCs w:val="20"/>
              </w:rPr>
            </w:pPr>
          </w:p>
        </w:tc>
      </w:tr>
      <w:tr w14:paraId="2B27B05B">
        <w:tblPrEx>
          <w:tblCellMar>
            <w:top w:w="0" w:type="dxa"/>
            <w:left w:w="108" w:type="dxa"/>
            <w:bottom w:w="0" w:type="dxa"/>
            <w:right w:w="108" w:type="dxa"/>
          </w:tblCellMar>
        </w:tblPrEx>
        <w:trPr>
          <w:trHeight w:val="4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0709">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 xml:space="preserve">  152*</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AD319">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F73E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09F0">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应当建立暂存转运台账记录。</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1E3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7C13">
            <w:pPr>
              <w:rPr>
                <w:rFonts w:ascii="宋体" w:hAnsi="宋体" w:eastAsia="宋体" w:cs="宋体"/>
                <w:color w:val="000000"/>
                <w:sz w:val="20"/>
                <w:szCs w:val="20"/>
              </w:rPr>
            </w:pPr>
          </w:p>
        </w:tc>
      </w:tr>
      <w:tr w14:paraId="45B78EA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17A0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153</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A06C5">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BF4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第七十四条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25B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生猪定点屠宰厂（场）委托物流公司运输生猪产品的，应当与物流公司签订委托协议，明确运输车辆温度控制、清洗消毒等产品质量控制和管理要求。</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ED8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查看委托协议等资料。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0720">
            <w:pPr>
              <w:rPr>
                <w:rFonts w:ascii="宋体" w:hAnsi="宋体" w:eastAsia="宋体" w:cs="宋体"/>
                <w:color w:val="000000"/>
                <w:sz w:val="20"/>
                <w:szCs w:val="20"/>
              </w:rPr>
            </w:pPr>
          </w:p>
        </w:tc>
      </w:tr>
      <w:tr w14:paraId="663AF63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FBEE">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154</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D01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第十章</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质量监督与记录管理</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EB19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第七十五条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B4A7A">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生猪定点屠宰厂（场）应当建立现场巡查制度，规定巡查位点、巡查内容、巡查频次、异常情况界定、处置方式、处置权限和巡查记录等内容。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3C8F">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FB7A">
            <w:pPr>
              <w:rPr>
                <w:rFonts w:ascii="宋体" w:hAnsi="宋体" w:eastAsia="宋体" w:cs="宋体"/>
                <w:color w:val="000000"/>
                <w:sz w:val="20"/>
                <w:szCs w:val="20"/>
              </w:rPr>
            </w:pPr>
          </w:p>
        </w:tc>
      </w:tr>
      <w:tr w14:paraId="6AD51F3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9D763">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155</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51964">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432A">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59D2">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现场巡查记录应当包括巡查位点、巡查内容、异常情况描述、处置方式、处置结果、巡查时间、巡查人等内容。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44FA6">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30F7">
            <w:pPr>
              <w:rPr>
                <w:rFonts w:ascii="宋体" w:hAnsi="宋体" w:eastAsia="宋体" w:cs="宋体"/>
                <w:color w:val="000000"/>
                <w:sz w:val="20"/>
                <w:szCs w:val="20"/>
              </w:rPr>
            </w:pPr>
          </w:p>
        </w:tc>
      </w:tr>
      <w:tr w14:paraId="0F07F42B">
        <w:tblPrEx>
          <w:tblCellMar>
            <w:top w:w="0" w:type="dxa"/>
            <w:left w:w="108" w:type="dxa"/>
            <w:bottom w:w="0" w:type="dxa"/>
            <w:right w:w="108" w:type="dxa"/>
          </w:tblCellMar>
        </w:tblPrEx>
        <w:trPr>
          <w:trHeight w:val="8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9A37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156</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71851">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CD1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第七十六条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1655">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生猪定点屠宰厂（场）应当对各项管理制度措施落实情况开展定期检查和评查，及时纠正发现的问题。检查和评查工作完成后应当形成记录和报告，记录检查结果、评查结论以及改进措施和建议。</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496F">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查看记录、报告等资料。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1CA1">
            <w:pPr>
              <w:rPr>
                <w:rFonts w:ascii="宋体" w:hAnsi="宋体" w:eastAsia="宋体" w:cs="宋体"/>
                <w:color w:val="000000"/>
                <w:sz w:val="20"/>
                <w:szCs w:val="20"/>
              </w:rPr>
            </w:pPr>
          </w:p>
        </w:tc>
      </w:tr>
      <w:tr w14:paraId="5A1A3CF1">
        <w:tblPrEx>
          <w:tblCellMar>
            <w:top w:w="0" w:type="dxa"/>
            <w:left w:w="108" w:type="dxa"/>
            <w:bottom w:w="0" w:type="dxa"/>
            <w:right w:w="108" w:type="dxa"/>
          </w:tblCellMar>
        </w:tblPrEx>
        <w:trPr>
          <w:trHeight w:val="8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1A05">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157</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02C59">
            <w:pPr>
              <w:jc w:val="center"/>
              <w:rPr>
                <w:rFonts w:ascii="宋体" w:hAnsi="宋体" w:eastAsia="宋体" w:cs="宋体"/>
                <w:color w:val="000000"/>
                <w:sz w:val="20"/>
                <w:szCs w:val="20"/>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4D8B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第七十七条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1598">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生猪定点屠宰厂（场）应当按照本规范的要求严格记录管理，对需填写的记录统一编制表单，明确填写要求和保存期限等。除法律法规中明确规定保存期限的记录外，其他记录保存期限不得少于1年。</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87A3">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1242">
            <w:pPr>
              <w:rPr>
                <w:rFonts w:ascii="宋体" w:hAnsi="宋体" w:eastAsia="宋体" w:cs="宋体"/>
                <w:color w:val="000000"/>
                <w:sz w:val="20"/>
                <w:szCs w:val="20"/>
              </w:rPr>
            </w:pPr>
          </w:p>
        </w:tc>
      </w:tr>
      <w:tr w14:paraId="0FC861F8">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B601">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158</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F5962">
            <w:pPr>
              <w:jc w:val="center"/>
              <w:rPr>
                <w:rFonts w:ascii="宋体" w:hAnsi="宋体" w:eastAsia="宋体" w:cs="宋体"/>
                <w:color w:val="000000"/>
                <w:sz w:val="20"/>
                <w:szCs w:val="20"/>
              </w:rPr>
            </w:pP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1377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第七十九条</w:t>
            </w: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BFEE">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取得生猪定点屠宰资格后，生猪定点屠宰厂（场）应当按照农业农村部要求及时在全国畜禽屠宰行业管理系统填报相关信息。</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A05D">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查看全国畜禽屠宰行业管理系统。</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D26F">
            <w:pPr>
              <w:rPr>
                <w:rFonts w:ascii="宋体" w:hAnsi="宋体" w:eastAsia="宋体" w:cs="宋体"/>
                <w:color w:val="000000"/>
                <w:sz w:val="20"/>
                <w:szCs w:val="20"/>
              </w:rPr>
            </w:pPr>
          </w:p>
        </w:tc>
      </w:tr>
      <w:tr w14:paraId="2627A1D2">
        <w:tblPrEx>
          <w:tblCellMar>
            <w:top w:w="0" w:type="dxa"/>
            <w:left w:w="108" w:type="dxa"/>
            <w:bottom w:w="0" w:type="dxa"/>
            <w:right w:w="108" w:type="dxa"/>
          </w:tblCellMar>
        </w:tblPrEx>
        <w:trPr>
          <w:trHeight w:val="6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7E6D">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159</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8A631">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6ED98">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6691">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生猪定点屠宰厂（场）应当按照《中华人民共和国统计法》和生猪等畜禽屠宰统计调查制度要求，建立屠宰信息报送制度，明确填报人和负责人。</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9431">
            <w:pPr>
              <w:widowControl/>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查看制度文本等资料，现场提问。</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6559">
            <w:pPr>
              <w:rPr>
                <w:rFonts w:ascii="宋体" w:hAnsi="宋体" w:eastAsia="宋体" w:cs="宋体"/>
                <w:color w:val="000000"/>
                <w:sz w:val="20"/>
                <w:szCs w:val="20"/>
              </w:rPr>
            </w:pPr>
          </w:p>
        </w:tc>
      </w:tr>
      <w:tr w14:paraId="6EF9EA9D">
        <w:tblPrEx>
          <w:tblCellMar>
            <w:top w:w="0" w:type="dxa"/>
            <w:left w:w="108" w:type="dxa"/>
            <w:bottom w:w="0" w:type="dxa"/>
            <w:right w:w="108" w:type="dxa"/>
          </w:tblCellMar>
        </w:tblPrEx>
        <w:trPr>
          <w:trHeight w:val="800" w:hRule="atLeast"/>
          <w:jc w:val="center"/>
        </w:trPr>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B694F">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160</w:t>
            </w: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E9657">
            <w:pPr>
              <w:jc w:val="center"/>
              <w:rPr>
                <w:rFonts w:ascii="宋体" w:hAnsi="宋体" w:eastAsia="宋体" w:cs="宋体"/>
                <w:color w:val="000000"/>
                <w:sz w:val="20"/>
                <w:szCs w:val="20"/>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1FE1">
            <w:pPr>
              <w:jc w:val="center"/>
              <w:rPr>
                <w:rFonts w:ascii="宋体" w:hAnsi="宋体" w:eastAsia="宋体" w:cs="宋体"/>
                <w:color w:val="000000"/>
                <w:sz w:val="20"/>
                <w:szCs w:val="20"/>
              </w:rPr>
            </w:pPr>
          </w:p>
        </w:tc>
        <w:tc>
          <w:tcPr>
            <w:tcW w:w="28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248C">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真实、准确、及时和完整地报送统计调查制度规定的调查内容。</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306B0">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查看记录等资料、全国畜禽屠宰行业管理系统。</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ADA5">
            <w:pPr>
              <w:rPr>
                <w:rFonts w:ascii="宋体" w:hAnsi="宋体" w:eastAsia="宋体" w:cs="宋体"/>
                <w:color w:val="000000"/>
                <w:sz w:val="20"/>
                <w:szCs w:val="20"/>
              </w:rPr>
            </w:pPr>
          </w:p>
        </w:tc>
      </w:tr>
    </w:tbl>
    <w:p w14:paraId="1851A1C2">
      <w:pPr>
        <w:pStyle w:val="12"/>
        <w:rPr>
          <w:rFonts w:ascii="黑体" w:hAnsi="宋体" w:eastAsia="黑体" w:cs="黑体"/>
          <w:sz w:val="32"/>
          <w:szCs w:val="32"/>
        </w:rPr>
      </w:pPr>
    </w:p>
    <w:p w14:paraId="79F8FE74">
      <w:pPr>
        <w:pStyle w:val="12"/>
        <w:rPr>
          <w:rFonts w:ascii="黑体" w:hAnsi="宋体" w:eastAsia="黑体" w:cs="黑体"/>
          <w:sz w:val="32"/>
          <w:szCs w:val="32"/>
        </w:rPr>
      </w:pPr>
    </w:p>
    <w:p w14:paraId="5C3CA835">
      <w:pPr>
        <w:pStyle w:val="12"/>
        <w:rPr>
          <w:rFonts w:ascii="黑体" w:hAnsi="宋体" w:eastAsia="黑体" w:cs="黑体"/>
          <w:sz w:val="32"/>
          <w:szCs w:val="32"/>
        </w:rPr>
        <w:sectPr>
          <w:pgSz w:w="16838" w:h="11906" w:orient="landscape"/>
          <w:pgMar w:top="567" w:right="1440" w:bottom="567" w:left="1440" w:header="851" w:footer="992" w:gutter="0"/>
          <w:pgNumType w:fmt="numberInDash"/>
          <w:cols w:space="708" w:num="1"/>
          <w:docGrid w:type="lines" w:linePitch="312" w:charSpace="0"/>
        </w:sectPr>
      </w:pPr>
    </w:p>
    <w:p w14:paraId="437995DC">
      <w:pPr>
        <w:pStyle w:val="17"/>
        <w:rPr>
          <w:rFonts w:ascii="Times New Roman" w:hAnsi="Times New Roman" w:eastAsia="黑体"/>
          <w:sz w:val="10"/>
          <w:szCs w:val="10"/>
        </w:rPr>
      </w:pPr>
      <w:r>
        <w:rPr>
          <w:rFonts w:ascii="黑体" w:hAnsi="宋体" w:eastAsia="黑体" w:cs="黑体"/>
          <w:sz w:val="32"/>
          <w:szCs w:val="32"/>
        </w:rPr>
        <w:t>附录</w:t>
      </w:r>
      <w:r>
        <w:rPr>
          <w:rFonts w:ascii="Times New Roman" w:hAnsi="Times New Roman" w:eastAsia="黑体"/>
          <w:sz w:val="32"/>
          <w:szCs w:val="32"/>
        </w:rPr>
        <w:t>2</w:t>
      </w:r>
    </w:p>
    <w:p w14:paraId="28530B5F">
      <w:pPr>
        <w:pStyle w:val="17"/>
        <w:spacing w:line="56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b/>
          <w:bCs/>
          <w:sz w:val="36"/>
          <w:szCs w:val="36"/>
        </w:rPr>
        <w:t>×××</w:t>
      </w:r>
      <w:r>
        <w:rPr>
          <w:rFonts w:ascii="方正小标宋简体" w:hAnsi="方正小标宋简体" w:eastAsia="方正小标宋简体" w:cs="方正小标宋简体"/>
          <w:sz w:val="36"/>
          <w:szCs w:val="36"/>
        </w:rPr>
        <w:t>生猪定点屠宰厂（场）</w:t>
      </w:r>
    </w:p>
    <w:p w14:paraId="5DA498E4">
      <w:pPr>
        <w:pStyle w:val="17"/>
        <w:spacing w:line="560" w:lineRule="exact"/>
        <w:jc w:val="center"/>
        <w:rPr>
          <w:rFonts w:ascii="方正小标宋简体" w:hAnsi="方正小标宋简体" w:eastAsia="方正小标宋简体" w:cs="方正小标宋简体"/>
          <w:sz w:val="10"/>
          <w:szCs w:val="10"/>
        </w:rPr>
      </w:pPr>
      <w:r>
        <w:rPr>
          <w:rFonts w:ascii="方正小标宋简体" w:hAnsi="方正小标宋简体" w:eastAsia="方正小标宋简体" w:cs="方正小标宋简体"/>
          <w:sz w:val="36"/>
          <w:szCs w:val="36"/>
        </w:rPr>
        <w:t>实施《生猪屠宰质量管理规范》情况自查报告</w:t>
      </w:r>
    </w:p>
    <w:p w14:paraId="7C4C788A">
      <w:pPr>
        <w:pStyle w:val="17"/>
        <w:spacing w:line="560" w:lineRule="exact"/>
        <w:jc w:val="center"/>
        <w:rPr>
          <w:rFonts w:ascii="黑体" w:hAnsi="宋体" w:eastAsia="黑体" w:cs="黑体"/>
          <w:sz w:val="10"/>
          <w:szCs w:val="10"/>
        </w:rPr>
      </w:pPr>
      <w:r>
        <w:rPr>
          <w:rFonts w:ascii="黑体" w:hAnsi="宋体" w:eastAsia="黑体" w:cs="黑体"/>
          <w:sz w:val="10"/>
          <w:szCs w:val="10"/>
        </w:rPr>
        <w:t xml:space="preserve"> </w:t>
      </w:r>
    </w:p>
    <w:p w14:paraId="6D812045">
      <w:pPr>
        <w:pStyle w:val="17"/>
        <w:autoSpaceDE w:val="0"/>
        <w:spacing w:line="540" w:lineRule="exact"/>
        <w:ind w:firstLine="640" w:firstLineChars="200"/>
        <w:rPr>
          <w:rFonts w:ascii="黑体" w:hAnsi="宋体" w:eastAsia="黑体" w:cs="黑体"/>
          <w:sz w:val="32"/>
          <w:szCs w:val="32"/>
        </w:rPr>
      </w:pPr>
      <w:r>
        <w:rPr>
          <w:rFonts w:ascii="黑体" w:hAnsi="宋体" w:eastAsia="黑体" w:cs="黑体"/>
          <w:sz w:val="32"/>
          <w:szCs w:val="32"/>
        </w:rPr>
        <w:t>一、基本情况</w:t>
      </w:r>
    </w:p>
    <w:p w14:paraId="22B11689">
      <w:pPr>
        <w:pStyle w:val="17"/>
        <w:widowControl/>
        <w:autoSpaceDE w:val="0"/>
        <w:snapToGrid w:val="0"/>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屠宰厂（场）设立时间、组织结构、屠宰能力（包括设计年屠宰能力和近三年每年实际屠宰量）和厂（场）区总平面图、周边环境图等基本信息。</w:t>
      </w:r>
    </w:p>
    <w:p w14:paraId="1B790500">
      <w:pPr>
        <w:pStyle w:val="17"/>
        <w:autoSpaceDE w:val="0"/>
        <w:spacing w:line="540" w:lineRule="exact"/>
        <w:ind w:firstLine="643" w:firstLineChars="200"/>
        <w:rPr>
          <w:rFonts w:ascii="仿宋_GB2312" w:eastAsia="仿宋_GB2312" w:cs="仿宋_GB2312"/>
          <w:sz w:val="32"/>
          <w:szCs w:val="32"/>
        </w:rPr>
      </w:pPr>
      <w:r>
        <w:rPr>
          <w:rFonts w:ascii="楷体_GB2312" w:eastAsia="楷体_GB2312" w:cs="楷体_GB2312"/>
          <w:b/>
          <w:bCs/>
          <w:sz w:val="32"/>
          <w:szCs w:val="32"/>
        </w:rPr>
        <w:t>（一）人员情况。</w:t>
      </w:r>
      <w:r>
        <w:rPr>
          <w:rFonts w:ascii="仿宋_GB2312" w:eastAsia="仿宋_GB2312" w:cs="仿宋_GB2312"/>
          <w:sz w:val="32"/>
          <w:szCs w:val="32"/>
        </w:rPr>
        <w:t>主要负责人、质量管理负责人、屠宰技术人员、兽医卫生检验人员登记表，包括学历、职称、工作年限、考核合格证书和健康证明取得时间等；质量管理负责人具备的能力和岗位职责；近两年培训情况。</w:t>
      </w:r>
    </w:p>
    <w:p w14:paraId="7D48EC6F">
      <w:pPr>
        <w:pStyle w:val="17"/>
        <w:autoSpaceDE w:val="0"/>
        <w:spacing w:line="540" w:lineRule="exact"/>
        <w:ind w:firstLine="643" w:firstLineChars="200"/>
        <w:rPr>
          <w:rFonts w:ascii="仿宋_GB2312" w:eastAsia="仿宋_GB2312" w:cs="仿宋_GB2312"/>
          <w:sz w:val="32"/>
          <w:szCs w:val="32"/>
        </w:rPr>
      </w:pPr>
      <w:r>
        <w:rPr>
          <w:rFonts w:ascii="楷体_GB2312" w:eastAsia="楷体_GB2312" w:cs="楷体_GB2312"/>
          <w:b/>
          <w:bCs/>
          <w:sz w:val="32"/>
          <w:szCs w:val="32"/>
        </w:rPr>
        <w:t>（二）设施设备情况。</w:t>
      </w:r>
      <w:r>
        <w:rPr>
          <w:rFonts w:ascii="仿宋_GB2312" w:eastAsia="仿宋_GB2312" w:cs="仿宋_GB2312"/>
          <w:sz w:val="32"/>
          <w:szCs w:val="32"/>
        </w:rPr>
        <w:t>待宰间、屠宰间、急宰间、检验室工艺平面图，水源、电源等情况。主要设备（包括屠宰、检验、消毒、污染防治、无害化处理等设施设备、运载工具）清单，包括设备名称、规格、型号、主要技术参数等。</w:t>
      </w:r>
    </w:p>
    <w:p w14:paraId="572F7C1D">
      <w:pPr>
        <w:pStyle w:val="17"/>
        <w:autoSpaceDE w:val="0"/>
        <w:spacing w:line="540" w:lineRule="exact"/>
        <w:ind w:firstLine="643" w:firstLineChars="200"/>
        <w:rPr>
          <w:rFonts w:ascii="仿宋_GB2312" w:eastAsia="仿宋_GB2312" w:cs="仿宋_GB2312"/>
          <w:sz w:val="32"/>
          <w:szCs w:val="32"/>
        </w:rPr>
      </w:pPr>
      <w:r>
        <w:rPr>
          <w:rFonts w:ascii="楷体_GB2312" w:eastAsia="楷体_GB2312" w:cs="楷体_GB2312"/>
          <w:b/>
          <w:bCs/>
          <w:sz w:val="32"/>
          <w:szCs w:val="32"/>
        </w:rPr>
        <w:t>（三）管理文件。</w:t>
      </w:r>
      <w:r>
        <w:rPr>
          <w:rFonts w:ascii="仿宋_GB2312" w:eastAsia="仿宋_GB2312" w:cs="仿宋_GB2312"/>
          <w:sz w:val="32"/>
          <w:szCs w:val="32"/>
        </w:rPr>
        <w:t>主要管理制度文本和空白记录样张等。</w:t>
      </w:r>
    </w:p>
    <w:p w14:paraId="21861C17">
      <w:pPr>
        <w:pStyle w:val="17"/>
        <w:autoSpaceDE w:val="0"/>
        <w:spacing w:line="540" w:lineRule="exact"/>
        <w:ind w:firstLine="643" w:firstLineChars="200"/>
        <w:rPr>
          <w:rFonts w:ascii="仿宋_GB2312" w:eastAsia="仿宋_GB2312"/>
          <w:sz w:val="32"/>
          <w:szCs w:val="32"/>
        </w:rPr>
      </w:pPr>
      <w:r>
        <w:rPr>
          <w:rFonts w:ascii="楷体_GB2312" w:eastAsia="楷体_GB2312" w:cs="楷体_GB2312"/>
          <w:b/>
          <w:bCs/>
          <w:sz w:val="32"/>
          <w:szCs w:val="32"/>
        </w:rPr>
        <w:t>（四）其他。</w:t>
      </w:r>
      <w:r>
        <w:rPr>
          <w:rFonts w:ascii="仿宋_GB2312" w:eastAsia="仿宋_GB2312" w:cs="仿宋_GB2312"/>
          <w:sz w:val="32"/>
          <w:szCs w:val="32"/>
        </w:rPr>
        <w:t>如有委托行为的，需提供委托协议。</w:t>
      </w:r>
    </w:p>
    <w:p w14:paraId="2C022413">
      <w:pPr>
        <w:pStyle w:val="17"/>
        <w:autoSpaceDE w:val="0"/>
        <w:spacing w:line="540" w:lineRule="exact"/>
        <w:ind w:firstLine="640" w:firstLineChars="200"/>
        <w:rPr>
          <w:rFonts w:ascii="黑体" w:hAnsi="宋体" w:eastAsia="黑体" w:cs="黑体"/>
          <w:sz w:val="32"/>
          <w:szCs w:val="32"/>
        </w:rPr>
      </w:pPr>
      <w:r>
        <w:rPr>
          <w:rFonts w:ascii="黑体" w:hAnsi="宋体" w:eastAsia="黑体" w:cs="黑体"/>
          <w:sz w:val="32"/>
          <w:szCs w:val="32"/>
        </w:rPr>
        <w:t>二、自查实施情况</w:t>
      </w:r>
    </w:p>
    <w:p w14:paraId="1C0047FD">
      <w:pPr>
        <w:pStyle w:val="17"/>
        <w:autoSpaceDE w:val="0"/>
        <w:spacing w:line="540" w:lineRule="exact"/>
        <w:ind w:firstLine="643" w:firstLineChars="200"/>
        <w:rPr>
          <w:rFonts w:ascii="楷体_GB2312" w:eastAsia="楷体_GB2312" w:cs="楷体_GB2312"/>
          <w:b/>
          <w:bCs/>
          <w:sz w:val="32"/>
          <w:szCs w:val="32"/>
        </w:rPr>
      </w:pPr>
      <w:r>
        <w:rPr>
          <w:rFonts w:ascii="楷体_GB2312" w:eastAsia="楷体_GB2312" w:cs="楷体_GB2312"/>
          <w:b/>
          <w:bCs/>
          <w:sz w:val="32"/>
          <w:szCs w:val="32"/>
        </w:rPr>
        <w:t>（一）自查组织情况。</w:t>
      </w:r>
      <w:r>
        <w:rPr>
          <w:rFonts w:ascii="仿宋_GB2312" w:eastAsia="仿宋_GB2312" w:cs="仿宋_GB2312"/>
          <w:sz w:val="32"/>
          <w:szCs w:val="32"/>
        </w:rPr>
        <w:t>包括自查时间、方式、内容等。</w:t>
      </w:r>
    </w:p>
    <w:p w14:paraId="7586785E">
      <w:pPr>
        <w:pStyle w:val="17"/>
        <w:autoSpaceDE w:val="0"/>
        <w:spacing w:line="540" w:lineRule="exact"/>
        <w:ind w:firstLine="643" w:firstLineChars="200"/>
        <w:rPr>
          <w:rFonts w:ascii="仿宋_GB2312" w:eastAsia="仿宋_GB2312" w:cs="仿宋_GB2312"/>
          <w:sz w:val="32"/>
          <w:szCs w:val="32"/>
        </w:rPr>
      </w:pPr>
      <w:r>
        <w:rPr>
          <w:rFonts w:ascii="楷体_GB2312" w:eastAsia="楷体_GB2312" w:cs="楷体_GB2312"/>
          <w:b/>
          <w:bCs/>
          <w:sz w:val="32"/>
          <w:szCs w:val="32"/>
        </w:rPr>
        <w:t>（二）自查发现的问题。</w:t>
      </w:r>
      <w:r>
        <w:rPr>
          <w:rFonts w:ascii="仿宋_GB2312" w:eastAsia="仿宋_GB2312" w:cs="仿宋_GB2312"/>
          <w:sz w:val="32"/>
          <w:szCs w:val="32"/>
        </w:rPr>
        <w:t>对照《生猪屠宰质量管理规范检查标准》，自查发现的缺陷项目数量，逐项列明缺陷项目具体情形（附文字图片）。</w:t>
      </w:r>
    </w:p>
    <w:p w14:paraId="227CD29B">
      <w:pPr>
        <w:pStyle w:val="17"/>
        <w:autoSpaceDE w:val="0"/>
        <w:spacing w:line="540" w:lineRule="exact"/>
        <w:ind w:firstLine="643" w:firstLineChars="200"/>
        <w:rPr>
          <w:rFonts w:ascii="仿宋_GB2312" w:eastAsia="仿宋_GB2312" w:cs="仿宋_GB2312"/>
          <w:sz w:val="32"/>
          <w:szCs w:val="32"/>
        </w:rPr>
      </w:pPr>
      <w:r>
        <w:rPr>
          <w:rFonts w:ascii="楷体_GB2312" w:eastAsia="楷体_GB2312" w:cs="楷体_GB2312"/>
          <w:b/>
          <w:bCs/>
          <w:sz w:val="32"/>
          <w:szCs w:val="32"/>
        </w:rPr>
        <w:t>（三）问题整改情况。</w:t>
      </w:r>
      <w:r>
        <w:rPr>
          <w:rFonts w:ascii="仿宋_GB2312" w:eastAsia="仿宋_GB2312" w:cs="仿宋_GB2312"/>
          <w:sz w:val="32"/>
          <w:szCs w:val="32"/>
        </w:rPr>
        <w:t>采取的主要整改措施、整改结果（附文字图片）和自查结论。</w:t>
      </w:r>
    </w:p>
    <w:p w14:paraId="11E494A2">
      <w:pPr>
        <w:pStyle w:val="17"/>
        <w:spacing w:line="560" w:lineRule="exact"/>
        <w:rPr>
          <w:rFonts w:ascii="黑体" w:hAnsi="宋体" w:eastAsia="黑体" w:cs="黑体"/>
          <w:sz w:val="10"/>
          <w:szCs w:val="10"/>
        </w:rPr>
      </w:pPr>
      <w:r>
        <w:rPr>
          <w:rFonts w:ascii="黑体" w:hAnsi="宋体" w:eastAsia="黑体" w:cs="黑体"/>
          <w:sz w:val="32"/>
          <w:szCs w:val="32"/>
        </w:rPr>
        <w:br w:type="page"/>
      </w:r>
      <w:r>
        <w:rPr>
          <w:rFonts w:ascii="黑体" w:hAnsi="宋体" w:eastAsia="黑体" w:cs="黑体"/>
          <w:sz w:val="32"/>
          <w:szCs w:val="32"/>
        </w:rPr>
        <w:t>附录3</w:t>
      </w:r>
    </w:p>
    <w:p w14:paraId="5B70A85A">
      <w:pPr>
        <w:pStyle w:val="17"/>
        <w:jc w:val="center"/>
        <w:rPr>
          <w:rFonts w:ascii="方正小标宋简体" w:hAnsi="方正小标宋简体" w:eastAsia="方正小标宋简体" w:cs="方正小标宋简体"/>
          <w:sz w:val="36"/>
          <w:szCs w:val="36"/>
        </w:rPr>
      </w:pPr>
      <w:r>
        <w:rPr>
          <w:rFonts w:ascii="黑体" w:hAnsi="宋体" w:eastAsia="黑体" w:cs="黑体"/>
          <w:sz w:val="10"/>
          <w:szCs w:val="10"/>
        </w:rPr>
        <w:t xml:space="preserve"> </w:t>
      </w:r>
    </w:p>
    <w:p w14:paraId="041DB446">
      <w:pPr>
        <w:pStyle w:val="17"/>
        <w:jc w:val="center"/>
        <w:rPr>
          <w:rFonts w:ascii="华文中宋" w:hAnsi="华文中宋" w:eastAsia="华文中宋" w:cs="方正小标宋简体"/>
          <w:sz w:val="36"/>
          <w:szCs w:val="36"/>
        </w:rPr>
      </w:pPr>
      <w:r>
        <w:rPr>
          <w:rFonts w:ascii="方正小标宋简体" w:hAnsi="方正小标宋简体" w:eastAsia="方正小标宋简体" w:cs="方正小标宋简体"/>
          <w:sz w:val="36"/>
          <w:szCs w:val="36"/>
        </w:rPr>
        <w:t>生猪屠宰质量管理规范检查工作方案</w:t>
      </w:r>
    </w:p>
    <w:p w14:paraId="4F347648">
      <w:pPr>
        <w:pStyle w:val="17"/>
        <w:rPr>
          <w:rFonts w:ascii="仿宋" w:hAnsi="仿宋" w:eastAsia="仿宋" w:cs="仿宋"/>
          <w:sz w:val="10"/>
          <w:szCs w:val="10"/>
        </w:rPr>
      </w:pPr>
      <w:r>
        <w:rPr>
          <w:rFonts w:ascii="仿宋" w:hAnsi="仿宋" w:eastAsia="仿宋" w:cs="仿宋"/>
          <w:sz w:val="10"/>
          <w:szCs w:val="10"/>
        </w:rPr>
        <w:t xml:space="preserve"> </w:t>
      </w:r>
    </w:p>
    <w:p w14:paraId="19EB0EED">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根据《生猪屠宰管理条例》、《生猪屠宰质量管理规范》和《生猪屠宰质量管理规范检查标准》，现对</w:t>
      </w:r>
      <w:r>
        <w:rPr>
          <w:rFonts w:ascii="Times New Roman" w:hAnsi="Times New Roman" w:eastAsia="仿宋_GB2312"/>
          <w:sz w:val="32"/>
          <w:szCs w:val="32"/>
        </w:rPr>
        <w:t>×××</w:t>
      </w:r>
      <w:r>
        <w:rPr>
          <w:rFonts w:ascii="仿宋_GB2312" w:eastAsia="仿宋_GB2312" w:cs="仿宋_GB2312"/>
          <w:sz w:val="32"/>
          <w:szCs w:val="32"/>
        </w:rPr>
        <w:t>实施现场检查。检查工作方案如下。</w:t>
      </w:r>
    </w:p>
    <w:p w14:paraId="620951B2">
      <w:pPr>
        <w:pStyle w:val="17"/>
        <w:numPr>
          <w:ilvl w:val="0"/>
          <w:numId w:val="2"/>
        </w:numPr>
        <w:spacing w:line="560" w:lineRule="exact"/>
        <w:ind w:firstLine="640" w:firstLineChars="200"/>
        <w:rPr>
          <w:rFonts w:ascii="黑体" w:hAnsi="宋体" w:eastAsia="黑体" w:cs="黑体"/>
          <w:sz w:val="32"/>
          <w:szCs w:val="32"/>
        </w:rPr>
      </w:pPr>
      <w:r>
        <w:rPr>
          <w:rFonts w:ascii="黑体" w:hAnsi="宋体" w:eastAsia="黑体" w:cs="黑体"/>
          <w:sz w:val="32"/>
          <w:szCs w:val="32"/>
        </w:rPr>
        <w:t>生猪定点屠宰厂（场）基本信息</w:t>
      </w:r>
    </w:p>
    <w:p w14:paraId="19004FE7">
      <w:pPr>
        <w:pStyle w:val="17"/>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ascii="仿宋_GB2312" w:hAnsi="Times New Roman" w:eastAsia="仿宋_GB2312" w:cs="仿宋_GB2312"/>
          <w:sz w:val="32"/>
          <w:szCs w:val="32"/>
        </w:rPr>
        <w:t>位于</w:t>
      </w:r>
      <w:r>
        <w:rPr>
          <w:rFonts w:ascii="Times New Roman" w:hAnsi="Times New Roman" w:eastAsia="仿宋_GB2312"/>
          <w:sz w:val="32"/>
          <w:szCs w:val="32"/>
        </w:rPr>
        <w:t>×××</w:t>
      </w:r>
      <w:r>
        <w:rPr>
          <w:rFonts w:ascii="仿宋_GB2312" w:hAnsi="Times New Roman" w:eastAsia="仿宋_GB2312" w:cs="仿宋_GB2312"/>
          <w:sz w:val="32"/>
          <w:szCs w:val="32"/>
        </w:rPr>
        <w:t>（生产地址），于</w:t>
      </w:r>
      <w:r>
        <w:rPr>
          <w:rFonts w:ascii="Times New Roman" w:hAnsi="Times New Roman" w:eastAsia="仿宋_GB2312"/>
          <w:sz w:val="32"/>
          <w:szCs w:val="32"/>
        </w:rPr>
        <w:t>××</w:t>
      </w:r>
      <w:r>
        <w:rPr>
          <w:rFonts w:ascii="仿宋_GB2312" w:hAnsi="Times New Roman" w:eastAsia="仿宋_GB2312" w:cs="仿宋_GB2312"/>
          <w:sz w:val="32"/>
          <w:szCs w:val="32"/>
        </w:rPr>
        <w:t>年</w:t>
      </w:r>
      <w:r>
        <w:rPr>
          <w:rFonts w:ascii="Times New Roman" w:hAnsi="Times New Roman" w:eastAsia="仿宋_GB2312"/>
          <w:sz w:val="32"/>
          <w:szCs w:val="32"/>
        </w:rPr>
        <w:t>××</w:t>
      </w:r>
      <w:r>
        <w:rPr>
          <w:rFonts w:ascii="仿宋_GB2312" w:hAnsi="Times New Roman" w:eastAsia="仿宋_GB2312" w:cs="仿宋_GB2312"/>
          <w:sz w:val="32"/>
          <w:szCs w:val="32"/>
        </w:rPr>
        <w:t>月正式投产，生猪定点屠宰代码为</w:t>
      </w:r>
      <w:r>
        <w:rPr>
          <w:rFonts w:ascii="Times New Roman" w:hAnsi="Times New Roman" w:eastAsia="仿宋_GB2312"/>
          <w:sz w:val="32"/>
          <w:szCs w:val="32"/>
        </w:rPr>
        <w:t>×××</w:t>
      </w:r>
      <w:r>
        <w:rPr>
          <w:rFonts w:ascii="仿宋_GB2312" w:hAnsi="Times New Roman" w:eastAsia="仿宋_GB2312" w:cs="仿宋_GB2312"/>
          <w:sz w:val="32"/>
          <w:szCs w:val="32"/>
        </w:rPr>
        <w:t>。</w:t>
      </w:r>
    </w:p>
    <w:p w14:paraId="7F99B1F3">
      <w:pPr>
        <w:pStyle w:val="17"/>
        <w:spacing w:line="560" w:lineRule="exact"/>
        <w:ind w:firstLine="640" w:firstLineChars="200"/>
        <w:rPr>
          <w:rFonts w:ascii="黑体" w:hAnsi="宋体" w:eastAsia="黑体" w:cs="黑体"/>
          <w:sz w:val="32"/>
          <w:szCs w:val="32"/>
        </w:rPr>
      </w:pPr>
      <w:r>
        <w:rPr>
          <w:rFonts w:ascii="黑体" w:hAnsi="宋体" w:eastAsia="黑体" w:cs="黑体"/>
          <w:sz w:val="32"/>
          <w:szCs w:val="32"/>
        </w:rPr>
        <w:t>二、检查时间和检查程序</w:t>
      </w:r>
    </w:p>
    <w:p w14:paraId="5751CEFF">
      <w:pPr>
        <w:pStyle w:val="17"/>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检查时间：</w:t>
      </w:r>
      <w:r>
        <w:rPr>
          <w:rFonts w:ascii="Times New Roman" w:hAnsi="Times New Roman" w:eastAsia="仿宋_GB2312"/>
          <w:sz w:val="32"/>
          <w:szCs w:val="32"/>
        </w:rPr>
        <w:t>××</w:t>
      </w:r>
      <w:r>
        <w:rPr>
          <w:rFonts w:ascii="仿宋_GB2312" w:hAnsi="Times New Roman" w:eastAsia="仿宋_GB2312" w:cs="仿宋_GB2312"/>
          <w:sz w:val="32"/>
          <w:szCs w:val="32"/>
        </w:rPr>
        <w:t>年</w:t>
      </w:r>
      <w:r>
        <w:rPr>
          <w:rFonts w:ascii="Times New Roman" w:hAnsi="Times New Roman" w:eastAsia="仿宋_GB2312"/>
          <w:sz w:val="32"/>
          <w:szCs w:val="32"/>
        </w:rPr>
        <w:t>××</w:t>
      </w:r>
      <w:r>
        <w:rPr>
          <w:rFonts w:ascii="仿宋_GB2312" w:hAnsi="Times New Roman" w:eastAsia="仿宋_GB2312" w:cs="仿宋_GB2312"/>
          <w:sz w:val="32"/>
          <w:szCs w:val="32"/>
        </w:rPr>
        <w:t>月</w:t>
      </w:r>
      <w:r>
        <w:rPr>
          <w:rFonts w:ascii="Times New Roman" w:hAnsi="Times New Roman" w:eastAsia="仿宋_GB2312"/>
          <w:sz w:val="32"/>
          <w:szCs w:val="32"/>
        </w:rPr>
        <w:t>××</w:t>
      </w:r>
      <w:r>
        <w:rPr>
          <w:rFonts w:ascii="仿宋_GB2312" w:hAnsi="Times New Roman" w:eastAsia="仿宋_GB2312" w:cs="仿宋_GB2312"/>
          <w:sz w:val="32"/>
          <w:szCs w:val="32"/>
        </w:rPr>
        <w:t>日至</w:t>
      </w:r>
      <w:r>
        <w:rPr>
          <w:rFonts w:ascii="Times New Roman" w:hAnsi="Times New Roman" w:eastAsia="仿宋_GB2312"/>
          <w:sz w:val="32"/>
          <w:szCs w:val="32"/>
        </w:rPr>
        <w:t>××</w:t>
      </w:r>
      <w:r>
        <w:rPr>
          <w:rFonts w:ascii="仿宋_GB2312" w:hAnsi="Times New Roman" w:eastAsia="仿宋_GB2312" w:cs="仿宋_GB2312"/>
          <w:sz w:val="32"/>
          <w:szCs w:val="32"/>
        </w:rPr>
        <w:t>年</w:t>
      </w:r>
      <w:r>
        <w:rPr>
          <w:rFonts w:ascii="Times New Roman" w:hAnsi="Times New Roman" w:eastAsia="仿宋_GB2312"/>
          <w:sz w:val="32"/>
          <w:szCs w:val="32"/>
        </w:rPr>
        <w:t>××</w:t>
      </w:r>
      <w:r>
        <w:rPr>
          <w:rFonts w:ascii="仿宋_GB2312" w:hAnsi="Times New Roman" w:eastAsia="仿宋_GB2312" w:cs="仿宋_GB2312"/>
          <w:sz w:val="32"/>
          <w:szCs w:val="32"/>
        </w:rPr>
        <w:t>月</w:t>
      </w:r>
      <w:r>
        <w:rPr>
          <w:rFonts w:ascii="Times New Roman" w:hAnsi="Times New Roman" w:eastAsia="仿宋_GB2312"/>
          <w:sz w:val="32"/>
          <w:szCs w:val="32"/>
        </w:rPr>
        <w:t>××</w:t>
      </w:r>
      <w:r>
        <w:rPr>
          <w:rFonts w:ascii="仿宋_GB2312" w:hAnsi="Times New Roman" w:eastAsia="仿宋_GB2312" w:cs="仿宋_GB2312"/>
          <w:sz w:val="32"/>
          <w:szCs w:val="32"/>
        </w:rPr>
        <w:t>日</w:t>
      </w:r>
    </w:p>
    <w:p w14:paraId="02D70F54">
      <w:pPr>
        <w:pStyle w:val="17"/>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检查程序：</w:t>
      </w:r>
    </w:p>
    <w:p w14:paraId="66CB56EF">
      <w:pPr>
        <w:pStyle w:val="17"/>
        <w:spacing w:line="560" w:lineRule="exact"/>
        <w:ind w:firstLine="643" w:firstLineChars="200"/>
        <w:rPr>
          <w:rFonts w:ascii="楷体_GB2312" w:eastAsia="楷体_GB2312" w:cs="楷体_GB2312"/>
          <w:sz w:val="32"/>
          <w:szCs w:val="32"/>
        </w:rPr>
      </w:pPr>
      <w:r>
        <w:rPr>
          <w:rFonts w:ascii="楷体_GB2312" w:eastAsia="楷体_GB2312" w:cs="楷体_GB2312"/>
          <w:b/>
          <w:bCs/>
          <w:sz w:val="32"/>
          <w:szCs w:val="32"/>
        </w:rPr>
        <w:t>第一阶段：首次会议</w:t>
      </w:r>
    </w:p>
    <w:p w14:paraId="3CF08DF7">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生猪定点屠宰厂（场）汇报生猪屠宰质量管理规范实施情况。</w:t>
      </w:r>
    </w:p>
    <w:p w14:paraId="708111AC">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检查组宣读检查纪律</w:t>
      </w:r>
      <w:r>
        <w:rPr>
          <w:rFonts w:ascii="仿宋_GB2312" w:hAnsi="Times New Roman" w:eastAsia="仿宋_GB2312" w:cs="仿宋_GB2312"/>
          <w:sz w:val="32"/>
          <w:szCs w:val="32"/>
        </w:rPr>
        <w:t>、签署《无利害关系声明和廉政承诺书》</w:t>
      </w:r>
      <w:r>
        <w:rPr>
          <w:rFonts w:ascii="仿宋_GB2312" w:eastAsia="仿宋_GB2312" w:cs="仿宋_GB2312"/>
          <w:sz w:val="32"/>
          <w:szCs w:val="32"/>
        </w:rPr>
        <w:t>，介绍检查要求和注意事项。</w:t>
      </w:r>
    </w:p>
    <w:p w14:paraId="589CDC29">
      <w:pPr>
        <w:pStyle w:val="17"/>
        <w:spacing w:line="560" w:lineRule="exact"/>
        <w:ind w:firstLine="643" w:firstLineChars="200"/>
        <w:rPr>
          <w:rFonts w:ascii="楷体_GB2312" w:eastAsia="楷体_GB2312" w:cs="楷体_GB2312"/>
          <w:b/>
          <w:bCs/>
          <w:sz w:val="32"/>
          <w:szCs w:val="32"/>
        </w:rPr>
      </w:pPr>
      <w:r>
        <w:rPr>
          <w:rFonts w:ascii="楷体_GB2312" w:eastAsia="楷体_GB2312" w:cs="楷体_GB2312"/>
          <w:b/>
          <w:bCs/>
          <w:sz w:val="32"/>
          <w:szCs w:val="32"/>
        </w:rPr>
        <w:t>第二阶段：实地查看建设运行情况</w:t>
      </w:r>
    </w:p>
    <w:p w14:paraId="4B773809">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检查组对照《生猪屠宰质量管理规范检查标准》，对需要实地查看的项目在相应点位进行实地检查，进行必要的询问或提问，逐项评定。</w:t>
      </w:r>
    </w:p>
    <w:p w14:paraId="66CA9E00">
      <w:pPr>
        <w:pStyle w:val="17"/>
        <w:spacing w:line="560" w:lineRule="exact"/>
        <w:ind w:firstLine="643" w:firstLineChars="200"/>
        <w:rPr>
          <w:rFonts w:ascii="楷体_GB2312" w:eastAsia="楷体_GB2312" w:cs="楷体_GB2312"/>
          <w:b/>
          <w:bCs/>
          <w:sz w:val="32"/>
          <w:szCs w:val="32"/>
        </w:rPr>
      </w:pPr>
      <w:r>
        <w:rPr>
          <w:rFonts w:ascii="楷体_GB2312" w:eastAsia="楷体_GB2312" w:cs="楷体_GB2312"/>
          <w:b/>
          <w:bCs/>
          <w:sz w:val="32"/>
          <w:szCs w:val="32"/>
        </w:rPr>
        <w:t>第三阶段：查阅资料和提问交流</w:t>
      </w:r>
    </w:p>
    <w:p w14:paraId="16B2DDBF">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检查组对照《生猪屠宰质量管理规范检查标准》，对需要查看资料的项目逐项查阅制度文本和记录等资料，进行必要的询问或提问，逐项评定。</w:t>
      </w:r>
    </w:p>
    <w:p w14:paraId="557C6C6F">
      <w:pPr>
        <w:pStyle w:val="17"/>
        <w:spacing w:line="560" w:lineRule="exact"/>
        <w:ind w:firstLine="643" w:firstLineChars="200"/>
        <w:rPr>
          <w:rFonts w:ascii="楷体_GB2312" w:eastAsia="楷体_GB2312" w:cs="楷体_GB2312"/>
          <w:b/>
          <w:bCs/>
          <w:sz w:val="32"/>
          <w:szCs w:val="32"/>
        </w:rPr>
      </w:pPr>
      <w:r>
        <w:rPr>
          <w:rFonts w:ascii="楷体_GB2312" w:eastAsia="楷体_GB2312" w:cs="楷体_GB2312"/>
          <w:b/>
          <w:bCs/>
          <w:sz w:val="32"/>
          <w:szCs w:val="32"/>
        </w:rPr>
        <w:t>第四阶段：检查总结和末次会议</w:t>
      </w:r>
    </w:p>
    <w:p w14:paraId="76040935">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检查组综合评定，梳理缺陷项目，撰写检查报告。</w:t>
      </w:r>
    </w:p>
    <w:p w14:paraId="6A69F004">
      <w:pPr>
        <w:pStyle w:val="17"/>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召开末次会议，通报现场检查情况，确认缺陷项目，宣布检查结论。</w:t>
      </w:r>
    </w:p>
    <w:p w14:paraId="63967850">
      <w:pPr>
        <w:pStyle w:val="17"/>
        <w:spacing w:line="560" w:lineRule="exact"/>
        <w:ind w:firstLine="640" w:firstLineChars="200"/>
        <w:rPr>
          <w:rFonts w:ascii="黑体" w:hAnsi="宋体" w:eastAsia="黑体" w:cs="黑体"/>
          <w:sz w:val="32"/>
          <w:szCs w:val="32"/>
        </w:rPr>
      </w:pPr>
      <w:r>
        <w:rPr>
          <w:rFonts w:ascii="黑体" w:hAnsi="宋体" w:eastAsia="黑体" w:cs="黑体"/>
          <w:sz w:val="32"/>
          <w:szCs w:val="32"/>
        </w:rPr>
        <w:t>三、检查组成员</w:t>
      </w:r>
    </w:p>
    <w:p w14:paraId="6EA2EE98">
      <w:pPr>
        <w:pStyle w:val="17"/>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组长：</w:t>
      </w:r>
      <w:r>
        <w:rPr>
          <w:rFonts w:ascii="Times New Roman" w:hAnsi="Times New Roman" w:eastAsia="仿宋_GB2312"/>
          <w:sz w:val="32"/>
          <w:szCs w:val="32"/>
        </w:rPr>
        <w:t>×××</w:t>
      </w:r>
    </w:p>
    <w:p w14:paraId="52E02720">
      <w:pPr>
        <w:pStyle w:val="17"/>
        <w:spacing w:line="560" w:lineRule="exact"/>
        <w:ind w:firstLine="640" w:firstLineChars="200"/>
        <w:rPr>
          <w:rFonts w:ascii="Times New Roman" w:hAnsi="Times New Roman" w:eastAsia="仿宋_GB2312"/>
          <w:sz w:val="32"/>
          <w:szCs w:val="32"/>
        </w:rPr>
      </w:pPr>
      <w:r>
        <w:rPr>
          <w:rFonts w:ascii="仿宋_GB2312" w:hAnsi="Times New Roman" w:eastAsia="仿宋_GB2312" w:cs="仿宋_GB2312"/>
          <w:sz w:val="32"/>
          <w:szCs w:val="32"/>
        </w:rPr>
        <w:t>组员：</w:t>
      </w:r>
      <w:r>
        <w:rPr>
          <w:rFonts w:ascii="Times New Roman" w:hAnsi="Times New Roman" w:eastAsia="仿宋_GB2312"/>
          <w:sz w:val="32"/>
          <w:szCs w:val="32"/>
        </w:rPr>
        <w:t>×××</w:t>
      </w:r>
      <w:r>
        <w:rPr>
          <w:rFonts w:ascii="仿宋_GB2312" w:hAnsi="Times New Roman" w:eastAsia="仿宋_GB2312" w:cs="仿宋_GB2312"/>
          <w:sz w:val="32"/>
          <w:szCs w:val="32"/>
        </w:rPr>
        <w:t>、</w:t>
      </w:r>
      <w:r>
        <w:rPr>
          <w:rFonts w:ascii="Times New Roman" w:hAnsi="Times New Roman" w:eastAsia="仿宋_GB2312"/>
          <w:sz w:val="32"/>
          <w:szCs w:val="32"/>
        </w:rPr>
        <w:t>×××</w:t>
      </w:r>
    </w:p>
    <w:p w14:paraId="6DCF6CEC">
      <w:pPr>
        <w:pStyle w:val="17"/>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ascii="仿宋_GB2312" w:hAnsi="Times New Roman" w:eastAsia="仿宋_GB2312" w:cs="仿宋_GB2312"/>
          <w:sz w:val="32"/>
          <w:szCs w:val="32"/>
        </w:rPr>
        <w:t>主要负责</w:t>
      </w:r>
      <w:r>
        <w:rPr>
          <w:rFonts w:ascii="Times New Roman" w:hAnsi="Times New Roman" w:eastAsia="仿宋_GB2312"/>
          <w:sz w:val="32"/>
          <w:szCs w:val="32"/>
        </w:rPr>
        <w:t>……</w:t>
      </w:r>
      <w:r>
        <w:rPr>
          <w:rFonts w:ascii="仿宋_GB2312" w:hAnsi="Times New Roman" w:eastAsia="仿宋_GB2312" w:cs="仿宋_GB2312"/>
          <w:sz w:val="32"/>
          <w:szCs w:val="32"/>
        </w:rPr>
        <w:t>；</w:t>
      </w:r>
    </w:p>
    <w:p w14:paraId="38873143">
      <w:pPr>
        <w:pStyle w:val="17"/>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ascii="仿宋_GB2312" w:hAnsi="Times New Roman" w:eastAsia="仿宋_GB2312" w:cs="仿宋_GB2312"/>
          <w:sz w:val="32"/>
          <w:szCs w:val="32"/>
        </w:rPr>
        <w:t>主要负责</w:t>
      </w:r>
      <w:r>
        <w:rPr>
          <w:rFonts w:ascii="Times New Roman" w:hAnsi="Times New Roman" w:eastAsia="仿宋_GB2312"/>
          <w:sz w:val="32"/>
          <w:szCs w:val="32"/>
        </w:rPr>
        <w:t>……</w:t>
      </w:r>
      <w:r>
        <w:rPr>
          <w:rFonts w:ascii="仿宋_GB2312" w:hAnsi="Times New Roman" w:eastAsia="仿宋_GB2312" w:cs="仿宋_GB2312"/>
          <w:sz w:val="32"/>
          <w:szCs w:val="32"/>
        </w:rPr>
        <w:t>；</w:t>
      </w:r>
    </w:p>
    <w:p w14:paraId="0200DA55">
      <w:pPr>
        <w:pStyle w:val="17"/>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ascii="仿宋_GB2312" w:hAnsi="Times New Roman" w:eastAsia="仿宋_GB2312" w:cs="仿宋_GB2312"/>
          <w:sz w:val="32"/>
          <w:szCs w:val="32"/>
        </w:rPr>
        <w:t>主要负责</w:t>
      </w:r>
      <w:r>
        <w:rPr>
          <w:rFonts w:ascii="Times New Roman" w:hAnsi="Times New Roman" w:eastAsia="仿宋_GB2312"/>
          <w:sz w:val="32"/>
          <w:szCs w:val="32"/>
        </w:rPr>
        <w:t>……</w:t>
      </w:r>
      <w:r>
        <w:rPr>
          <w:rFonts w:ascii="仿宋_GB2312" w:hAnsi="Times New Roman" w:eastAsia="仿宋_GB2312" w:cs="仿宋_GB2312"/>
          <w:sz w:val="32"/>
          <w:szCs w:val="32"/>
        </w:rPr>
        <w:t>。</w:t>
      </w:r>
    </w:p>
    <w:p w14:paraId="73814306">
      <w:pPr>
        <w:pStyle w:val="17"/>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w:t>
      </w:r>
    </w:p>
    <w:p w14:paraId="7CF9D501">
      <w:pPr>
        <w:pStyle w:val="12"/>
        <w:rPr>
          <w:rFonts w:ascii="黑体" w:hAnsi="宋体" w:eastAsia="黑体" w:cs="黑体"/>
          <w:sz w:val="32"/>
          <w:szCs w:val="32"/>
        </w:rPr>
        <w:sectPr>
          <w:pgSz w:w="11906" w:h="16838"/>
          <w:pgMar w:top="1440" w:right="1800" w:bottom="1440" w:left="1800" w:header="851" w:footer="992" w:gutter="0"/>
          <w:pgNumType w:fmt="numberInDash"/>
          <w:cols w:space="708" w:num="1"/>
          <w:docGrid w:type="lines" w:linePitch="312" w:charSpace="0"/>
        </w:sectPr>
      </w:pPr>
    </w:p>
    <w:p w14:paraId="2D751E2E">
      <w:pPr>
        <w:pStyle w:val="17"/>
        <w:jc w:val="left"/>
        <w:rPr>
          <w:rFonts w:ascii="黑体" w:hAnsi="宋体" w:eastAsia="黑体" w:cs="黑体"/>
          <w:sz w:val="10"/>
          <w:szCs w:val="10"/>
        </w:rPr>
      </w:pPr>
      <w:r>
        <w:rPr>
          <w:rFonts w:ascii="黑体" w:hAnsi="宋体" w:eastAsia="黑体" w:cs="黑体"/>
          <w:sz w:val="32"/>
          <w:szCs w:val="32"/>
        </w:rPr>
        <w:t>附录4</w:t>
      </w:r>
    </w:p>
    <w:p w14:paraId="3A253F81">
      <w:pPr>
        <w:pStyle w:val="17"/>
        <w:jc w:val="left"/>
        <w:rPr>
          <w:rFonts w:ascii="黑体" w:hAnsi="宋体" w:eastAsia="黑体" w:cs="黑体"/>
          <w:sz w:val="10"/>
          <w:szCs w:val="10"/>
        </w:rPr>
      </w:pPr>
      <w:r>
        <w:rPr>
          <w:rFonts w:ascii="黑体" w:hAnsi="宋体" w:eastAsia="黑体" w:cs="黑体"/>
          <w:sz w:val="10"/>
          <w:szCs w:val="10"/>
        </w:rPr>
        <w:t xml:space="preserve"> </w:t>
      </w:r>
    </w:p>
    <w:p w14:paraId="411F879E">
      <w:pPr>
        <w:pStyle w:val="17"/>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生猪屠宰质量管理规范检查缺陷项目表</w:t>
      </w:r>
    </w:p>
    <w:tbl>
      <w:tblPr>
        <w:tblStyle w:val="18"/>
        <w:tblW w:w="9284"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3554"/>
        <w:gridCol w:w="5730"/>
      </w:tblGrid>
      <w:tr w14:paraId="733BE6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28" w:hRule="atLeast"/>
          <w:jc w:val="center"/>
        </w:trPr>
        <w:tc>
          <w:tcPr>
            <w:tcW w:w="3554" w:type="dxa"/>
            <w:tcBorders>
              <w:top w:val="single" w:color="auto" w:sz="4" w:space="0"/>
              <w:left w:val="single" w:color="auto" w:sz="4" w:space="0"/>
              <w:bottom w:val="single" w:color="auto" w:sz="4" w:space="0"/>
              <w:right w:val="single" w:color="auto" w:sz="4" w:space="0"/>
            </w:tcBorders>
            <w:vAlign w:val="center"/>
          </w:tcPr>
          <w:p w14:paraId="6D39FF15">
            <w:pPr>
              <w:snapToGrid w:val="0"/>
              <w:jc w:val="center"/>
              <w:rPr>
                <w:rFonts w:ascii="仿宋_GB2312" w:hAnsi="宋体"/>
                <w:kern w:val="0"/>
                <w:sz w:val="24"/>
              </w:rPr>
            </w:pPr>
            <w:r>
              <w:rPr>
                <w:rFonts w:ascii="仿宋_GB2312" w:hAnsi="宋体"/>
                <w:kern w:val="0"/>
                <w:sz w:val="24"/>
              </w:rPr>
              <w:t>生猪定点屠宰厂（场）名称</w:t>
            </w:r>
          </w:p>
        </w:tc>
        <w:tc>
          <w:tcPr>
            <w:tcW w:w="5730" w:type="dxa"/>
            <w:tcBorders>
              <w:top w:val="single" w:color="auto" w:sz="4" w:space="0"/>
              <w:left w:val="nil"/>
              <w:bottom w:val="single" w:color="auto" w:sz="4" w:space="0"/>
              <w:right w:val="single" w:color="auto" w:sz="4" w:space="0"/>
            </w:tcBorders>
            <w:vAlign w:val="center"/>
          </w:tcPr>
          <w:p w14:paraId="0F5C2DF9">
            <w:pPr>
              <w:rPr>
                <w:rFonts w:ascii="仿宋_GB2312" w:hAnsi="宋体"/>
                <w:kern w:val="0"/>
                <w:sz w:val="24"/>
              </w:rPr>
            </w:pPr>
          </w:p>
        </w:tc>
      </w:tr>
      <w:tr w14:paraId="6D33657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0" w:hRule="atLeast"/>
          <w:jc w:val="center"/>
        </w:trPr>
        <w:tc>
          <w:tcPr>
            <w:tcW w:w="3554" w:type="dxa"/>
            <w:tcBorders>
              <w:top w:val="single" w:color="auto" w:sz="4" w:space="0"/>
              <w:left w:val="single" w:color="auto" w:sz="4" w:space="0"/>
              <w:bottom w:val="single" w:color="auto" w:sz="4" w:space="0"/>
              <w:right w:val="single" w:color="auto" w:sz="4" w:space="0"/>
            </w:tcBorders>
            <w:vAlign w:val="center"/>
          </w:tcPr>
          <w:p w14:paraId="38944C3B">
            <w:pPr>
              <w:snapToGrid w:val="0"/>
              <w:jc w:val="center"/>
              <w:rPr>
                <w:rFonts w:ascii="仿宋_GB2312" w:hAnsi="宋体"/>
                <w:kern w:val="0"/>
                <w:sz w:val="24"/>
              </w:rPr>
            </w:pPr>
            <w:r>
              <w:rPr>
                <w:rFonts w:ascii="仿宋_GB2312" w:hAnsi="宋体"/>
                <w:kern w:val="0"/>
                <w:sz w:val="24"/>
              </w:rPr>
              <w:t>生猪定点屠宰代码</w:t>
            </w:r>
          </w:p>
        </w:tc>
        <w:tc>
          <w:tcPr>
            <w:tcW w:w="5730" w:type="dxa"/>
            <w:tcBorders>
              <w:top w:val="single" w:color="auto" w:sz="4" w:space="0"/>
              <w:left w:val="nil"/>
              <w:bottom w:val="single" w:color="auto" w:sz="4" w:space="0"/>
              <w:right w:val="single" w:color="auto" w:sz="4" w:space="0"/>
            </w:tcBorders>
            <w:vAlign w:val="center"/>
          </w:tcPr>
          <w:p w14:paraId="688FABDB">
            <w:pPr>
              <w:rPr>
                <w:rFonts w:ascii="仿宋_GB2312" w:hAnsi="宋体"/>
                <w:kern w:val="0"/>
                <w:sz w:val="24"/>
              </w:rPr>
            </w:pPr>
          </w:p>
        </w:tc>
      </w:tr>
      <w:tr w14:paraId="312A759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3554" w:type="dxa"/>
            <w:tcBorders>
              <w:top w:val="single" w:color="auto" w:sz="4" w:space="0"/>
              <w:left w:val="single" w:color="auto" w:sz="4" w:space="0"/>
              <w:bottom w:val="single" w:color="auto" w:sz="4" w:space="0"/>
              <w:right w:val="single" w:color="auto" w:sz="4" w:space="0"/>
            </w:tcBorders>
            <w:vAlign w:val="center"/>
          </w:tcPr>
          <w:p w14:paraId="0956B78E">
            <w:pPr>
              <w:jc w:val="center"/>
              <w:rPr>
                <w:rFonts w:ascii="仿宋_GB2312" w:hAnsi="宋体"/>
                <w:kern w:val="0"/>
                <w:sz w:val="24"/>
              </w:rPr>
            </w:pPr>
            <w:r>
              <w:rPr>
                <w:rFonts w:ascii="仿宋_GB2312" w:hAnsi="宋体"/>
                <w:kern w:val="0"/>
                <w:sz w:val="24"/>
              </w:rPr>
              <w:t>生产地址</w:t>
            </w:r>
          </w:p>
        </w:tc>
        <w:tc>
          <w:tcPr>
            <w:tcW w:w="5730" w:type="dxa"/>
            <w:tcBorders>
              <w:top w:val="single" w:color="auto" w:sz="4" w:space="0"/>
              <w:left w:val="nil"/>
              <w:bottom w:val="single" w:color="auto" w:sz="4" w:space="0"/>
              <w:right w:val="single" w:color="auto" w:sz="4" w:space="0"/>
            </w:tcBorders>
            <w:vAlign w:val="center"/>
          </w:tcPr>
          <w:p w14:paraId="57D16294">
            <w:pPr>
              <w:rPr>
                <w:rFonts w:ascii="仿宋_GB2312" w:hAnsi="宋体"/>
                <w:kern w:val="0"/>
                <w:sz w:val="24"/>
              </w:rPr>
            </w:pPr>
          </w:p>
        </w:tc>
      </w:tr>
      <w:tr w14:paraId="2612C5F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63" w:hRule="atLeast"/>
          <w:jc w:val="center"/>
        </w:trPr>
        <w:tc>
          <w:tcPr>
            <w:tcW w:w="9284" w:type="dxa"/>
            <w:gridSpan w:val="2"/>
            <w:tcBorders>
              <w:top w:val="single" w:color="auto" w:sz="4" w:space="0"/>
              <w:left w:val="single" w:color="auto" w:sz="4" w:space="0"/>
              <w:bottom w:val="single" w:color="auto" w:sz="4" w:space="0"/>
              <w:right w:val="single" w:color="auto" w:sz="4" w:space="0"/>
            </w:tcBorders>
          </w:tcPr>
          <w:p w14:paraId="6BFF43F2">
            <w:pPr>
              <w:rPr>
                <w:rFonts w:ascii="仿宋_GB2312" w:hAnsi="宋体"/>
                <w:kern w:val="0"/>
                <w:sz w:val="24"/>
              </w:rPr>
            </w:pPr>
          </w:p>
          <w:p w14:paraId="069642CE">
            <w:pPr>
              <w:rPr>
                <w:rFonts w:ascii="仿宋_GB2312" w:hAnsi="宋体"/>
                <w:kern w:val="0"/>
                <w:sz w:val="24"/>
              </w:rPr>
            </w:pPr>
            <w:r>
              <w:rPr>
                <w:rFonts w:ascii="仿宋_GB2312" w:hAnsi="宋体"/>
                <w:kern w:val="0"/>
                <w:sz w:val="24"/>
              </w:rPr>
              <w:t>重点项目存在缺陷项目：</w:t>
            </w:r>
          </w:p>
          <w:p w14:paraId="074A4DFB">
            <w:pPr>
              <w:rPr>
                <w:rFonts w:ascii="仿宋_GB2312" w:hAnsi="宋体"/>
                <w:kern w:val="0"/>
                <w:sz w:val="24"/>
              </w:rPr>
            </w:pPr>
          </w:p>
          <w:p w14:paraId="7E2E1866">
            <w:pPr>
              <w:rPr>
                <w:rFonts w:ascii="仿宋_GB2312" w:hAnsi="宋体"/>
                <w:kern w:val="0"/>
                <w:sz w:val="24"/>
              </w:rPr>
            </w:pPr>
          </w:p>
          <w:p w14:paraId="087FFAC7">
            <w:pPr>
              <w:rPr>
                <w:rFonts w:ascii="仿宋_GB2312" w:hAnsi="宋体"/>
                <w:kern w:val="0"/>
                <w:sz w:val="24"/>
              </w:rPr>
            </w:pPr>
          </w:p>
          <w:p w14:paraId="312A396F">
            <w:pPr>
              <w:rPr>
                <w:rFonts w:ascii="仿宋_GB2312" w:hAnsi="宋体"/>
                <w:kern w:val="0"/>
                <w:sz w:val="24"/>
              </w:rPr>
            </w:pPr>
            <w:r>
              <w:rPr>
                <w:rFonts w:ascii="仿宋_GB2312" w:hAnsi="宋体"/>
                <w:kern w:val="0"/>
                <w:sz w:val="24"/>
              </w:rPr>
              <w:t>一般项目存在缺陷项目：</w:t>
            </w:r>
          </w:p>
          <w:p w14:paraId="2F766DC3">
            <w:pPr>
              <w:rPr>
                <w:rFonts w:ascii="仿宋_GB2312" w:hAnsi="宋体"/>
                <w:kern w:val="0"/>
                <w:sz w:val="24"/>
              </w:rPr>
            </w:pPr>
          </w:p>
        </w:tc>
      </w:tr>
      <w:tr w14:paraId="65C0CBC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93" w:hRule="atLeast"/>
          <w:jc w:val="center"/>
        </w:trPr>
        <w:tc>
          <w:tcPr>
            <w:tcW w:w="9284" w:type="dxa"/>
            <w:gridSpan w:val="2"/>
            <w:tcBorders>
              <w:top w:val="single" w:color="auto" w:sz="4" w:space="0"/>
              <w:left w:val="single" w:color="auto" w:sz="4" w:space="0"/>
              <w:bottom w:val="single" w:color="auto" w:sz="4" w:space="0"/>
              <w:right w:val="single" w:color="auto" w:sz="4" w:space="0"/>
            </w:tcBorders>
          </w:tcPr>
          <w:p w14:paraId="3D011A54">
            <w:pPr>
              <w:rPr>
                <w:rFonts w:ascii="仿宋_GB2312" w:hAnsi="宋体"/>
                <w:kern w:val="0"/>
                <w:sz w:val="24"/>
              </w:rPr>
            </w:pPr>
            <w:r>
              <w:rPr>
                <w:rFonts w:ascii="仿宋_GB2312" w:hAnsi="宋体"/>
                <w:kern w:val="0"/>
                <w:sz w:val="24"/>
              </w:rPr>
              <w:t>检查组成员签名：</w:t>
            </w:r>
          </w:p>
          <w:p w14:paraId="67D5DA0D">
            <w:pPr>
              <w:rPr>
                <w:rFonts w:ascii="仿宋_GB2312" w:hAnsi="宋体"/>
                <w:kern w:val="0"/>
                <w:sz w:val="24"/>
              </w:rPr>
            </w:pPr>
            <w:r>
              <w:rPr>
                <w:rFonts w:ascii="仿宋_GB2312" w:hAnsi="宋体"/>
                <w:kern w:val="0"/>
                <w:sz w:val="24"/>
              </w:rPr>
              <w:t xml:space="preserve">                                               </w:t>
            </w:r>
          </w:p>
          <w:p w14:paraId="04DEA4AB">
            <w:pPr>
              <w:ind w:firstLine="5760" w:firstLineChars="2400"/>
              <w:rPr>
                <w:rFonts w:ascii="仿宋_GB2312" w:hAnsi="宋体"/>
                <w:kern w:val="0"/>
                <w:sz w:val="24"/>
              </w:rPr>
            </w:pPr>
            <w:r>
              <w:rPr>
                <w:rFonts w:ascii="仿宋_GB2312" w:hAnsi="宋体"/>
                <w:kern w:val="0"/>
                <w:sz w:val="24"/>
              </w:rPr>
              <w:t>年   月   日</w:t>
            </w:r>
          </w:p>
        </w:tc>
      </w:tr>
      <w:tr w14:paraId="20E1A4D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2" w:hRule="atLeast"/>
          <w:jc w:val="center"/>
        </w:trPr>
        <w:tc>
          <w:tcPr>
            <w:tcW w:w="9284" w:type="dxa"/>
            <w:gridSpan w:val="2"/>
            <w:tcBorders>
              <w:top w:val="single" w:color="auto" w:sz="4" w:space="0"/>
              <w:left w:val="single" w:color="auto" w:sz="4" w:space="0"/>
              <w:bottom w:val="single" w:color="auto" w:sz="4" w:space="0"/>
              <w:right w:val="single" w:color="auto" w:sz="4" w:space="0"/>
            </w:tcBorders>
          </w:tcPr>
          <w:p w14:paraId="6353C3F2">
            <w:pPr>
              <w:rPr>
                <w:rFonts w:ascii="仿宋_GB2312" w:hAnsi="宋体"/>
                <w:kern w:val="0"/>
                <w:sz w:val="24"/>
              </w:rPr>
            </w:pPr>
            <w:r>
              <w:rPr>
                <w:rFonts w:ascii="仿宋_GB2312" w:hAnsi="宋体"/>
                <w:kern w:val="0"/>
                <w:sz w:val="24"/>
              </w:rPr>
              <w:t>生猪定点屠宰厂（场）负责人签名：</w:t>
            </w:r>
          </w:p>
          <w:p w14:paraId="5759DDAF">
            <w:pPr>
              <w:rPr>
                <w:rFonts w:ascii="仿宋_GB2312" w:hAnsi="宋体"/>
                <w:kern w:val="0"/>
                <w:sz w:val="24"/>
              </w:rPr>
            </w:pPr>
          </w:p>
          <w:p w14:paraId="1C973ABA">
            <w:pPr>
              <w:rPr>
                <w:rFonts w:ascii="仿宋_GB2312" w:hAnsi="宋体"/>
                <w:kern w:val="0"/>
                <w:sz w:val="24"/>
              </w:rPr>
            </w:pPr>
          </w:p>
          <w:p w14:paraId="6AF5A377">
            <w:pPr>
              <w:ind w:firstLine="5760" w:firstLineChars="2400"/>
              <w:rPr>
                <w:rFonts w:ascii="仿宋_GB2312" w:hAnsi="宋体"/>
                <w:kern w:val="0"/>
                <w:sz w:val="24"/>
              </w:rPr>
            </w:pPr>
            <w:r>
              <w:rPr>
                <w:rFonts w:ascii="仿宋_GB2312" w:hAnsi="宋体"/>
                <w:kern w:val="0"/>
                <w:sz w:val="24"/>
              </w:rPr>
              <w:t>年   月   日</w:t>
            </w:r>
          </w:p>
        </w:tc>
      </w:tr>
      <w:tr w14:paraId="3E8CDB7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245" w:hRule="atLeast"/>
          <w:jc w:val="center"/>
        </w:trPr>
        <w:tc>
          <w:tcPr>
            <w:tcW w:w="9284" w:type="dxa"/>
            <w:gridSpan w:val="2"/>
            <w:tcBorders>
              <w:top w:val="single" w:color="auto" w:sz="4" w:space="0"/>
              <w:left w:val="single" w:color="auto" w:sz="4" w:space="0"/>
              <w:bottom w:val="single" w:color="auto" w:sz="4" w:space="0"/>
              <w:right w:val="single" w:color="auto" w:sz="4" w:space="0"/>
            </w:tcBorders>
          </w:tcPr>
          <w:p w14:paraId="7132DB79">
            <w:pPr>
              <w:rPr>
                <w:rFonts w:ascii="仿宋_GB2312" w:hAnsi="宋体"/>
                <w:kern w:val="0"/>
                <w:sz w:val="24"/>
              </w:rPr>
            </w:pPr>
            <w:r>
              <w:rPr>
                <w:rFonts w:ascii="仿宋_GB2312" w:hAnsi="宋体"/>
                <w:kern w:val="0"/>
                <w:sz w:val="24"/>
              </w:rPr>
              <w:t>观察员签名：</w:t>
            </w:r>
          </w:p>
          <w:p w14:paraId="39069700">
            <w:pPr>
              <w:rPr>
                <w:rFonts w:ascii="仿宋_GB2312" w:hAnsi="宋体"/>
                <w:kern w:val="0"/>
                <w:sz w:val="24"/>
              </w:rPr>
            </w:pPr>
            <w:r>
              <w:rPr>
                <w:rFonts w:ascii="仿宋_GB2312" w:hAnsi="宋体"/>
                <w:kern w:val="0"/>
                <w:sz w:val="24"/>
              </w:rPr>
              <w:t xml:space="preserve">                                                 年   月   日</w:t>
            </w:r>
          </w:p>
        </w:tc>
      </w:tr>
    </w:tbl>
    <w:p w14:paraId="2471CD68">
      <w:pPr>
        <w:pStyle w:val="17"/>
        <w:snapToGrid w:val="0"/>
        <w:spacing w:line="312" w:lineRule="auto"/>
        <w:rPr>
          <w:rFonts w:ascii="仿宋" w:hAnsi="仿宋" w:eastAsia="仿宋" w:cs="仿宋"/>
        </w:rPr>
      </w:pPr>
      <w:r>
        <w:rPr>
          <w:rFonts w:ascii="仿宋" w:hAnsi="仿宋" w:eastAsia="仿宋" w:cs="仿宋"/>
        </w:rPr>
        <w:t>备注：本表一式四份，分别由生猪定点屠宰厂（场）、省级和地市级、县级畜牧兽医主管</w:t>
      </w:r>
    </w:p>
    <w:p w14:paraId="04DC4915">
      <w:pPr>
        <w:pStyle w:val="17"/>
        <w:snapToGrid w:val="0"/>
        <w:spacing w:line="312" w:lineRule="auto"/>
        <w:rPr>
          <w:rFonts w:ascii="仿宋" w:hAnsi="仿宋" w:eastAsia="仿宋" w:cs="仿宋"/>
        </w:rPr>
      </w:pPr>
      <w:r>
        <w:rPr>
          <w:rFonts w:ascii="仿宋" w:hAnsi="仿宋" w:eastAsia="仿宋" w:cs="仿宋"/>
        </w:rPr>
        <w:t>部门留存。</w:t>
      </w:r>
    </w:p>
    <w:p w14:paraId="34AF17B5">
      <w:pPr>
        <w:pStyle w:val="12"/>
        <w:spacing w:line="312" w:lineRule="auto"/>
        <w:rPr>
          <w:rFonts w:ascii="黑体" w:hAnsi="宋体" w:eastAsia="黑体" w:cs="黑体"/>
          <w:sz w:val="32"/>
          <w:szCs w:val="32"/>
        </w:rPr>
        <w:sectPr>
          <w:pgSz w:w="11906" w:h="16838"/>
          <w:pgMar w:top="1440" w:right="1800" w:bottom="1440" w:left="1800" w:header="851" w:footer="992" w:gutter="0"/>
          <w:pgNumType w:fmt="numberInDash"/>
          <w:cols w:space="708" w:num="1"/>
          <w:docGrid w:type="lines" w:linePitch="312" w:charSpace="0"/>
        </w:sectPr>
      </w:pPr>
    </w:p>
    <w:p w14:paraId="71B94EAB">
      <w:pPr>
        <w:pStyle w:val="17"/>
        <w:rPr>
          <w:rFonts w:ascii="黑体" w:hAnsi="宋体" w:eastAsia="黑体" w:cs="黑体"/>
          <w:sz w:val="32"/>
          <w:szCs w:val="32"/>
        </w:rPr>
      </w:pPr>
      <w:r>
        <w:rPr>
          <w:rFonts w:ascii="黑体" w:hAnsi="宋体" w:eastAsia="黑体" w:cs="黑体"/>
          <w:sz w:val="32"/>
          <w:szCs w:val="32"/>
        </w:rPr>
        <w:t>附录5</w:t>
      </w:r>
    </w:p>
    <w:p w14:paraId="0BF20873">
      <w:pPr>
        <w:pStyle w:val="17"/>
        <w:rPr>
          <w:rFonts w:ascii="黑体" w:hAnsi="宋体" w:eastAsia="黑体" w:cs="黑体"/>
          <w:sz w:val="10"/>
          <w:szCs w:val="10"/>
        </w:rPr>
      </w:pPr>
      <w:r>
        <w:rPr>
          <w:rFonts w:ascii="黑体" w:hAnsi="宋体" w:eastAsia="黑体" w:cs="黑体"/>
          <w:sz w:val="10"/>
          <w:szCs w:val="10"/>
        </w:rPr>
        <w:t xml:space="preserve"> </w:t>
      </w:r>
    </w:p>
    <w:p w14:paraId="64572D72">
      <w:pPr>
        <w:pStyle w:val="17"/>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生猪屠宰质量管理规范检查报告</w:t>
      </w:r>
    </w:p>
    <w:tbl>
      <w:tblPr>
        <w:tblStyle w:val="18"/>
        <w:tblW w:w="8152" w:type="dxa"/>
        <w:tblInd w:w="108"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434"/>
        <w:gridCol w:w="5718"/>
      </w:tblGrid>
      <w:tr w14:paraId="29B7F3C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64" w:hRule="atLeast"/>
        </w:trPr>
        <w:tc>
          <w:tcPr>
            <w:tcW w:w="2434" w:type="dxa"/>
            <w:tcBorders>
              <w:top w:val="single" w:color="auto" w:sz="4" w:space="0"/>
              <w:left w:val="single" w:color="auto" w:sz="4" w:space="0"/>
              <w:bottom w:val="single" w:color="auto" w:sz="4" w:space="0"/>
              <w:right w:val="single" w:color="auto" w:sz="4" w:space="0"/>
            </w:tcBorders>
            <w:vAlign w:val="center"/>
          </w:tcPr>
          <w:p w14:paraId="6B3BC6CF">
            <w:pPr>
              <w:snapToGrid w:val="0"/>
              <w:jc w:val="center"/>
              <w:rPr>
                <w:rFonts w:ascii="仿宋_GB2312" w:hAnsi="Calibri" w:cs="仿宋_GB2312"/>
                <w:kern w:val="0"/>
                <w:sz w:val="24"/>
              </w:rPr>
            </w:pPr>
            <w:r>
              <w:rPr>
                <w:rFonts w:ascii="仿宋_GB2312" w:hAnsi="Calibri" w:cs="仿宋_GB2312"/>
                <w:kern w:val="0"/>
                <w:sz w:val="24"/>
              </w:rPr>
              <w:t>生猪定点屠宰厂（场）名称</w:t>
            </w:r>
          </w:p>
        </w:tc>
        <w:tc>
          <w:tcPr>
            <w:tcW w:w="5718" w:type="dxa"/>
            <w:tcBorders>
              <w:top w:val="single" w:color="auto" w:sz="4" w:space="0"/>
              <w:left w:val="nil"/>
              <w:bottom w:val="single" w:color="auto" w:sz="4" w:space="0"/>
              <w:right w:val="single" w:color="auto" w:sz="4" w:space="0"/>
            </w:tcBorders>
            <w:vAlign w:val="center"/>
          </w:tcPr>
          <w:p w14:paraId="15FCD600">
            <w:pPr>
              <w:snapToGrid w:val="0"/>
              <w:rPr>
                <w:rFonts w:ascii="仿宋_GB2312" w:hAnsi="Calibri" w:cs="仿宋_GB2312"/>
                <w:kern w:val="0"/>
                <w:sz w:val="24"/>
              </w:rPr>
            </w:pPr>
          </w:p>
        </w:tc>
      </w:tr>
      <w:tr w14:paraId="515F039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64" w:hRule="atLeast"/>
        </w:trPr>
        <w:tc>
          <w:tcPr>
            <w:tcW w:w="2434" w:type="dxa"/>
            <w:tcBorders>
              <w:top w:val="single" w:color="auto" w:sz="4" w:space="0"/>
              <w:left w:val="single" w:color="auto" w:sz="4" w:space="0"/>
              <w:bottom w:val="single" w:color="auto" w:sz="4" w:space="0"/>
              <w:right w:val="single" w:color="auto" w:sz="4" w:space="0"/>
            </w:tcBorders>
            <w:vAlign w:val="center"/>
          </w:tcPr>
          <w:p w14:paraId="28710197">
            <w:pPr>
              <w:snapToGrid w:val="0"/>
              <w:jc w:val="center"/>
              <w:rPr>
                <w:rFonts w:ascii="仿宋_GB2312" w:hAnsi="Calibri" w:cs="仿宋_GB2312"/>
                <w:kern w:val="0"/>
                <w:sz w:val="24"/>
              </w:rPr>
            </w:pPr>
            <w:r>
              <w:rPr>
                <w:rFonts w:ascii="仿宋_GB2312" w:hAnsi="Calibri" w:cs="仿宋_GB2312"/>
                <w:kern w:val="0"/>
                <w:sz w:val="24"/>
              </w:rPr>
              <w:t>生猪定点屠宰代码</w:t>
            </w:r>
          </w:p>
        </w:tc>
        <w:tc>
          <w:tcPr>
            <w:tcW w:w="5718" w:type="dxa"/>
            <w:tcBorders>
              <w:top w:val="single" w:color="auto" w:sz="4" w:space="0"/>
              <w:left w:val="nil"/>
              <w:bottom w:val="single" w:color="auto" w:sz="4" w:space="0"/>
              <w:right w:val="single" w:color="auto" w:sz="4" w:space="0"/>
            </w:tcBorders>
            <w:vAlign w:val="center"/>
          </w:tcPr>
          <w:p w14:paraId="44D808BA">
            <w:pPr>
              <w:snapToGrid w:val="0"/>
              <w:rPr>
                <w:rFonts w:ascii="仿宋_GB2312" w:hAnsi="Calibri" w:cs="仿宋_GB2312"/>
                <w:kern w:val="0"/>
                <w:sz w:val="24"/>
              </w:rPr>
            </w:pPr>
          </w:p>
        </w:tc>
      </w:tr>
      <w:tr w14:paraId="39A4B57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6" w:hRule="atLeast"/>
        </w:trPr>
        <w:tc>
          <w:tcPr>
            <w:tcW w:w="2434" w:type="dxa"/>
            <w:tcBorders>
              <w:top w:val="single" w:color="auto" w:sz="4" w:space="0"/>
              <w:left w:val="single" w:color="auto" w:sz="4" w:space="0"/>
              <w:bottom w:val="single" w:color="auto" w:sz="4" w:space="0"/>
              <w:right w:val="single" w:color="auto" w:sz="4" w:space="0"/>
            </w:tcBorders>
            <w:vAlign w:val="center"/>
          </w:tcPr>
          <w:p w14:paraId="04BD10AB">
            <w:pPr>
              <w:jc w:val="center"/>
              <w:rPr>
                <w:rFonts w:ascii="仿宋_GB2312" w:hAnsi="Calibri" w:cs="仿宋_GB2312"/>
                <w:kern w:val="0"/>
                <w:sz w:val="24"/>
              </w:rPr>
            </w:pPr>
            <w:r>
              <w:rPr>
                <w:rFonts w:ascii="仿宋_GB2312" w:hAnsi="Calibri" w:cs="仿宋_GB2312"/>
                <w:kern w:val="0"/>
                <w:sz w:val="24"/>
              </w:rPr>
              <w:t>生产地址</w:t>
            </w:r>
          </w:p>
        </w:tc>
        <w:tc>
          <w:tcPr>
            <w:tcW w:w="5718" w:type="dxa"/>
            <w:tcBorders>
              <w:top w:val="single" w:color="auto" w:sz="4" w:space="0"/>
              <w:left w:val="nil"/>
              <w:bottom w:val="single" w:color="auto" w:sz="4" w:space="0"/>
              <w:right w:val="single" w:color="auto" w:sz="4" w:space="0"/>
            </w:tcBorders>
            <w:vAlign w:val="center"/>
          </w:tcPr>
          <w:p w14:paraId="08C59629">
            <w:pPr>
              <w:rPr>
                <w:rFonts w:ascii="仿宋_GB2312" w:hAnsi="Calibri" w:cs="仿宋_GB2312"/>
                <w:kern w:val="0"/>
                <w:sz w:val="24"/>
              </w:rPr>
            </w:pPr>
          </w:p>
        </w:tc>
      </w:tr>
      <w:tr w14:paraId="22BC9E2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6" w:hRule="atLeast"/>
        </w:trPr>
        <w:tc>
          <w:tcPr>
            <w:tcW w:w="2434" w:type="dxa"/>
            <w:tcBorders>
              <w:top w:val="single" w:color="auto" w:sz="4" w:space="0"/>
              <w:left w:val="single" w:color="auto" w:sz="4" w:space="0"/>
              <w:bottom w:val="single" w:color="auto" w:sz="4" w:space="0"/>
              <w:right w:val="single" w:color="auto" w:sz="4" w:space="0"/>
            </w:tcBorders>
            <w:vAlign w:val="center"/>
          </w:tcPr>
          <w:p w14:paraId="609B1776">
            <w:pPr>
              <w:jc w:val="center"/>
              <w:rPr>
                <w:rFonts w:ascii="仿宋_GB2312" w:hAnsi="Calibri" w:cs="仿宋_GB2312"/>
                <w:kern w:val="0"/>
                <w:sz w:val="24"/>
              </w:rPr>
            </w:pPr>
            <w:r>
              <w:rPr>
                <w:rFonts w:ascii="仿宋_GB2312" w:hAnsi="Calibri" w:cs="仿宋_GB2312"/>
                <w:kern w:val="0"/>
                <w:sz w:val="24"/>
              </w:rPr>
              <w:t>检查时间</w:t>
            </w:r>
          </w:p>
        </w:tc>
        <w:tc>
          <w:tcPr>
            <w:tcW w:w="5718" w:type="dxa"/>
            <w:tcBorders>
              <w:top w:val="single" w:color="auto" w:sz="4" w:space="0"/>
              <w:left w:val="nil"/>
              <w:bottom w:val="single" w:color="auto" w:sz="4" w:space="0"/>
              <w:right w:val="single" w:color="auto" w:sz="4" w:space="0"/>
            </w:tcBorders>
            <w:vAlign w:val="center"/>
          </w:tcPr>
          <w:p w14:paraId="3ED90384">
            <w:pPr>
              <w:rPr>
                <w:rFonts w:ascii="仿宋_GB2312" w:hAnsi="Calibri" w:cs="仿宋_GB2312"/>
                <w:kern w:val="0"/>
                <w:sz w:val="24"/>
              </w:rPr>
            </w:pPr>
          </w:p>
        </w:tc>
      </w:tr>
      <w:tr w14:paraId="535891E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428" w:hRule="atLeast"/>
        </w:trPr>
        <w:tc>
          <w:tcPr>
            <w:tcW w:w="8152" w:type="dxa"/>
            <w:gridSpan w:val="2"/>
            <w:tcBorders>
              <w:top w:val="single" w:color="auto" w:sz="4" w:space="0"/>
              <w:left w:val="single" w:color="auto" w:sz="4" w:space="0"/>
              <w:bottom w:val="single" w:color="auto" w:sz="4" w:space="0"/>
              <w:right w:val="single" w:color="auto" w:sz="4" w:space="0"/>
            </w:tcBorders>
          </w:tcPr>
          <w:p w14:paraId="107E00FF">
            <w:pPr>
              <w:snapToGrid w:val="0"/>
              <w:spacing w:line="312" w:lineRule="auto"/>
              <w:rPr>
                <w:rFonts w:ascii="仿宋_GB2312" w:hAnsi="Calibri" w:cs="仿宋_GB2312"/>
                <w:kern w:val="0"/>
                <w:sz w:val="21"/>
                <w:szCs w:val="21"/>
              </w:rPr>
            </w:pPr>
            <w:r>
              <w:rPr>
                <w:rFonts w:ascii="仿宋_GB2312" w:hAnsi="Calibri" w:cs="仿宋_GB2312"/>
                <w:kern w:val="0"/>
                <w:sz w:val="21"/>
                <w:szCs w:val="21"/>
              </w:rPr>
              <w:t>（综合评定示例）</w:t>
            </w:r>
          </w:p>
          <w:p w14:paraId="50A7AE85">
            <w:pPr>
              <w:snapToGrid w:val="0"/>
              <w:spacing w:line="312" w:lineRule="auto"/>
              <w:ind w:firstLine="420"/>
              <w:rPr>
                <w:rFonts w:ascii="仿宋_GB2312" w:hAnsi="Calibri" w:cs="仿宋_GB2312"/>
                <w:kern w:val="0"/>
                <w:sz w:val="21"/>
                <w:szCs w:val="21"/>
              </w:rPr>
            </w:pPr>
            <w:r>
              <w:rPr>
                <w:rFonts w:ascii="仿宋_GB2312" w:hAnsi="Calibri" w:cs="仿宋_GB2312"/>
                <w:kern w:val="0"/>
                <w:sz w:val="21"/>
                <w:szCs w:val="21"/>
              </w:rPr>
              <w:t>受</w:t>
            </w:r>
            <w:r>
              <w:rPr>
                <w:rFonts w:ascii="Calibri" w:hAnsi="Calibri" w:cs="Calibri"/>
                <w:kern w:val="0"/>
                <w:sz w:val="21"/>
                <w:szCs w:val="21"/>
              </w:rPr>
              <w:t>×××</w:t>
            </w:r>
            <w:r>
              <w:rPr>
                <w:rFonts w:ascii="仿宋_GB2312" w:hAnsi="Calibri" w:cs="仿宋_GB2312"/>
                <w:kern w:val="0"/>
                <w:sz w:val="21"/>
                <w:szCs w:val="21"/>
              </w:rPr>
              <w:t>委派，检查组按照预定的检查方案，对该屠宰厂（场）实施《生猪屠宰质量管理规范》有关情况进行了检查。涉及检查项目共</w:t>
            </w:r>
            <w:r>
              <w:rPr>
                <w:rFonts w:ascii="Calibri" w:hAnsi="Calibri" w:cs="Calibri"/>
                <w:kern w:val="0"/>
                <w:sz w:val="21"/>
                <w:szCs w:val="21"/>
              </w:rPr>
              <w:t>×</w:t>
            </w:r>
            <w:r>
              <w:rPr>
                <w:rFonts w:ascii="仿宋_GB2312" w:hAnsi="Calibri" w:cs="仿宋_GB2312"/>
                <w:kern w:val="0"/>
                <w:sz w:val="21"/>
                <w:szCs w:val="21"/>
              </w:rPr>
              <w:t>项，其中重点项目</w:t>
            </w:r>
            <w:r>
              <w:rPr>
                <w:rFonts w:ascii="Calibri" w:hAnsi="Calibri" w:cs="Calibri"/>
                <w:kern w:val="0"/>
                <w:sz w:val="21"/>
                <w:szCs w:val="21"/>
              </w:rPr>
              <w:t>×</w:t>
            </w:r>
            <w:r>
              <w:rPr>
                <w:rFonts w:ascii="仿宋_GB2312" w:hAnsi="Calibri" w:cs="仿宋_GB2312"/>
                <w:kern w:val="0"/>
                <w:sz w:val="21"/>
                <w:szCs w:val="21"/>
              </w:rPr>
              <w:t>项，一般项目</w:t>
            </w:r>
            <w:r>
              <w:rPr>
                <w:rFonts w:ascii="Calibri" w:hAnsi="Calibri" w:cs="Calibri"/>
                <w:kern w:val="0"/>
                <w:sz w:val="21"/>
                <w:szCs w:val="21"/>
              </w:rPr>
              <w:t>×</w:t>
            </w:r>
            <w:r>
              <w:rPr>
                <w:rFonts w:ascii="仿宋_GB2312" w:hAnsi="Calibri" w:cs="仿宋_GB2312"/>
                <w:kern w:val="0"/>
                <w:sz w:val="21"/>
                <w:szCs w:val="21"/>
              </w:rPr>
              <w:t>项。总体情况如下。</w:t>
            </w:r>
          </w:p>
          <w:p w14:paraId="7289CF1A">
            <w:pPr>
              <w:snapToGrid w:val="0"/>
              <w:spacing w:line="312" w:lineRule="auto"/>
              <w:ind w:firstLine="420"/>
              <w:rPr>
                <w:rFonts w:ascii="仿宋_GB2312" w:hAnsi="Calibri" w:cs="仿宋_GB2312"/>
                <w:kern w:val="0"/>
                <w:sz w:val="21"/>
                <w:szCs w:val="21"/>
                <w:highlight w:val="yellow"/>
              </w:rPr>
            </w:pPr>
            <w:r>
              <w:rPr>
                <w:rFonts w:ascii="仿宋_GB2312" w:hAnsi="Calibri" w:cs="仿宋_GB2312"/>
                <w:kern w:val="0"/>
                <w:sz w:val="21"/>
                <w:szCs w:val="21"/>
              </w:rPr>
              <w:t>该屠宰厂（场）机构是否健全，职能是否明确，人员数量、能力和培训情况等是否符合要求；厂区和车间的环境卫生是否符合规定，布局是否合理，待宰间、屠宰间等及其设施设备是否与屠宰规模相适应，能否满足屠宰生产要求；检验室及其设施设备是否符合要求；宰前管理、屠宰过程管理、检验检疫等措施是否符合要求；档案和记录等是否符合要求；屠宰技术人员和兽医卫生检验人员现场操作是否符合要求。</w:t>
            </w:r>
          </w:p>
          <w:p w14:paraId="6AE94850">
            <w:pPr>
              <w:snapToGrid w:val="0"/>
              <w:spacing w:line="312" w:lineRule="auto"/>
              <w:ind w:firstLine="420"/>
              <w:rPr>
                <w:rFonts w:ascii="仿宋_GB2312" w:hAnsi="Calibri" w:cs="仿宋_GB2312"/>
                <w:kern w:val="0"/>
                <w:sz w:val="21"/>
                <w:szCs w:val="21"/>
              </w:rPr>
            </w:pPr>
            <w:r>
              <w:rPr>
                <w:rFonts w:ascii="仿宋_GB2312" w:hAnsi="Calibri" w:cs="仿宋_GB2312"/>
                <w:kern w:val="0"/>
                <w:sz w:val="21"/>
                <w:szCs w:val="21"/>
              </w:rPr>
              <w:t>现场检查发现重点项目不符合项</w:t>
            </w:r>
            <w:r>
              <w:rPr>
                <w:rFonts w:ascii="Calibri" w:hAnsi="Calibri" w:cs="Calibri"/>
                <w:kern w:val="0"/>
                <w:sz w:val="21"/>
                <w:szCs w:val="21"/>
              </w:rPr>
              <w:t>×</w:t>
            </w:r>
            <w:r>
              <w:rPr>
                <w:rFonts w:ascii="仿宋_GB2312" w:hAnsi="Calibri" w:cs="仿宋_GB2312"/>
                <w:kern w:val="0"/>
                <w:sz w:val="21"/>
                <w:szCs w:val="21"/>
              </w:rPr>
              <w:t>项，基本符合项</w:t>
            </w:r>
            <w:r>
              <w:rPr>
                <w:rFonts w:ascii="Calibri" w:hAnsi="Calibri" w:cs="Calibri"/>
                <w:kern w:val="0"/>
                <w:sz w:val="21"/>
                <w:szCs w:val="21"/>
              </w:rPr>
              <w:t>×</w:t>
            </w:r>
            <w:r>
              <w:rPr>
                <w:rFonts w:ascii="仿宋_GB2312" w:hAnsi="Calibri" w:cs="仿宋_GB2312"/>
                <w:kern w:val="0"/>
                <w:sz w:val="21"/>
                <w:szCs w:val="21"/>
              </w:rPr>
              <w:t>项；一般项目不符合项</w:t>
            </w:r>
            <w:r>
              <w:rPr>
                <w:rFonts w:ascii="Calibri" w:hAnsi="Calibri" w:cs="Calibri"/>
                <w:kern w:val="0"/>
                <w:sz w:val="21"/>
                <w:szCs w:val="21"/>
              </w:rPr>
              <w:t>×</w:t>
            </w:r>
            <w:r>
              <w:rPr>
                <w:rFonts w:ascii="仿宋_GB2312" w:hAnsi="Calibri" w:cs="仿宋_GB2312"/>
                <w:kern w:val="0"/>
                <w:sz w:val="21"/>
                <w:szCs w:val="21"/>
              </w:rPr>
              <w:t>项。经检查组讨论，综合评定如下：该屠宰厂（场）是否符合《生猪屠宰质量管理规范》要求。</w:t>
            </w:r>
          </w:p>
          <w:p w14:paraId="3B753D82">
            <w:pPr>
              <w:snapToGrid w:val="0"/>
              <w:spacing w:line="312" w:lineRule="auto"/>
              <w:ind w:firstLine="420"/>
              <w:rPr>
                <w:rFonts w:ascii="仿宋_GB2312" w:hAnsi="Calibri" w:cs="仿宋_GB2312"/>
                <w:kern w:val="0"/>
                <w:sz w:val="21"/>
                <w:szCs w:val="21"/>
              </w:rPr>
            </w:pPr>
            <w:r>
              <w:rPr>
                <w:rFonts w:ascii="仿宋_GB2312" w:hAnsi="Calibri" w:cs="仿宋_GB2312"/>
                <w:kern w:val="0"/>
                <w:sz w:val="21"/>
                <w:szCs w:val="21"/>
              </w:rPr>
              <w:t>建议该厂（场）在</w:t>
            </w:r>
            <w:r>
              <w:rPr>
                <w:rFonts w:ascii="Calibri" w:hAnsi="Calibri" w:cs="Calibri"/>
                <w:kern w:val="0"/>
                <w:sz w:val="21"/>
                <w:szCs w:val="21"/>
              </w:rPr>
              <w:t>××</w:t>
            </w:r>
            <w:r>
              <w:rPr>
                <w:rFonts w:ascii="仿宋_GB2312" w:hAnsi="Calibri" w:cs="仿宋_GB2312"/>
                <w:kern w:val="0"/>
                <w:sz w:val="21"/>
                <w:szCs w:val="21"/>
              </w:rPr>
              <w:t>期限内完成缺陷项目整改。</w:t>
            </w:r>
          </w:p>
          <w:p w14:paraId="5650C1ED">
            <w:pPr>
              <w:snapToGrid w:val="0"/>
              <w:spacing w:line="312" w:lineRule="auto"/>
              <w:ind w:firstLine="420"/>
              <w:rPr>
                <w:rFonts w:ascii="仿宋_GB2312" w:hAnsi="Calibri" w:cs="仿宋_GB2312"/>
                <w:kern w:val="0"/>
                <w:sz w:val="21"/>
                <w:szCs w:val="21"/>
              </w:rPr>
            </w:pPr>
          </w:p>
          <w:p w14:paraId="01CE6AD6">
            <w:pPr>
              <w:snapToGrid w:val="0"/>
              <w:spacing w:line="312" w:lineRule="auto"/>
              <w:ind w:firstLine="420"/>
              <w:rPr>
                <w:rFonts w:ascii="仿宋_GB2312" w:hAnsi="Calibri" w:cs="仿宋_GB2312"/>
                <w:kern w:val="0"/>
                <w:sz w:val="21"/>
                <w:szCs w:val="21"/>
              </w:rPr>
            </w:pPr>
          </w:p>
          <w:p w14:paraId="0A796BF4">
            <w:pPr>
              <w:snapToGrid w:val="0"/>
              <w:spacing w:line="312" w:lineRule="auto"/>
              <w:ind w:firstLine="420"/>
              <w:rPr>
                <w:rFonts w:ascii="仿宋_GB2312" w:hAnsi="Calibri" w:cs="仿宋_GB2312"/>
                <w:kern w:val="0"/>
                <w:sz w:val="21"/>
                <w:szCs w:val="21"/>
              </w:rPr>
            </w:pPr>
          </w:p>
        </w:tc>
      </w:tr>
      <w:tr w14:paraId="24B7975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68" w:hRule="atLeast"/>
        </w:trPr>
        <w:tc>
          <w:tcPr>
            <w:tcW w:w="2434" w:type="dxa"/>
            <w:tcBorders>
              <w:top w:val="single" w:color="auto" w:sz="4" w:space="0"/>
              <w:left w:val="single" w:color="auto" w:sz="4" w:space="0"/>
              <w:bottom w:val="single" w:color="auto" w:sz="4" w:space="0"/>
              <w:right w:val="single" w:color="auto" w:sz="4" w:space="0"/>
            </w:tcBorders>
            <w:vAlign w:val="center"/>
          </w:tcPr>
          <w:p w14:paraId="28B93D3A">
            <w:pPr>
              <w:snapToGrid w:val="0"/>
              <w:jc w:val="center"/>
              <w:rPr>
                <w:rFonts w:ascii="仿宋_GB2312" w:hAnsi="Calibri" w:cs="仿宋_GB2312"/>
                <w:kern w:val="0"/>
                <w:sz w:val="24"/>
              </w:rPr>
            </w:pPr>
            <w:r>
              <w:rPr>
                <w:rFonts w:ascii="仿宋_GB2312" w:hAnsi="Calibri" w:cs="仿宋_GB2312"/>
                <w:kern w:val="0"/>
                <w:sz w:val="24"/>
              </w:rPr>
              <w:t>检查组成员</w:t>
            </w:r>
          </w:p>
          <w:p w14:paraId="2B4BA89C">
            <w:pPr>
              <w:snapToGrid w:val="0"/>
              <w:jc w:val="center"/>
              <w:rPr>
                <w:rFonts w:ascii="仿宋_GB2312" w:hAnsi="Calibri" w:cs="仿宋_GB2312"/>
                <w:kern w:val="0"/>
                <w:sz w:val="24"/>
              </w:rPr>
            </w:pPr>
            <w:r>
              <w:rPr>
                <w:rFonts w:ascii="仿宋_GB2312" w:hAnsi="Calibri" w:cs="仿宋_GB2312"/>
                <w:kern w:val="0"/>
                <w:sz w:val="24"/>
              </w:rPr>
              <w:t>签名</w:t>
            </w:r>
          </w:p>
        </w:tc>
        <w:tc>
          <w:tcPr>
            <w:tcW w:w="5718" w:type="dxa"/>
            <w:tcBorders>
              <w:top w:val="single" w:color="auto" w:sz="4" w:space="0"/>
              <w:left w:val="nil"/>
              <w:bottom w:val="single" w:color="auto" w:sz="4" w:space="0"/>
              <w:right w:val="single" w:color="auto" w:sz="4" w:space="0"/>
            </w:tcBorders>
          </w:tcPr>
          <w:p w14:paraId="7A6AC800">
            <w:pPr>
              <w:rPr>
                <w:rFonts w:ascii="仿宋_GB2312" w:hAnsi="Calibri" w:cs="仿宋_GB2312"/>
                <w:kern w:val="0"/>
                <w:sz w:val="24"/>
              </w:rPr>
            </w:pPr>
          </w:p>
          <w:p w14:paraId="3D43E77C">
            <w:pPr>
              <w:ind w:firstLine="3360" w:firstLineChars="1400"/>
              <w:rPr>
                <w:rFonts w:ascii="仿宋_GB2312" w:hAnsi="Calibri" w:cs="仿宋_GB2312"/>
                <w:kern w:val="0"/>
                <w:sz w:val="24"/>
              </w:rPr>
            </w:pPr>
          </w:p>
          <w:p w14:paraId="55EA5C1C">
            <w:pPr>
              <w:ind w:firstLine="3360" w:firstLineChars="1400"/>
              <w:rPr>
                <w:rFonts w:ascii="仿宋_GB2312" w:hAnsi="Calibri" w:cs="仿宋_GB2312"/>
                <w:kern w:val="0"/>
                <w:sz w:val="24"/>
              </w:rPr>
            </w:pPr>
          </w:p>
          <w:p w14:paraId="35F464EE">
            <w:pPr>
              <w:ind w:firstLine="3360" w:firstLineChars="1400"/>
              <w:rPr>
                <w:rFonts w:ascii="仿宋_GB2312" w:hAnsi="Calibri" w:cs="仿宋_GB2312"/>
                <w:kern w:val="0"/>
                <w:sz w:val="24"/>
              </w:rPr>
            </w:pPr>
            <w:r>
              <w:rPr>
                <w:rFonts w:ascii="仿宋_GB2312" w:hAnsi="Calibri" w:cs="仿宋_GB2312"/>
                <w:kern w:val="0"/>
                <w:sz w:val="24"/>
              </w:rPr>
              <w:t>年   月   日</w:t>
            </w:r>
          </w:p>
        </w:tc>
      </w:tr>
      <w:tr w14:paraId="1B652D1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44" w:hRule="atLeast"/>
        </w:trPr>
        <w:tc>
          <w:tcPr>
            <w:tcW w:w="2434" w:type="dxa"/>
            <w:tcBorders>
              <w:top w:val="single" w:color="auto" w:sz="4" w:space="0"/>
              <w:left w:val="single" w:color="auto" w:sz="4" w:space="0"/>
              <w:bottom w:val="single" w:color="auto" w:sz="4" w:space="0"/>
              <w:right w:val="single" w:color="auto" w:sz="4" w:space="0"/>
            </w:tcBorders>
            <w:vAlign w:val="center"/>
          </w:tcPr>
          <w:p w14:paraId="492591BA">
            <w:pPr>
              <w:jc w:val="center"/>
              <w:rPr>
                <w:rFonts w:ascii="仿宋_GB2312" w:hAnsi="Calibri" w:cs="仿宋_GB2312"/>
                <w:kern w:val="0"/>
                <w:sz w:val="24"/>
              </w:rPr>
            </w:pPr>
            <w:r>
              <w:rPr>
                <w:rFonts w:ascii="仿宋_GB2312" w:hAnsi="Calibri" w:cs="仿宋_GB2312"/>
                <w:kern w:val="0"/>
                <w:sz w:val="24"/>
              </w:rPr>
              <w:t>生猪定点屠宰厂（场）负责人签名</w:t>
            </w:r>
          </w:p>
        </w:tc>
        <w:tc>
          <w:tcPr>
            <w:tcW w:w="5718" w:type="dxa"/>
            <w:tcBorders>
              <w:top w:val="single" w:color="auto" w:sz="4" w:space="0"/>
              <w:left w:val="nil"/>
              <w:bottom w:val="single" w:color="auto" w:sz="4" w:space="0"/>
              <w:right w:val="single" w:color="auto" w:sz="4" w:space="0"/>
            </w:tcBorders>
          </w:tcPr>
          <w:p w14:paraId="1F054BA9">
            <w:pPr>
              <w:rPr>
                <w:rFonts w:ascii="仿宋_GB2312" w:hAnsi="Calibri" w:cs="仿宋_GB2312"/>
                <w:kern w:val="0"/>
                <w:sz w:val="24"/>
              </w:rPr>
            </w:pPr>
          </w:p>
          <w:p w14:paraId="55852309">
            <w:pPr>
              <w:ind w:firstLine="3360" w:firstLineChars="1400"/>
              <w:rPr>
                <w:rFonts w:ascii="仿宋_GB2312" w:hAnsi="Calibri" w:cs="仿宋_GB2312"/>
                <w:kern w:val="0"/>
                <w:sz w:val="24"/>
              </w:rPr>
            </w:pPr>
          </w:p>
          <w:p w14:paraId="17113819">
            <w:pPr>
              <w:ind w:firstLine="3360" w:firstLineChars="1400"/>
              <w:rPr>
                <w:rFonts w:ascii="仿宋_GB2312" w:hAnsi="Calibri" w:cs="仿宋_GB2312"/>
                <w:kern w:val="0"/>
                <w:sz w:val="24"/>
              </w:rPr>
            </w:pPr>
          </w:p>
          <w:p w14:paraId="4DF4AD4C">
            <w:pPr>
              <w:ind w:firstLine="3360" w:firstLineChars="1400"/>
              <w:rPr>
                <w:rFonts w:ascii="仿宋_GB2312" w:hAnsi="Calibri" w:cs="仿宋_GB2312"/>
                <w:kern w:val="0"/>
                <w:sz w:val="24"/>
              </w:rPr>
            </w:pPr>
            <w:r>
              <w:rPr>
                <w:rFonts w:ascii="仿宋_GB2312" w:hAnsi="Calibri" w:cs="仿宋_GB2312"/>
                <w:kern w:val="0"/>
                <w:sz w:val="24"/>
              </w:rPr>
              <w:t>年   月   日</w:t>
            </w:r>
          </w:p>
        </w:tc>
      </w:tr>
      <w:tr w14:paraId="40FEC1F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42" w:hRule="atLeast"/>
        </w:trPr>
        <w:tc>
          <w:tcPr>
            <w:tcW w:w="2434" w:type="dxa"/>
            <w:tcBorders>
              <w:top w:val="single" w:color="auto" w:sz="4" w:space="0"/>
              <w:left w:val="single" w:color="auto" w:sz="4" w:space="0"/>
              <w:bottom w:val="single" w:color="auto" w:sz="4" w:space="0"/>
              <w:right w:val="single" w:color="auto" w:sz="4" w:space="0"/>
            </w:tcBorders>
            <w:vAlign w:val="center"/>
          </w:tcPr>
          <w:p w14:paraId="2E4EFAE3">
            <w:pPr>
              <w:ind w:firstLine="480" w:firstLineChars="200"/>
              <w:rPr>
                <w:rFonts w:ascii="仿宋_GB2312" w:hAnsi="Calibri" w:cs="仿宋_GB2312"/>
                <w:kern w:val="0"/>
                <w:sz w:val="24"/>
              </w:rPr>
            </w:pPr>
            <w:r>
              <w:rPr>
                <w:rFonts w:ascii="仿宋_GB2312" w:hAnsi="Calibri" w:cs="仿宋_GB2312"/>
                <w:kern w:val="0"/>
                <w:sz w:val="24"/>
              </w:rPr>
              <w:t>观察员签名：</w:t>
            </w:r>
          </w:p>
        </w:tc>
        <w:tc>
          <w:tcPr>
            <w:tcW w:w="5718" w:type="dxa"/>
            <w:tcBorders>
              <w:top w:val="single" w:color="auto" w:sz="4" w:space="0"/>
              <w:left w:val="nil"/>
              <w:bottom w:val="single" w:color="auto" w:sz="4" w:space="0"/>
              <w:right w:val="single" w:color="auto" w:sz="4" w:space="0"/>
            </w:tcBorders>
          </w:tcPr>
          <w:p w14:paraId="3CCB6A94">
            <w:pPr>
              <w:ind w:firstLine="3360" w:firstLineChars="1400"/>
              <w:rPr>
                <w:rFonts w:ascii="仿宋_GB2312" w:hAnsi="Calibri" w:cs="仿宋_GB2312"/>
                <w:kern w:val="0"/>
                <w:sz w:val="24"/>
              </w:rPr>
            </w:pPr>
          </w:p>
          <w:p w14:paraId="66630951">
            <w:pPr>
              <w:ind w:firstLine="3360" w:firstLineChars="1400"/>
              <w:rPr>
                <w:rFonts w:ascii="仿宋_GB2312" w:hAnsi="Calibri" w:cs="仿宋_GB2312"/>
                <w:kern w:val="0"/>
                <w:sz w:val="24"/>
              </w:rPr>
            </w:pPr>
            <w:r>
              <w:rPr>
                <w:rFonts w:ascii="仿宋_GB2312" w:hAnsi="Calibri" w:cs="仿宋_GB2312"/>
                <w:kern w:val="0"/>
                <w:sz w:val="24"/>
              </w:rPr>
              <w:t>年   月   日</w:t>
            </w:r>
          </w:p>
        </w:tc>
      </w:tr>
      <w:tr w14:paraId="7DF87A9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5" w:hRule="atLeast"/>
        </w:trPr>
        <w:tc>
          <w:tcPr>
            <w:tcW w:w="2434" w:type="dxa"/>
            <w:tcBorders>
              <w:top w:val="single" w:color="auto" w:sz="4" w:space="0"/>
              <w:left w:val="single" w:color="auto" w:sz="4" w:space="0"/>
              <w:bottom w:val="single" w:color="auto" w:sz="4" w:space="0"/>
              <w:right w:val="single" w:color="auto" w:sz="4" w:space="0"/>
            </w:tcBorders>
            <w:vAlign w:val="center"/>
          </w:tcPr>
          <w:p w14:paraId="39475484">
            <w:pPr>
              <w:jc w:val="center"/>
              <w:rPr>
                <w:rFonts w:ascii="仿宋_GB2312" w:hAnsi="Calibri" w:cs="仿宋_GB2312"/>
                <w:kern w:val="0"/>
                <w:sz w:val="24"/>
              </w:rPr>
            </w:pPr>
            <w:r>
              <w:rPr>
                <w:rFonts w:ascii="仿宋_GB2312" w:hAnsi="Calibri" w:cs="仿宋_GB2312"/>
                <w:kern w:val="0"/>
                <w:sz w:val="24"/>
              </w:rPr>
              <w:t>备注</w:t>
            </w:r>
          </w:p>
        </w:tc>
        <w:tc>
          <w:tcPr>
            <w:tcW w:w="5718" w:type="dxa"/>
            <w:tcBorders>
              <w:top w:val="single" w:color="auto" w:sz="4" w:space="0"/>
              <w:left w:val="nil"/>
              <w:bottom w:val="single" w:color="auto" w:sz="4" w:space="0"/>
              <w:right w:val="single" w:color="auto" w:sz="4" w:space="0"/>
            </w:tcBorders>
          </w:tcPr>
          <w:p w14:paraId="66941500">
            <w:pPr>
              <w:rPr>
                <w:rFonts w:ascii="仿宋_GB2312" w:hAnsi="Calibri" w:cs="仿宋_GB2312"/>
                <w:kern w:val="0"/>
                <w:sz w:val="24"/>
              </w:rPr>
            </w:pPr>
          </w:p>
        </w:tc>
      </w:tr>
    </w:tbl>
    <w:p w14:paraId="10D5A361">
      <w:pPr>
        <w:pStyle w:val="17"/>
        <w:snapToGrid w:val="0"/>
        <w:spacing w:line="312" w:lineRule="auto"/>
        <w:rPr>
          <w:rFonts w:ascii="仿宋" w:hAnsi="仿宋" w:eastAsia="仿宋" w:cs="仿宋"/>
        </w:rPr>
      </w:pPr>
      <w:r>
        <w:rPr>
          <w:rFonts w:ascii="仿宋" w:hAnsi="仿宋" w:eastAsia="仿宋" w:cs="仿宋"/>
        </w:rPr>
        <w:t>备注：本报告一式四份，分别由生猪定点屠宰厂（场）、省级和地市级、县级畜牧兽医主管部门留存。</w:t>
      </w:r>
    </w:p>
    <w:p w14:paraId="3783120B">
      <w:pPr>
        <w:pStyle w:val="12"/>
        <w:spacing w:line="312" w:lineRule="auto"/>
        <w:rPr>
          <w:rFonts w:ascii="黑体" w:hAnsi="宋体" w:eastAsia="黑体" w:cs="黑体"/>
          <w:sz w:val="32"/>
          <w:szCs w:val="32"/>
        </w:rPr>
        <w:sectPr>
          <w:pgSz w:w="11906" w:h="16838"/>
          <w:pgMar w:top="1440" w:right="1800" w:bottom="1440" w:left="1800" w:header="851" w:footer="992" w:gutter="0"/>
          <w:pgNumType w:fmt="numberInDash"/>
          <w:cols w:space="708" w:num="1"/>
          <w:docGrid w:type="lines" w:linePitch="312" w:charSpace="0"/>
        </w:sectPr>
      </w:pPr>
    </w:p>
    <w:p w14:paraId="340DE75A">
      <w:pPr>
        <w:pStyle w:val="17"/>
        <w:jc w:val="left"/>
        <w:rPr>
          <w:rFonts w:ascii="黑体" w:hAnsi="宋体" w:eastAsia="黑体" w:cs="黑体"/>
          <w:sz w:val="32"/>
          <w:szCs w:val="32"/>
        </w:rPr>
      </w:pPr>
      <w:r>
        <w:rPr>
          <w:rFonts w:ascii="黑体" w:hAnsi="宋体" w:eastAsia="黑体" w:cs="黑体"/>
          <w:sz w:val="32"/>
          <w:szCs w:val="32"/>
        </w:rPr>
        <w:t>附录6</w:t>
      </w:r>
    </w:p>
    <w:p w14:paraId="14EE02C1">
      <w:pPr>
        <w:pStyle w:val="17"/>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生猪屠宰质量管理规范整改情况核查表</w:t>
      </w:r>
    </w:p>
    <w:tbl>
      <w:tblPr>
        <w:tblStyle w:val="18"/>
        <w:tblW w:w="9015"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3"/>
        <w:gridCol w:w="1642"/>
        <w:gridCol w:w="1635"/>
        <w:gridCol w:w="2285"/>
      </w:tblGrid>
      <w:tr w14:paraId="7992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3453" w:type="dxa"/>
            <w:tcBorders>
              <w:top w:val="single" w:color="auto" w:sz="4" w:space="0"/>
              <w:left w:val="single" w:color="auto" w:sz="4" w:space="0"/>
              <w:bottom w:val="single" w:color="auto" w:sz="4" w:space="0"/>
              <w:right w:val="single" w:color="auto" w:sz="4" w:space="0"/>
            </w:tcBorders>
            <w:vAlign w:val="center"/>
          </w:tcPr>
          <w:p w14:paraId="31CABFB0">
            <w:pPr>
              <w:snapToGrid w:val="0"/>
              <w:jc w:val="center"/>
              <w:rPr>
                <w:rFonts w:ascii="仿宋_GB2312" w:hAnsi="宋体"/>
                <w:kern w:val="0"/>
                <w:sz w:val="24"/>
              </w:rPr>
            </w:pPr>
            <w:r>
              <w:rPr>
                <w:rFonts w:ascii="仿宋_GB2312" w:hAnsi="宋体"/>
                <w:kern w:val="0"/>
                <w:sz w:val="24"/>
              </w:rPr>
              <w:t>生猪定点屠宰厂（场）名称</w:t>
            </w:r>
          </w:p>
        </w:tc>
        <w:tc>
          <w:tcPr>
            <w:tcW w:w="5562" w:type="dxa"/>
            <w:gridSpan w:val="3"/>
            <w:tcBorders>
              <w:top w:val="single" w:color="auto" w:sz="4" w:space="0"/>
              <w:left w:val="nil"/>
              <w:bottom w:val="single" w:color="auto" w:sz="4" w:space="0"/>
              <w:right w:val="single" w:color="auto" w:sz="4" w:space="0"/>
            </w:tcBorders>
            <w:vAlign w:val="center"/>
          </w:tcPr>
          <w:p w14:paraId="745EB5F8">
            <w:pPr>
              <w:snapToGrid w:val="0"/>
              <w:rPr>
                <w:rFonts w:ascii="仿宋_GB2312" w:hAnsi="宋体"/>
                <w:kern w:val="0"/>
                <w:sz w:val="24"/>
              </w:rPr>
            </w:pPr>
          </w:p>
        </w:tc>
      </w:tr>
      <w:tr w14:paraId="44B2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3453" w:type="dxa"/>
            <w:tcBorders>
              <w:top w:val="single" w:color="auto" w:sz="4" w:space="0"/>
              <w:left w:val="single" w:color="auto" w:sz="4" w:space="0"/>
              <w:bottom w:val="single" w:color="auto" w:sz="4" w:space="0"/>
              <w:right w:val="single" w:color="auto" w:sz="4" w:space="0"/>
            </w:tcBorders>
            <w:vAlign w:val="center"/>
          </w:tcPr>
          <w:p w14:paraId="52C199FA">
            <w:pPr>
              <w:snapToGrid w:val="0"/>
              <w:jc w:val="center"/>
              <w:rPr>
                <w:rFonts w:ascii="仿宋_GB2312" w:hAnsi="宋体"/>
                <w:kern w:val="0"/>
                <w:sz w:val="24"/>
              </w:rPr>
            </w:pPr>
            <w:r>
              <w:rPr>
                <w:rFonts w:ascii="仿宋_GB2312" w:hAnsi="宋体"/>
                <w:kern w:val="0"/>
                <w:sz w:val="24"/>
              </w:rPr>
              <w:t>生猪定点屠宰代码</w:t>
            </w:r>
          </w:p>
        </w:tc>
        <w:tc>
          <w:tcPr>
            <w:tcW w:w="5562" w:type="dxa"/>
            <w:gridSpan w:val="3"/>
            <w:tcBorders>
              <w:top w:val="single" w:color="auto" w:sz="4" w:space="0"/>
              <w:left w:val="nil"/>
              <w:bottom w:val="single" w:color="auto" w:sz="4" w:space="0"/>
              <w:right w:val="single" w:color="auto" w:sz="4" w:space="0"/>
            </w:tcBorders>
            <w:vAlign w:val="center"/>
          </w:tcPr>
          <w:p w14:paraId="0E39728D">
            <w:pPr>
              <w:snapToGrid w:val="0"/>
              <w:rPr>
                <w:rFonts w:ascii="仿宋_GB2312" w:hAnsi="宋体"/>
                <w:kern w:val="0"/>
                <w:sz w:val="24"/>
              </w:rPr>
            </w:pPr>
          </w:p>
        </w:tc>
      </w:tr>
      <w:tr w14:paraId="6A9A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3453" w:type="dxa"/>
            <w:tcBorders>
              <w:top w:val="single" w:color="auto" w:sz="4" w:space="0"/>
              <w:left w:val="single" w:color="auto" w:sz="4" w:space="0"/>
              <w:bottom w:val="single" w:color="auto" w:sz="4" w:space="0"/>
              <w:right w:val="single" w:color="auto" w:sz="4" w:space="0"/>
            </w:tcBorders>
            <w:vAlign w:val="center"/>
          </w:tcPr>
          <w:p w14:paraId="4B1CDA84">
            <w:pPr>
              <w:snapToGrid w:val="0"/>
              <w:jc w:val="center"/>
              <w:rPr>
                <w:rFonts w:ascii="仿宋_GB2312" w:hAnsi="宋体"/>
                <w:kern w:val="0"/>
                <w:sz w:val="24"/>
              </w:rPr>
            </w:pPr>
            <w:r>
              <w:rPr>
                <w:rFonts w:ascii="仿宋_GB2312" w:hAnsi="宋体"/>
                <w:kern w:val="0"/>
                <w:sz w:val="24"/>
              </w:rPr>
              <w:t>生产地址</w:t>
            </w:r>
          </w:p>
        </w:tc>
        <w:tc>
          <w:tcPr>
            <w:tcW w:w="5562" w:type="dxa"/>
            <w:gridSpan w:val="3"/>
            <w:tcBorders>
              <w:top w:val="single" w:color="auto" w:sz="4" w:space="0"/>
              <w:left w:val="nil"/>
              <w:bottom w:val="single" w:color="auto" w:sz="4" w:space="0"/>
              <w:right w:val="single" w:color="auto" w:sz="4" w:space="0"/>
            </w:tcBorders>
            <w:vAlign w:val="center"/>
          </w:tcPr>
          <w:p w14:paraId="5882541F">
            <w:pPr>
              <w:snapToGrid w:val="0"/>
              <w:rPr>
                <w:rFonts w:ascii="仿宋_GB2312" w:hAnsi="宋体"/>
                <w:kern w:val="0"/>
                <w:sz w:val="24"/>
              </w:rPr>
            </w:pPr>
          </w:p>
        </w:tc>
      </w:tr>
      <w:tr w14:paraId="019F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0" w:hRule="atLeast"/>
        </w:trPr>
        <w:tc>
          <w:tcPr>
            <w:tcW w:w="3453" w:type="dxa"/>
            <w:tcBorders>
              <w:top w:val="single" w:color="auto" w:sz="4" w:space="0"/>
              <w:left w:val="single" w:color="auto" w:sz="4" w:space="0"/>
              <w:bottom w:val="single" w:color="auto" w:sz="4" w:space="0"/>
              <w:right w:val="single" w:color="auto" w:sz="4" w:space="0"/>
            </w:tcBorders>
            <w:vAlign w:val="center"/>
          </w:tcPr>
          <w:p w14:paraId="7E1F78FE">
            <w:pPr>
              <w:snapToGrid w:val="0"/>
              <w:jc w:val="center"/>
              <w:rPr>
                <w:rFonts w:ascii="仿宋_GB2312" w:hAnsi="宋体"/>
                <w:kern w:val="0"/>
                <w:sz w:val="24"/>
              </w:rPr>
            </w:pPr>
            <w:r>
              <w:rPr>
                <w:rFonts w:ascii="仿宋_GB2312" w:hAnsi="宋体"/>
                <w:kern w:val="0"/>
                <w:sz w:val="24"/>
              </w:rPr>
              <w:t>检查时间</w:t>
            </w:r>
          </w:p>
        </w:tc>
        <w:tc>
          <w:tcPr>
            <w:tcW w:w="1642" w:type="dxa"/>
            <w:tcBorders>
              <w:top w:val="single" w:color="auto" w:sz="4" w:space="0"/>
              <w:left w:val="nil"/>
              <w:bottom w:val="single" w:color="auto" w:sz="4" w:space="0"/>
              <w:right w:val="single" w:color="auto" w:sz="4" w:space="0"/>
            </w:tcBorders>
            <w:vAlign w:val="center"/>
          </w:tcPr>
          <w:p w14:paraId="7D653592">
            <w:pPr>
              <w:rPr>
                <w:rFonts w:ascii="仿宋_GB2312" w:hAnsi="宋体"/>
                <w:kern w:val="0"/>
                <w:sz w:val="24"/>
              </w:rPr>
            </w:pPr>
          </w:p>
          <w:p w14:paraId="711508A6">
            <w:pPr>
              <w:rPr>
                <w:rFonts w:ascii="仿宋_GB2312" w:hAnsi="宋体"/>
                <w:kern w:val="0"/>
                <w:sz w:val="21"/>
                <w:szCs w:val="21"/>
              </w:rPr>
            </w:pPr>
          </w:p>
        </w:tc>
        <w:tc>
          <w:tcPr>
            <w:tcW w:w="1635" w:type="dxa"/>
            <w:tcBorders>
              <w:top w:val="single" w:color="auto" w:sz="4" w:space="0"/>
              <w:left w:val="nil"/>
              <w:bottom w:val="single" w:color="auto" w:sz="4" w:space="0"/>
              <w:right w:val="single" w:color="auto" w:sz="4" w:space="0"/>
            </w:tcBorders>
            <w:vAlign w:val="center"/>
          </w:tcPr>
          <w:p w14:paraId="20ECFB45">
            <w:pPr>
              <w:spacing w:line="400" w:lineRule="exact"/>
              <w:rPr>
                <w:rFonts w:ascii="仿宋_GB2312" w:hAnsi="宋体"/>
                <w:kern w:val="0"/>
                <w:sz w:val="24"/>
              </w:rPr>
            </w:pPr>
            <w:r>
              <w:rPr>
                <w:rFonts w:ascii="仿宋_GB2312" w:hAnsi="宋体"/>
                <w:kern w:val="0"/>
                <w:sz w:val="24"/>
              </w:rPr>
              <w:t>整改材料</w:t>
            </w:r>
          </w:p>
          <w:p w14:paraId="7103D929">
            <w:pPr>
              <w:spacing w:line="400" w:lineRule="exact"/>
              <w:rPr>
                <w:rFonts w:ascii="仿宋_GB2312" w:hAnsi="宋体"/>
                <w:kern w:val="0"/>
                <w:sz w:val="21"/>
                <w:szCs w:val="21"/>
              </w:rPr>
            </w:pPr>
            <w:r>
              <w:rPr>
                <w:rFonts w:ascii="仿宋_GB2312" w:hAnsi="宋体"/>
                <w:kern w:val="0"/>
                <w:sz w:val="24"/>
              </w:rPr>
              <w:t>接收时间</w:t>
            </w:r>
          </w:p>
        </w:tc>
        <w:tc>
          <w:tcPr>
            <w:tcW w:w="2285" w:type="dxa"/>
            <w:tcBorders>
              <w:top w:val="single" w:color="auto" w:sz="4" w:space="0"/>
              <w:left w:val="nil"/>
              <w:bottom w:val="single" w:color="auto" w:sz="4" w:space="0"/>
              <w:right w:val="single" w:color="auto" w:sz="4" w:space="0"/>
            </w:tcBorders>
            <w:vAlign w:val="center"/>
          </w:tcPr>
          <w:p w14:paraId="1DA20B48">
            <w:pPr>
              <w:rPr>
                <w:rFonts w:ascii="仿宋_GB2312" w:hAnsi="宋体"/>
                <w:kern w:val="0"/>
                <w:sz w:val="21"/>
                <w:szCs w:val="21"/>
              </w:rPr>
            </w:pPr>
          </w:p>
        </w:tc>
      </w:tr>
      <w:tr w14:paraId="2261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0" w:hRule="atLeast"/>
        </w:trPr>
        <w:tc>
          <w:tcPr>
            <w:tcW w:w="3453" w:type="dxa"/>
            <w:tcBorders>
              <w:top w:val="single" w:color="auto" w:sz="4" w:space="0"/>
              <w:left w:val="single" w:color="auto" w:sz="4" w:space="0"/>
              <w:bottom w:val="single" w:color="auto" w:sz="4" w:space="0"/>
              <w:right w:val="single" w:color="auto" w:sz="4" w:space="0"/>
            </w:tcBorders>
            <w:vAlign w:val="center"/>
          </w:tcPr>
          <w:p w14:paraId="28459592">
            <w:pPr>
              <w:snapToGrid w:val="0"/>
              <w:jc w:val="center"/>
              <w:rPr>
                <w:rFonts w:ascii="仿宋_GB2312" w:hAnsi="宋体"/>
                <w:kern w:val="0"/>
                <w:sz w:val="24"/>
              </w:rPr>
            </w:pPr>
            <w:r>
              <w:rPr>
                <w:rFonts w:ascii="仿宋_GB2312" w:hAnsi="宋体"/>
                <w:kern w:val="0"/>
                <w:sz w:val="24"/>
              </w:rPr>
              <w:t>整改情况</w:t>
            </w:r>
          </w:p>
        </w:tc>
        <w:tc>
          <w:tcPr>
            <w:tcW w:w="5562" w:type="dxa"/>
            <w:gridSpan w:val="3"/>
            <w:tcBorders>
              <w:top w:val="single" w:color="auto" w:sz="4" w:space="0"/>
              <w:left w:val="nil"/>
              <w:bottom w:val="single" w:color="auto" w:sz="4" w:space="0"/>
              <w:right w:val="single" w:color="auto" w:sz="4" w:space="0"/>
            </w:tcBorders>
            <w:vAlign w:val="center"/>
          </w:tcPr>
          <w:p w14:paraId="1220633C">
            <w:pPr>
              <w:snapToGrid w:val="0"/>
              <w:rPr>
                <w:rFonts w:ascii="仿宋_GB2312" w:hAnsi="宋体"/>
                <w:kern w:val="0"/>
                <w:sz w:val="24"/>
              </w:rPr>
            </w:pPr>
          </w:p>
          <w:p w14:paraId="048AD7E1">
            <w:pPr>
              <w:snapToGrid w:val="0"/>
              <w:rPr>
                <w:rFonts w:ascii="仿宋_GB2312" w:hAnsi="宋体"/>
                <w:kern w:val="0"/>
                <w:sz w:val="24"/>
              </w:rPr>
            </w:pPr>
            <w:r>
              <w:rPr>
                <w:rFonts w:ascii="仿宋_GB2312" w:hAnsi="宋体"/>
                <w:kern w:val="0"/>
                <w:sz w:val="24"/>
              </w:rPr>
              <w:t>缺陷项目1：</w:t>
            </w:r>
          </w:p>
          <w:p w14:paraId="036FD945">
            <w:pPr>
              <w:snapToGrid w:val="0"/>
              <w:rPr>
                <w:rFonts w:ascii="仿宋_GB2312" w:hAnsi="宋体"/>
                <w:kern w:val="0"/>
                <w:sz w:val="24"/>
              </w:rPr>
            </w:pPr>
          </w:p>
          <w:p w14:paraId="44EC15DC">
            <w:pPr>
              <w:snapToGrid w:val="0"/>
              <w:rPr>
                <w:rFonts w:ascii="仿宋_GB2312" w:hAnsi="宋体"/>
                <w:kern w:val="0"/>
                <w:sz w:val="24"/>
              </w:rPr>
            </w:pPr>
            <w:r>
              <w:rPr>
                <w:rFonts w:ascii="仿宋_GB2312" w:hAnsi="宋体"/>
                <w:kern w:val="0"/>
                <w:sz w:val="24"/>
              </w:rPr>
              <w:t>缺陷项目2：</w:t>
            </w:r>
          </w:p>
          <w:p w14:paraId="2E4AF226">
            <w:pPr>
              <w:snapToGrid w:val="0"/>
              <w:rPr>
                <w:rFonts w:ascii="仿宋_GB2312" w:hAnsi="宋体"/>
                <w:kern w:val="0"/>
                <w:sz w:val="24"/>
              </w:rPr>
            </w:pPr>
          </w:p>
          <w:p w14:paraId="39EFF694">
            <w:pPr>
              <w:snapToGrid w:val="0"/>
              <w:rPr>
                <w:rFonts w:ascii="仿宋_GB2312" w:hAnsi="宋体"/>
                <w:kern w:val="0"/>
                <w:sz w:val="24"/>
              </w:rPr>
            </w:pPr>
            <w:r>
              <w:rPr>
                <w:rFonts w:ascii="仿宋_GB2312" w:hAnsi="宋体"/>
                <w:kern w:val="0"/>
                <w:sz w:val="24"/>
              </w:rPr>
              <w:t>......</w:t>
            </w:r>
          </w:p>
          <w:p w14:paraId="62BDC2FF">
            <w:pPr>
              <w:snapToGrid w:val="0"/>
              <w:rPr>
                <w:rFonts w:ascii="仿宋_GB2312" w:hAnsi="宋体"/>
                <w:kern w:val="0"/>
                <w:sz w:val="24"/>
              </w:rPr>
            </w:pPr>
          </w:p>
        </w:tc>
      </w:tr>
      <w:tr w14:paraId="1530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0" w:hRule="atLeast"/>
        </w:trPr>
        <w:tc>
          <w:tcPr>
            <w:tcW w:w="3453" w:type="dxa"/>
            <w:tcBorders>
              <w:top w:val="single" w:color="auto" w:sz="4" w:space="0"/>
              <w:left w:val="single" w:color="auto" w:sz="4" w:space="0"/>
              <w:bottom w:val="single" w:color="auto" w:sz="4" w:space="0"/>
              <w:right w:val="single" w:color="auto" w:sz="4" w:space="0"/>
            </w:tcBorders>
            <w:vAlign w:val="center"/>
          </w:tcPr>
          <w:p w14:paraId="6717F105">
            <w:pPr>
              <w:snapToGrid w:val="0"/>
              <w:jc w:val="center"/>
              <w:rPr>
                <w:rFonts w:ascii="仿宋_GB2312" w:hAnsi="宋体"/>
                <w:kern w:val="0"/>
                <w:sz w:val="24"/>
              </w:rPr>
            </w:pPr>
            <w:r>
              <w:rPr>
                <w:rFonts w:ascii="仿宋_GB2312" w:hAnsi="宋体"/>
                <w:kern w:val="0"/>
                <w:sz w:val="24"/>
              </w:rPr>
              <w:t>县级畜牧兽医</w:t>
            </w:r>
          </w:p>
          <w:p w14:paraId="2556FC2D">
            <w:pPr>
              <w:snapToGrid w:val="0"/>
              <w:jc w:val="center"/>
              <w:rPr>
                <w:rFonts w:ascii="仿宋_GB2312" w:hAnsi="宋体"/>
                <w:kern w:val="0"/>
                <w:sz w:val="24"/>
              </w:rPr>
            </w:pPr>
            <w:r>
              <w:rPr>
                <w:rFonts w:ascii="仿宋_GB2312" w:hAnsi="宋体"/>
                <w:kern w:val="0"/>
                <w:sz w:val="24"/>
              </w:rPr>
              <w:t>主管部门核查意见</w:t>
            </w:r>
          </w:p>
        </w:tc>
        <w:tc>
          <w:tcPr>
            <w:tcW w:w="5562" w:type="dxa"/>
            <w:gridSpan w:val="3"/>
            <w:tcBorders>
              <w:top w:val="single" w:color="auto" w:sz="4" w:space="0"/>
              <w:left w:val="nil"/>
              <w:bottom w:val="single" w:color="auto" w:sz="4" w:space="0"/>
              <w:right w:val="single" w:color="auto" w:sz="4" w:space="0"/>
            </w:tcBorders>
            <w:vAlign w:val="center"/>
          </w:tcPr>
          <w:p w14:paraId="74E3F5C7">
            <w:pPr>
              <w:snapToGrid w:val="0"/>
              <w:ind w:firstLine="3120" w:firstLineChars="1300"/>
              <w:rPr>
                <w:rFonts w:ascii="仿宋_GB2312" w:hAnsi="宋体"/>
                <w:kern w:val="0"/>
                <w:sz w:val="24"/>
              </w:rPr>
            </w:pPr>
          </w:p>
          <w:p w14:paraId="4A700A3A">
            <w:pPr>
              <w:snapToGrid w:val="0"/>
              <w:ind w:firstLine="3120" w:firstLineChars="1300"/>
              <w:rPr>
                <w:rFonts w:ascii="仿宋_GB2312" w:hAnsi="宋体"/>
                <w:kern w:val="0"/>
                <w:sz w:val="24"/>
              </w:rPr>
            </w:pPr>
          </w:p>
          <w:p w14:paraId="14D03A9C">
            <w:pPr>
              <w:snapToGrid w:val="0"/>
              <w:ind w:firstLine="3120" w:firstLineChars="1300"/>
              <w:rPr>
                <w:rFonts w:ascii="仿宋_GB2312" w:hAnsi="宋体"/>
                <w:kern w:val="0"/>
                <w:sz w:val="24"/>
              </w:rPr>
            </w:pPr>
          </w:p>
          <w:p w14:paraId="6867C3BB">
            <w:pPr>
              <w:snapToGrid w:val="0"/>
              <w:ind w:firstLine="3120" w:firstLineChars="1300"/>
              <w:rPr>
                <w:rFonts w:ascii="仿宋_GB2312" w:hAnsi="宋体"/>
                <w:kern w:val="0"/>
                <w:sz w:val="24"/>
              </w:rPr>
            </w:pPr>
            <w:r>
              <w:rPr>
                <w:rFonts w:ascii="仿宋_GB2312" w:hAnsi="宋体"/>
                <w:kern w:val="0"/>
                <w:sz w:val="24"/>
              </w:rPr>
              <w:t>（盖章）</w:t>
            </w:r>
          </w:p>
          <w:p w14:paraId="5946D8CA">
            <w:pPr>
              <w:snapToGrid w:val="0"/>
              <w:rPr>
                <w:rFonts w:ascii="仿宋_GB2312" w:hAnsi="宋体"/>
                <w:kern w:val="0"/>
                <w:sz w:val="24"/>
              </w:rPr>
            </w:pPr>
            <w:r>
              <w:rPr>
                <w:rFonts w:ascii="仿宋_GB2312" w:hAnsi="宋体"/>
                <w:kern w:val="0"/>
                <w:sz w:val="24"/>
              </w:rPr>
              <w:t xml:space="preserve">                          年  月  日</w:t>
            </w:r>
          </w:p>
          <w:p w14:paraId="190F6B9A">
            <w:pPr>
              <w:snapToGrid w:val="0"/>
              <w:rPr>
                <w:rFonts w:ascii="仿宋_GB2312" w:hAnsi="宋体"/>
                <w:kern w:val="0"/>
                <w:sz w:val="24"/>
              </w:rPr>
            </w:pPr>
          </w:p>
        </w:tc>
      </w:tr>
      <w:tr w14:paraId="6C4B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trPr>
        <w:tc>
          <w:tcPr>
            <w:tcW w:w="3453" w:type="dxa"/>
            <w:tcBorders>
              <w:top w:val="single" w:color="auto" w:sz="4" w:space="0"/>
              <w:left w:val="single" w:color="auto" w:sz="4" w:space="0"/>
              <w:bottom w:val="single" w:color="auto" w:sz="4" w:space="0"/>
              <w:right w:val="single" w:color="auto" w:sz="4" w:space="0"/>
            </w:tcBorders>
            <w:vAlign w:val="center"/>
          </w:tcPr>
          <w:p w14:paraId="5D25D4B1">
            <w:pPr>
              <w:snapToGrid w:val="0"/>
              <w:jc w:val="center"/>
              <w:rPr>
                <w:rFonts w:ascii="仿宋_GB2312" w:hAnsi="宋体"/>
                <w:kern w:val="0"/>
                <w:sz w:val="24"/>
              </w:rPr>
            </w:pPr>
            <w:r>
              <w:rPr>
                <w:rFonts w:ascii="仿宋_GB2312" w:hAnsi="宋体"/>
                <w:kern w:val="0"/>
                <w:sz w:val="24"/>
              </w:rPr>
              <w:t>市级畜牧兽医</w:t>
            </w:r>
          </w:p>
          <w:p w14:paraId="044E7271">
            <w:pPr>
              <w:snapToGrid w:val="0"/>
              <w:jc w:val="center"/>
              <w:rPr>
                <w:rFonts w:ascii="仿宋_GB2312" w:hAnsi="宋体"/>
                <w:kern w:val="0"/>
                <w:sz w:val="24"/>
              </w:rPr>
            </w:pPr>
            <w:r>
              <w:rPr>
                <w:rFonts w:ascii="仿宋_GB2312" w:hAnsi="宋体"/>
                <w:kern w:val="0"/>
                <w:sz w:val="24"/>
              </w:rPr>
              <w:t>主管部门核查意见</w:t>
            </w:r>
          </w:p>
        </w:tc>
        <w:tc>
          <w:tcPr>
            <w:tcW w:w="5562" w:type="dxa"/>
            <w:gridSpan w:val="3"/>
            <w:tcBorders>
              <w:top w:val="single" w:color="auto" w:sz="4" w:space="0"/>
              <w:left w:val="nil"/>
              <w:bottom w:val="single" w:color="auto" w:sz="4" w:space="0"/>
              <w:right w:val="single" w:color="auto" w:sz="4" w:space="0"/>
            </w:tcBorders>
            <w:vAlign w:val="center"/>
          </w:tcPr>
          <w:p w14:paraId="7F115A20">
            <w:pPr>
              <w:snapToGrid w:val="0"/>
              <w:rPr>
                <w:rFonts w:ascii="仿宋_GB2312" w:hAnsi="宋体"/>
                <w:kern w:val="0"/>
                <w:sz w:val="24"/>
              </w:rPr>
            </w:pPr>
          </w:p>
          <w:p w14:paraId="31B33B6B">
            <w:pPr>
              <w:snapToGrid w:val="0"/>
              <w:rPr>
                <w:rFonts w:ascii="仿宋_GB2312" w:hAnsi="宋体"/>
                <w:kern w:val="0"/>
                <w:sz w:val="24"/>
              </w:rPr>
            </w:pPr>
          </w:p>
          <w:p w14:paraId="472B55E2">
            <w:pPr>
              <w:snapToGrid w:val="0"/>
              <w:rPr>
                <w:rFonts w:ascii="仿宋_GB2312" w:hAnsi="宋体"/>
                <w:kern w:val="0"/>
                <w:sz w:val="24"/>
              </w:rPr>
            </w:pPr>
          </w:p>
          <w:p w14:paraId="2F3356D1">
            <w:pPr>
              <w:snapToGrid w:val="0"/>
              <w:jc w:val="center"/>
              <w:rPr>
                <w:rFonts w:ascii="仿宋_GB2312" w:hAnsi="宋体"/>
                <w:kern w:val="0"/>
                <w:sz w:val="24"/>
              </w:rPr>
            </w:pPr>
            <w:r>
              <w:rPr>
                <w:rFonts w:ascii="仿宋_GB2312" w:hAnsi="宋体"/>
                <w:kern w:val="0"/>
                <w:sz w:val="24"/>
              </w:rPr>
              <w:t xml:space="preserve">                （盖章）</w:t>
            </w:r>
          </w:p>
          <w:p w14:paraId="13243147">
            <w:pPr>
              <w:snapToGrid w:val="0"/>
              <w:rPr>
                <w:rFonts w:ascii="仿宋_GB2312" w:hAnsi="宋体"/>
                <w:kern w:val="0"/>
                <w:sz w:val="24"/>
              </w:rPr>
            </w:pPr>
            <w:r>
              <w:rPr>
                <w:rFonts w:ascii="仿宋_GB2312" w:hAnsi="宋体"/>
                <w:kern w:val="0"/>
                <w:sz w:val="24"/>
              </w:rPr>
              <w:t xml:space="preserve">                          年  月  日</w:t>
            </w:r>
          </w:p>
        </w:tc>
      </w:tr>
      <w:tr w14:paraId="5CB8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0" w:hRule="atLeast"/>
        </w:trPr>
        <w:tc>
          <w:tcPr>
            <w:tcW w:w="3453" w:type="dxa"/>
            <w:tcBorders>
              <w:top w:val="single" w:color="auto" w:sz="4" w:space="0"/>
              <w:left w:val="single" w:color="auto" w:sz="4" w:space="0"/>
              <w:bottom w:val="single" w:color="auto" w:sz="4" w:space="0"/>
              <w:right w:val="single" w:color="auto" w:sz="4" w:space="0"/>
            </w:tcBorders>
            <w:vAlign w:val="center"/>
          </w:tcPr>
          <w:p w14:paraId="1AAA5FE2">
            <w:pPr>
              <w:snapToGrid w:val="0"/>
              <w:jc w:val="center"/>
              <w:rPr>
                <w:rFonts w:ascii="仿宋_GB2312" w:hAnsi="宋体"/>
                <w:kern w:val="0"/>
                <w:sz w:val="24"/>
              </w:rPr>
            </w:pPr>
            <w:r>
              <w:rPr>
                <w:rFonts w:ascii="仿宋_GB2312" w:hAnsi="宋体"/>
                <w:kern w:val="0"/>
                <w:sz w:val="24"/>
              </w:rPr>
              <w:t>检查组</w:t>
            </w:r>
          </w:p>
          <w:p w14:paraId="0C3A8B50">
            <w:pPr>
              <w:snapToGrid w:val="0"/>
              <w:jc w:val="center"/>
              <w:rPr>
                <w:rFonts w:ascii="仿宋_GB2312" w:hAnsi="宋体"/>
                <w:kern w:val="0"/>
                <w:sz w:val="24"/>
              </w:rPr>
            </w:pPr>
            <w:r>
              <w:rPr>
                <w:rFonts w:ascii="仿宋_GB2312" w:hAnsi="宋体"/>
                <w:kern w:val="0"/>
                <w:sz w:val="24"/>
              </w:rPr>
              <w:t>核查意见</w:t>
            </w:r>
          </w:p>
        </w:tc>
        <w:tc>
          <w:tcPr>
            <w:tcW w:w="5562" w:type="dxa"/>
            <w:gridSpan w:val="3"/>
            <w:tcBorders>
              <w:top w:val="single" w:color="auto" w:sz="4" w:space="0"/>
              <w:left w:val="nil"/>
              <w:bottom w:val="single" w:color="auto" w:sz="4" w:space="0"/>
              <w:right w:val="single" w:color="auto" w:sz="4" w:space="0"/>
            </w:tcBorders>
            <w:vAlign w:val="center"/>
          </w:tcPr>
          <w:p w14:paraId="47EFA804">
            <w:pPr>
              <w:snapToGrid w:val="0"/>
              <w:rPr>
                <w:rFonts w:ascii="仿宋_GB2312" w:hAnsi="宋体"/>
                <w:kern w:val="0"/>
                <w:sz w:val="24"/>
              </w:rPr>
            </w:pPr>
          </w:p>
          <w:p w14:paraId="747EBD99">
            <w:pPr>
              <w:snapToGrid w:val="0"/>
              <w:rPr>
                <w:rFonts w:ascii="仿宋_GB2312" w:hAnsi="宋体"/>
                <w:kern w:val="0"/>
                <w:sz w:val="24"/>
              </w:rPr>
            </w:pPr>
          </w:p>
          <w:p w14:paraId="71A875FA">
            <w:pPr>
              <w:snapToGrid w:val="0"/>
              <w:rPr>
                <w:rFonts w:ascii="仿宋_GB2312" w:hAnsi="宋体"/>
                <w:kern w:val="0"/>
                <w:sz w:val="24"/>
              </w:rPr>
            </w:pPr>
          </w:p>
          <w:p w14:paraId="2A490E6D">
            <w:pPr>
              <w:snapToGrid w:val="0"/>
              <w:rPr>
                <w:rFonts w:ascii="仿宋_GB2312" w:hAnsi="宋体"/>
                <w:kern w:val="0"/>
                <w:sz w:val="24"/>
              </w:rPr>
            </w:pPr>
          </w:p>
          <w:p w14:paraId="03D5CBCC">
            <w:pPr>
              <w:snapToGrid w:val="0"/>
              <w:ind w:firstLine="1200" w:firstLineChars="500"/>
              <w:rPr>
                <w:rFonts w:ascii="仿宋_GB2312" w:hAnsi="宋体"/>
                <w:kern w:val="0"/>
                <w:sz w:val="24"/>
              </w:rPr>
            </w:pPr>
            <w:r>
              <w:rPr>
                <w:rFonts w:ascii="仿宋_GB2312" w:hAnsi="宋体"/>
                <w:kern w:val="0"/>
                <w:sz w:val="24"/>
              </w:rPr>
              <w:t>检查组成员签名：</w:t>
            </w:r>
          </w:p>
          <w:p w14:paraId="63294D77">
            <w:pPr>
              <w:snapToGrid w:val="0"/>
              <w:rPr>
                <w:rFonts w:ascii="仿宋_GB2312" w:hAnsi="宋体"/>
                <w:kern w:val="0"/>
                <w:sz w:val="24"/>
              </w:rPr>
            </w:pPr>
            <w:r>
              <w:rPr>
                <w:rFonts w:ascii="仿宋_GB2312" w:hAnsi="宋体"/>
                <w:kern w:val="0"/>
                <w:sz w:val="24"/>
              </w:rPr>
              <w:t xml:space="preserve">                          年  月  日</w:t>
            </w:r>
          </w:p>
        </w:tc>
      </w:tr>
      <w:tr w14:paraId="3EF7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3453" w:type="dxa"/>
            <w:tcBorders>
              <w:top w:val="single" w:color="auto" w:sz="4" w:space="0"/>
              <w:left w:val="single" w:color="auto" w:sz="4" w:space="0"/>
              <w:bottom w:val="single" w:color="auto" w:sz="4" w:space="0"/>
              <w:right w:val="single" w:color="auto" w:sz="4" w:space="0"/>
            </w:tcBorders>
            <w:vAlign w:val="center"/>
          </w:tcPr>
          <w:p w14:paraId="2A1511DB">
            <w:pPr>
              <w:snapToGrid w:val="0"/>
              <w:jc w:val="center"/>
              <w:rPr>
                <w:rFonts w:ascii="仿宋_GB2312" w:hAnsi="宋体"/>
                <w:kern w:val="0"/>
                <w:sz w:val="24"/>
              </w:rPr>
            </w:pPr>
            <w:r>
              <w:rPr>
                <w:rFonts w:ascii="仿宋_GB2312" w:hAnsi="宋体"/>
                <w:kern w:val="0"/>
                <w:sz w:val="24"/>
              </w:rPr>
              <w:t>备注</w:t>
            </w:r>
          </w:p>
        </w:tc>
        <w:tc>
          <w:tcPr>
            <w:tcW w:w="5562" w:type="dxa"/>
            <w:gridSpan w:val="3"/>
            <w:tcBorders>
              <w:top w:val="single" w:color="auto" w:sz="4" w:space="0"/>
              <w:left w:val="nil"/>
              <w:bottom w:val="single" w:color="auto" w:sz="4" w:space="0"/>
              <w:right w:val="single" w:color="auto" w:sz="4" w:space="0"/>
            </w:tcBorders>
            <w:vAlign w:val="center"/>
          </w:tcPr>
          <w:p w14:paraId="27101679">
            <w:pPr>
              <w:snapToGrid w:val="0"/>
              <w:rPr>
                <w:rFonts w:ascii="仿宋_GB2312" w:hAnsi="宋体"/>
                <w:kern w:val="0"/>
                <w:sz w:val="24"/>
              </w:rPr>
            </w:pPr>
          </w:p>
        </w:tc>
      </w:tr>
    </w:tbl>
    <w:p w14:paraId="6C013447">
      <w:pPr>
        <w:pStyle w:val="17"/>
        <w:autoSpaceDE w:val="0"/>
        <w:rPr>
          <w:rFonts w:ascii="方正小标宋简体" w:hAnsi="方正小标宋简体" w:eastAsia="方正小标宋简体" w:cs="方正小标宋简体"/>
          <w:sz w:val="36"/>
          <w:szCs w:val="36"/>
        </w:rPr>
      </w:pPr>
      <w:r>
        <w:rPr>
          <w:rFonts w:ascii="仿宋" w:hAnsi="仿宋" w:eastAsia="仿宋" w:cs="仿宋"/>
        </w:rPr>
        <w:t>备注：本表一式两份，分别由省级和地市级畜牧兽医主管部门留存。</w:t>
      </w:r>
    </w:p>
    <w:p w14:paraId="4455D070">
      <w:pPr>
        <w:pStyle w:val="16"/>
        <w:autoSpaceDE w:val="0"/>
        <w:spacing w:line="600" w:lineRule="exact"/>
        <w:rPr>
          <w:rFonts w:ascii="Times New Roman" w:hAnsi="Times New Roman" w:eastAsia="黑体"/>
          <w:sz w:val="32"/>
          <w:szCs w:val="32"/>
        </w:rPr>
      </w:pPr>
      <w:r>
        <w:rPr>
          <w:rFonts w:hint="eastAsia" w:ascii="黑体" w:hAnsi="黑体" w:eastAsia="黑体" w:cs="黑体"/>
          <w:sz w:val="32"/>
          <w:szCs w:val="32"/>
        </w:rPr>
        <w:t xml:space="preserve">附件4 </w:t>
      </w:r>
      <w:r>
        <w:rPr>
          <w:rFonts w:ascii="仿宋_GB2312" w:eastAsia="仿宋_GB2312"/>
          <w:sz w:val="32"/>
          <w:szCs w:val="32"/>
        </w:rPr>
        <w:t xml:space="preserve">  </w:t>
      </w:r>
      <w:r>
        <w:rPr>
          <w:rFonts w:ascii="Times New Roman" w:hAnsi="Times New Roman" w:eastAsia="黑体"/>
          <w:sz w:val="32"/>
          <w:szCs w:val="32"/>
        </w:rPr>
        <w:t xml:space="preserve"> </w:t>
      </w:r>
    </w:p>
    <w:p w14:paraId="3133DA79">
      <w:pPr>
        <w:pStyle w:val="16"/>
        <w:autoSpaceDE w:val="0"/>
        <w:spacing w:line="60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 xml:space="preserve"> </w:t>
      </w:r>
    </w:p>
    <w:p w14:paraId="1F17A888">
      <w:pPr>
        <w:pStyle w:val="16"/>
        <w:autoSpaceDE w:val="0"/>
        <w:spacing w:line="60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山东省推进《生猪屠宰质量管理规范》实施</w:t>
      </w:r>
    </w:p>
    <w:p w14:paraId="19E8703C">
      <w:pPr>
        <w:pStyle w:val="16"/>
        <w:autoSpaceDE w:val="0"/>
        <w:spacing w:line="60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领导小组及工作职责</w:t>
      </w:r>
    </w:p>
    <w:p w14:paraId="62E118A4">
      <w:pPr>
        <w:pStyle w:val="16"/>
        <w:autoSpaceDE w:val="0"/>
        <w:spacing w:line="560" w:lineRule="exact"/>
        <w:jc w:val="center"/>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z w:val="40"/>
          <w:szCs w:val="40"/>
        </w:rPr>
        <w:t xml:space="preserve"> </w:t>
      </w:r>
    </w:p>
    <w:p w14:paraId="4F137E5D">
      <w:pPr>
        <w:pStyle w:val="16"/>
        <w:autoSpaceDE w:val="0"/>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组</w:t>
      </w:r>
      <w:r>
        <w:rPr>
          <w:rFonts w:ascii="仿宋_GB2312" w:eastAsia="仿宋_GB2312"/>
          <w:sz w:val="32"/>
          <w:szCs w:val="32"/>
        </w:rPr>
        <w:t xml:space="preserve">  </w:t>
      </w:r>
      <w:r>
        <w:rPr>
          <w:rFonts w:ascii="仿宋_GB2312" w:eastAsia="仿宋_GB2312" w:cs="仿宋_GB2312"/>
          <w:sz w:val="32"/>
          <w:szCs w:val="32"/>
        </w:rPr>
        <w:t>长：张乃清</w:t>
      </w:r>
      <w:r>
        <w:rPr>
          <w:rFonts w:ascii="仿宋_GB2312" w:eastAsia="仿宋_GB2312"/>
          <w:sz w:val="32"/>
          <w:szCs w:val="32"/>
        </w:rPr>
        <w:t xml:space="preserve">  </w:t>
      </w:r>
      <w:r>
        <w:rPr>
          <w:rFonts w:ascii="仿宋_GB2312" w:eastAsia="仿宋_GB2312" w:cs="仿宋_GB2312"/>
          <w:sz w:val="32"/>
          <w:szCs w:val="32"/>
        </w:rPr>
        <w:t>省畜牧局党组成员、副局长</w:t>
      </w:r>
    </w:p>
    <w:p w14:paraId="206D8E7E">
      <w:pPr>
        <w:pStyle w:val="16"/>
        <w:autoSpaceDE w:val="0"/>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副组长：刘建晖</w:t>
      </w:r>
      <w:r>
        <w:rPr>
          <w:rFonts w:ascii="仿宋_GB2312" w:eastAsia="仿宋_GB2312"/>
          <w:sz w:val="32"/>
          <w:szCs w:val="32"/>
        </w:rPr>
        <w:t xml:space="preserve">  </w:t>
      </w:r>
      <w:r>
        <w:rPr>
          <w:rFonts w:ascii="仿宋_GB2312" w:eastAsia="仿宋_GB2312" w:cs="仿宋_GB2312"/>
          <w:sz w:val="32"/>
          <w:szCs w:val="32"/>
        </w:rPr>
        <w:t>省畜牧局动物卫生处一级调研员</w:t>
      </w:r>
    </w:p>
    <w:p w14:paraId="483E3477">
      <w:pPr>
        <w:pStyle w:val="16"/>
        <w:autoSpaceDE w:val="0"/>
        <w:spacing w:line="560" w:lineRule="exact"/>
        <w:jc w:val="left"/>
        <w:rPr>
          <w:rFonts w:ascii="仿宋_GB2312" w:eastAsia="仿宋_GB2312"/>
          <w:sz w:val="32"/>
          <w:szCs w:val="32"/>
        </w:rPr>
      </w:pPr>
      <w:r>
        <w:rPr>
          <w:rFonts w:ascii="仿宋_GB2312" w:eastAsia="仿宋_GB2312" w:cs="仿宋_GB2312"/>
          <w:sz w:val="32"/>
          <w:szCs w:val="32"/>
        </w:rPr>
        <w:t xml:space="preserve">            朱发成</w:t>
      </w:r>
      <w:r>
        <w:rPr>
          <w:rFonts w:ascii="仿宋_GB2312" w:eastAsia="仿宋_GB2312"/>
          <w:sz w:val="32"/>
          <w:szCs w:val="32"/>
        </w:rPr>
        <w:t xml:space="preserve">  </w:t>
      </w:r>
      <w:r>
        <w:rPr>
          <w:rFonts w:ascii="仿宋_GB2312" w:eastAsia="仿宋_GB2312" w:cs="仿宋_GB2312"/>
          <w:sz w:val="32"/>
          <w:szCs w:val="32"/>
        </w:rPr>
        <w:t>省畜牧局畜产品质量安全监管处处长</w:t>
      </w:r>
      <w:r>
        <w:rPr>
          <w:rFonts w:ascii="仿宋_GB2312" w:eastAsia="仿宋_GB2312"/>
          <w:sz w:val="32"/>
          <w:szCs w:val="32"/>
        </w:rPr>
        <w:t xml:space="preserve"> </w:t>
      </w:r>
    </w:p>
    <w:p w14:paraId="454297D6">
      <w:pPr>
        <w:pStyle w:val="16"/>
        <w:autoSpaceDE w:val="0"/>
        <w:spacing w:line="560" w:lineRule="exact"/>
        <w:jc w:val="left"/>
        <w:rPr>
          <w:rFonts w:ascii="仿宋_GB2312" w:eastAsia="仿宋_GB2312"/>
          <w:sz w:val="32"/>
          <w:szCs w:val="32"/>
        </w:rPr>
      </w:pPr>
      <w:r>
        <w:rPr>
          <w:rFonts w:ascii="仿宋_GB2312" w:eastAsia="仿宋_GB2312" w:cs="仿宋_GB2312"/>
          <w:sz w:val="32"/>
          <w:szCs w:val="32"/>
        </w:rPr>
        <w:t xml:space="preserve">            费聿锋</w:t>
      </w:r>
      <w:r>
        <w:rPr>
          <w:rFonts w:ascii="仿宋_GB2312" w:eastAsia="仿宋_GB2312"/>
          <w:sz w:val="32"/>
          <w:szCs w:val="32"/>
        </w:rPr>
        <w:t xml:space="preserve">  </w:t>
      </w:r>
      <w:r>
        <w:rPr>
          <w:rFonts w:ascii="仿宋_GB2312" w:eastAsia="仿宋_GB2312" w:cs="仿宋_GB2312"/>
          <w:sz w:val="32"/>
          <w:szCs w:val="32"/>
        </w:rPr>
        <w:t>省畜牧局畜禽屠宰管理处处长</w:t>
      </w:r>
    </w:p>
    <w:p w14:paraId="3E97BA1B">
      <w:pPr>
        <w:pStyle w:val="16"/>
        <w:autoSpaceDE w:val="0"/>
        <w:spacing w:line="560" w:lineRule="exact"/>
        <w:ind w:firstLine="1920" w:firstLineChars="600"/>
        <w:rPr>
          <w:rFonts w:ascii="仿宋_GB2312" w:eastAsia="仿宋_GB2312"/>
          <w:sz w:val="32"/>
          <w:szCs w:val="32"/>
        </w:rPr>
      </w:pPr>
      <w:r>
        <w:rPr>
          <w:rFonts w:ascii="仿宋_GB2312" w:eastAsia="仿宋_GB2312" w:cs="仿宋_GB2312"/>
          <w:sz w:val="32"/>
          <w:szCs w:val="32"/>
        </w:rPr>
        <w:t>周建胜</w:t>
      </w:r>
      <w:r>
        <w:rPr>
          <w:rFonts w:ascii="仿宋_GB2312" w:eastAsia="仿宋_GB2312"/>
          <w:sz w:val="32"/>
          <w:szCs w:val="32"/>
        </w:rPr>
        <w:t xml:space="preserve">  </w:t>
      </w:r>
      <w:r>
        <w:rPr>
          <w:rFonts w:ascii="仿宋_GB2312" w:eastAsia="仿宋_GB2312" w:cs="仿宋_GB2312"/>
          <w:sz w:val="32"/>
          <w:szCs w:val="32"/>
        </w:rPr>
        <w:t>省动物卫生技术中心主任</w:t>
      </w:r>
    </w:p>
    <w:p w14:paraId="4B21950E">
      <w:pPr>
        <w:pStyle w:val="16"/>
        <w:autoSpaceDE w:val="0"/>
        <w:spacing w:line="560" w:lineRule="exact"/>
        <w:ind w:firstLine="1920" w:firstLineChars="600"/>
        <w:rPr>
          <w:rFonts w:ascii="仿宋_GB2312" w:eastAsia="仿宋_GB2312"/>
          <w:sz w:val="32"/>
          <w:szCs w:val="32"/>
        </w:rPr>
      </w:pPr>
      <w:r>
        <w:rPr>
          <w:rFonts w:ascii="仿宋_GB2312" w:eastAsia="仿宋_GB2312" w:cs="仿宋_GB2312"/>
          <w:sz w:val="32"/>
          <w:szCs w:val="32"/>
        </w:rPr>
        <w:t>兰邹然</w:t>
      </w:r>
      <w:r>
        <w:rPr>
          <w:rFonts w:ascii="仿宋_GB2312" w:eastAsia="仿宋_GB2312"/>
          <w:sz w:val="32"/>
          <w:szCs w:val="32"/>
        </w:rPr>
        <w:t xml:space="preserve">  </w:t>
      </w:r>
      <w:r>
        <w:rPr>
          <w:rFonts w:ascii="仿宋_GB2312" w:eastAsia="仿宋_GB2312" w:cs="仿宋_GB2312"/>
          <w:sz w:val="32"/>
          <w:szCs w:val="32"/>
        </w:rPr>
        <w:t>省动物疫病预防与控制中心主任</w:t>
      </w:r>
    </w:p>
    <w:p w14:paraId="1BD01076">
      <w:pPr>
        <w:pStyle w:val="16"/>
        <w:autoSpaceDE w:val="0"/>
        <w:spacing w:line="560" w:lineRule="exact"/>
        <w:ind w:left="3200" w:hanging="3200" w:hangingChars="1000"/>
        <w:rPr>
          <w:rFonts w:ascii="仿宋_GB2312" w:eastAsia="仿宋_GB2312"/>
          <w:sz w:val="32"/>
          <w:szCs w:val="32"/>
        </w:rPr>
      </w:pPr>
      <w:r>
        <w:rPr>
          <w:rFonts w:ascii="仿宋_GB2312" w:eastAsia="仿宋_GB2312" w:cs="仿宋_GB2312"/>
          <w:sz w:val="32"/>
          <w:szCs w:val="32"/>
        </w:rPr>
        <w:t xml:space="preserve">            邵</w:t>
      </w:r>
      <w:r>
        <w:rPr>
          <w:rFonts w:ascii="仿宋_GB2312" w:eastAsia="仿宋_GB2312"/>
          <w:sz w:val="32"/>
          <w:szCs w:val="32"/>
        </w:rPr>
        <w:t xml:space="preserve">  </w:t>
      </w:r>
      <w:r>
        <w:rPr>
          <w:rFonts w:ascii="仿宋_GB2312" w:eastAsia="仿宋_GB2312" w:cs="仿宋_GB2312"/>
          <w:sz w:val="32"/>
          <w:szCs w:val="32"/>
        </w:rPr>
        <w:t>兵</w:t>
      </w:r>
      <w:r>
        <w:rPr>
          <w:rFonts w:ascii="仿宋_GB2312" w:eastAsia="仿宋_GB2312"/>
          <w:sz w:val="32"/>
          <w:szCs w:val="32"/>
        </w:rPr>
        <w:t xml:space="preserve">  </w:t>
      </w:r>
      <w:r>
        <w:rPr>
          <w:rFonts w:ascii="仿宋_GB2312" w:eastAsia="仿宋_GB2312" w:cs="仿宋_GB2312"/>
          <w:sz w:val="32"/>
          <w:szCs w:val="32"/>
        </w:rPr>
        <w:t>省畜产品质量安全中心（省畜禽屠宰     技术中心）主任</w:t>
      </w:r>
    </w:p>
    <w:p w14:paraId="1588E1CB">
      <w:pPr>
        <w:pStyle w:val="16"/>
        <w:autoSpaceDE w:val="0"/>
        <w:spacing w:line="560" w:lineRule="exact"/>
        <w:ind w:firstLine="640" w:firstLineChars="200"/>
        <w:jc w:val="left"/>
        <w:rPr>
          <w:rFonts w:ascii="仿宋_GB2312" w:eastAsia="仿宋_GB2312"/>
          <w:sz w:val="32"/>
          <w:szCs w:val="32"/>
        </w:rPr>
      </w:pPr>
      <w:r>
        <w:rPr>
          <w:rFonts w:ascii="仿宋_GB2312" w:eastAsia="仿宋_GB2312" w:cs="仿宋_GB2312"/>
          <w:sz w:val="32"/>
          <w:szCs w:val="32"/>
        </w:rPr>
        <w:t>成</w:t>
      </w:r>
      <w:r>
        <w:rPr>
          <w:rFonts w:ascii="仿宋_GB2312" w:eastAsia="仿宋_GB2312"/>
          <w:sz w:val="32"/>
          <w:szCs w:val="32"/>
        </w:rPr>
        <w:t xml:space="preserve">  </w:t>
      </w:r>
      <w:r>
        <w:rPr>
          <w:rFonts w:ascii="仿宋_GB2312" w:eastAsia="仿宋_GB2312" w:cs="仿宋_GB2312"/>
          <w:sz w:val="32"/>
          <w:szCs w:val="32"/>
        </w:rPr>
        <w:t>员：省局动卫处相关人员、省局质监处相关人员、省局屠管处相关人员、省动卫中心相关人员、省疫控中心相关人员、省畜安中心相关人员。</w:t>
      </w:r>
    </w:p>
    <w:p w14:paraId="0EF1FBEF">
      <w:pPr>
        <w:pStyle w:val="15"/>
        <w:widowControl w:val="0"/>
        <w:autoSpaceDE w:val="0"/>
        <w:spacing w:before="0" w:beforeAutospacing="0" w:after="0" w:afterAutospacing="0" w:line="560" w:lineRule="exact"/>
        <w:rPr>
          <w:rFonts w:hint="default" w:ascii="仿宋_GB2312" w:hAnsi="Calibri" w:eastAsia="仿宋_GB2312"/>
          <w:kern w:val="2"/>
          <w:sz w:val="32"/>
          <w:szCs w:val="32"/>
        </w:rPr>
      </w:pPr>
      <w:r>
        <w:rPr>
          <w:rFonts w:hint="default" w:ascii="仿宋_GB2312" w:hAnsi="Calibri" w:eastAsia="仿宋_GB2312"/>
          <w:kern w:val="2"/>
          <w:sz w:val="32"/>
          <w:szCs w:val="32"/>
        </w:rPr>
        <w:t xml:space="preserve">    </w:t>
      </w:r>
      <w:r>
        <w:rPr>
          <w:rFonts w:hint="default" w:ascii="仿宋_GB2312" w:hAnsi="Calibri" w:eastAsia="仿宋_GB2312" w:cs="仿宋_GB2312"/>
          <w:kern w:val="2"/>
          <w:sz w:val="32"/>
          <w:szCs w:val="32"/>
        </w:rPr>
        <w:t>工作职责：研究部署推进《生猪屠宰质量管理规范》实施重点工作；研究解决推进《生猪屠宰质量管理规范》实施中的重大问题；研究检查经费支出管理有关事宜；其他需要领导小组研究的工作。</w:t>
      </w:r>
    </w:p>
    <w:p w14:paraId="4AC4A6B1">
      <w:pPr>
        <w:pStyle w:val="16"/>
        <w:spacing w:line="560" w:lineRule="exact"/>
        <w:rPr>
          <w:rFonts w:ascii="仿宋_GB2312" w:hAnsi="宋体" w:eastAsia="仿宋_GB2312" w:cs="宋体"/>
          <w:kern w:val="0"/>
          <w:sz w:val="32"/>
          <w:szCs w:val="32"/>
        </w:rPr>
      </w:pPr>
      <w:r>
        <w:rPr>
          <w:rFonts w:ascii="仿宋_GB2312" w:eastAsia="仿宋_GB2312"/>
          <w:sz w:val="32"/>
          <w:szCs w:val="32"/>
        </w:rPr>
        <w:t xml:space="preserve">    </w:t>
      </w:r>
      <w:r>
        <w:rPr>
          <w:rFonts w:ascii="仿宋_GB2312" w:eastAsia="仿宋_GB2312" w:cs="仿宋_GB2312"/>
          <w:sz w:val="32"/>
          <w:szCs w:val="32"/>
        </w:rPr>
        <w:t>领导小组办公室设在畜禽屠宰管理处，费聿锋同志兼任办公室主任。</w:t>
      </w:r>
      <w:r>
        <w:rPr>
          <w:rFonts w:ascii="仿宋_GB2312" w:hAnsi="宋体" w:eastAsia="仿宋_GB2312"/>
          <w:sz w:val="28"/>
          <w:szCs w:val="28"/>
        </w:rPr>
        <w:t xml:space="preserve"> </w:t>
      </w:r>
      <w:r>
        <w:rPr>
          <w:rFonts w:ascii="仿宋_GB2312" w:hAnsi="宋体" w:eastAsia="仿宋_GB2312" w:cs="宋体"/>
          <w:kern w:val="0"/>
          <w:sz w:val="28"/>
          <w:szCs w:val="28"/>
        </w:rPr>
        <w:t xml:space="preserve">                 </w:t>
      </w:r>
    </w:p>
    <w:p w14:paraId="5C252C0C">
      <w:pPr>
        <w:pStyle w:val="17"/>
        <w:jc w:val="left"/>
        <w:rPr>
          <w:rFonts w:ascii="黑体" w:hAnsi="黑体" w:eastAsia="黑体" w:cs="黑体"/>
          <w:color w:val="000000"/>
          <w:kern w:val="0"/>
          <w:sz w:val="32"/>
          <w:szCs w:val="32"/>
        </w:rPr>
      </w:pPr>
      <w:r>
        <w:rPr>
          <w:rFonts w:hint="eastAsia" w:ascii="黑体" w:hAnsi="黑体" w:eastAsia="黑体" w:cs="黑体"/>
          <w:sz w:val="32"/>
          <w:szCs w:val="32"/>
        </w:rPr>
        <w:t xml:space="preserve"> </w:t>
      </w:r>
      <w:r>
        <w:rPr>
          <w:rFonts w:hint="eastAsia" w:ascii="黑体" w:hAnsi="黑体" w:eastAsia="黑体" w:cs="黑体"/>
          <w:color w:val="000000"/>
          <w:kern w:val="0"/>
          <w:sz w:val="32"/>
          <w:szCs w:val="32"/>
        </w:rPr>
        <w:t>附件5</w:t>
      </w:r>
    </w:p>
    <w:p w14:paraId="580ADC5C">
      <w:pPr>
        <w:pStyle w:val="17"/>
        <w:jc w:val="center"/>
        <w:rPr>
          <w:rFonts w:ascii="方正小标宋简体" w:hAnsi="方正小标宋简体" w:eastAsia="方正小标宋简体" w:cs="方正小标宋简体"/>
          <w:color w:val="000000"/>
          <w:kern w:val="0"/>
          <w:sz w:val="44"/>
          <w:szCs w:val="44"/>
        </w:rPr>
      </w:pPr>
      <w:r>
        <w:rPr>
          <w:rFonts w:ascii="方正小标宋简体" w:hAnsi="方正小标宋简体" w:eastAsia="方正小标宋简体" w:cs="方正小标宋简体"/>
          <w:color w:val="000000"/>
          <w:kern w:val="0"/>
          <w:sz w:val="44"/>
          <w:szCs w:val="44"/>
        </w:rPr>
        <w:t>生猪屠宰质量管理规范检查工作纪律</w:t>
      </w:r>
    </w:p>
    <w:p w14:paraId="1219718C">
      <w:pPr>
        <w:pStyle w:val="17"/>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 xml:space="preserve"> </w:t>
      </w:r>
    </w:p>
    <w:p w14:paraId="3659EF92">
      <w:pPr>
        <w:pStyle w:val="17"/>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一、检查人员在进入被检查企业前不得与被检查企业及其关系人就检查相关事宜进行接触。</w:t>
      </w:r>
    </w:p>
    <w:p w14:paraId="280E5413">
      <w:pPr>
        <w:pStyle w:val="17"/>
        <w:jc w:val="left"/>
        <w:rPr>
          <w:rFonts w:ascii="仿宋" w:hAnsi="仿宋" w:eastAsia="仿宋" w:cs="仿宋"/>
          <w:color w:val="000000"/>
          <w:kern w:val="0"/>
          <w:sz w:val="32"/>
          <w:szCs w:val="32"/>
        </w:rPr>
      </w:pPr>
      <w:r>
        <w:rPr>
          <w:rFonts w:ascii="仿宋" w:hAnsi="仿宋" w:eastAsia="仿宋" w:cs="仿宋"/>
          <w:color w:val="000000"/>
          <w:kern w:val="0"/>
          <w:sz w:val="32"/>
          <w:szCs w:val="32"/>
        </w:rPr>
        <w:t xml:space="preserve">    二、开展检查时应严格按照《生猪屠宰质量管理规范首次检查工作程序》和《生猪屠宰质量管理规范检查标准》，客观反映、如实记录相关情况，实事求是、公正评价被检查企业、被检查项目。</w:t>
      </w:r>
    </w:p>
    <w:p w14:paraId="13B44A37">
      <w:pPr>
        <w:pStyle w:val="17"/>
        <w:jc w:val="left"/>
        <w:rPr>
          <w:rFonts w:ascii="仿宋" w:hAnsi="仿宋" w:eastAsia="仿宋" w:cs="仿宋"/>
          <w:color w:val="000000"/>
          <w:kern w:val="0"/>
          <w:sz w:val="32"/>
          <w:szCs w:val="32"/>
        </w:rPr>
      </w:pPr>
      <w:r>
        <w:rPr>
          <w:rFonts w:ascii="仿宋" w:hAnsi="仿宋" w:eastAsia="仿宋" w:cs="仿宋"/>
          <w:color w:val="000000"/>
          <w:kern w:val="0"/>
          <w:sz w:val="32"/>
          <w:szCs w:val="32"/>
        </w:rPr>
        <w:t xml:space="preserve">   三、除检查必须的证据资料外，检查人员不得向被检查企业索取其他无关资料。</w:t>
      </w:r>
    </w:p>
    <w:p w14:paraId="02E00890">
      <w:pPr>
        <w:pStyle w:val="17"/>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四、检查人员遵守国家有关保密的规定，不泄露被检查企业的商业秘密。</w:t>
      </w:r>
    </w:p>
    <w:p w14:paraId="2B9159E6">
      <w:pPr>
        <w:pStyle w:val="17"/>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五、检查人员认为与被检查企业有利害关系、存在可能影响检查结果公正性情形的，应当主动申请回避。</w:t>
      </w:r>
    </w:p>
    <w:p w14:paraId="50B35DAA">
      <w:pPr>
        <w:pStyle w:val="17"/>
        <w:ind w:firstLine="640" w:firstLineChars="200"/>
        <w:rPr>
          <w:rFonts w:ascii="仿宋" w:hAnsi="仿宋" w:eastAsia="仿宋" w:cs="仿宋"/>
          <w:sz w:val="32"/>
          <w:szCs w:val="32"/>
        </w:rPr>
      </w:pPr>
      <w:r>
        <w:rPr>
          <w:rFonts w:ascii="仿宋" w:hAnsi="仿宋" w:eastAsia="仿宋" w:cs="仿宋"/>
          <w:color w:val="000000"/>
          <w:kern w:val="0"/>
          <w:sz w:val="32"/>
          <w:szCs w:val="32"/>
        </w:rPr>
        <w:t>六、检查人员开展检查时应自觉执行</w:t>
      </w:r>
      <w:r>
        <w:rPr>
          <w:rFonts w:hint="eastAsia" w:ascii="仿宋" w:hAnsi="仿宋" w:eastAsia="仿宋" w:cs="仿宋"/>
          <w:color w:val="000000"/>
          <w:kern w:val="0"/>
          <w:sz w:val="32"/>
          <w:szCs w:val="32"/>
          <w:lang w:eastAsia="zh-CN"/>
        </w:rPr>
        <w:t>中央八项规定及其实施细则精神</w:t>
      </w:r>
      <w:r>
        <w:rPr>
          <w:rFonts w:ascii="仿宋" w:hAnsi="仿宋" w:eastAsia="仿宋" w:cs="仿宋"/>
          <w:color w:val="000000"/>
          <w:kern w:val="0"/>
          <w:sz w:val="32"/>
          <w:szCs w:val="32"/>
        </w:rPr>
        <w:t>，严格遵守工作纪律。</w:t>
      </w:r>
    </w:p>
    <w:p w14:paraId="778CC9B6">
      <w:pPr>
        <w:pStyle w:val="17"/>
        <w:widowControl/>
        <w:rPr>
          <w:rFonts w:ascii="仿宋_GB2312" w:eastAsia="仿宋_GB2312"/>
          <w:sz w:val="32"/>
          <w:szCs w:val="32"/>
        </w:rPr>
      </w:pPr>
      <w:r>
        <w:rPr>
          <w:rFonts w:ascii="仿宋_GB2312" w:eastAsia="仿宋_GB2312"/>
          <w:sz w:val="32"/>
          <w:szCs w:val="32"/>
        </w:rPr>
        <w:t xml:space="preserve"> </w:t>
      </w:r>
    </w:p>
    <w:p w14:paraId="608CCE1A">
      <w:pPr>
        <w:pStyle w:val="17"/>
        <w:widowControl/>
        <w:rPr>
          <w:rFonts w:ascii="仿宋_GB2312" w:eastAsia="仿宋_GB2312"/>
          <w:sz w:val="32"/>
          <w:szCs w:val="32"/>
        </w:rPr>
      </w:pPr>
      <w:r>
        <w:rPr>
          <w:rFonts w:ascii="仿宋_GB2312" w:eastAsia="仿宋_GB2312"/>
          <w:sz w:val="32"/>
          <w:szCs w:val="32"/>
        </w:rPr>
        <w:t xml:space="preserve"> </w:t>
      </w:r>
    </w:p>
    <w:p w14:paraId="46FAFFBF">
      <w:pPr>
        <w:pStyle w:val="17"/>
        <w:widowControl/>
        <w:rPr>
          <w:rFonts w:ascii="仿宋_GB2312" w:eastAsia="仿宋_GB2312"/>
          <w:sz w:val="32"/>
          <w:szCs w:val="32"/>
        </w:rPr>
      </w:pPr>
      <w:r>
        <w:rPr>
          <w:rFonts w:ascii="仿宋_GB2312" w:eastAsia="仿宋_GB2312"/>
          <w:sz w:val="32"/>
          <w:szCs w:val="32"/>
        </w:rPr>
        <w:t xml:space="preserve"> </w:t>
      </w:r>
    </w:p>
    <w:p w14:paraId="1DAA46A5">
      <w:pPr>
        <w:pStyle w:val="17"/>
        <w:widowControl/>
        <w:rPr>
          <w:rFonts w:ascii="仿宋_GB2312" w:eastAsia="仿宋_GB2312"/>
          <w:sz w:val="32"/>
          <w:szCs w:val="32"/>
        </w:rPr>
      </w:pPr>
      <w:r>
        <w:rPr>
          <w:rFonts w:ascii="仿宋_GB2312" w:eastAsia="仿宋_GB2312"/>
          <w:sz w:val="32"/>
          <w:szCs w:val="32"/>
        </w:rPr>
        <w:t xml:space="preserve"> </w:t>
      </w:r>
    </w:p>
    <w:p w14:paraId="7990D543">
      <w:pPr>
        <w:pStyle w:val="17"/>
        <w:rPr>
          <w:rFonts w:hint="eastAsia" w:ascii="黑体" w:hAnsi="黑体" w:eastAsia="黑体" w:cs="黑体"/>
          <w:sz w:val="32"/>
          <w:szCs w:val="32"/>
        </w:rPr>
      </w:pPr>
    </w:p>
    <w:p w14:paraId="7FBE8ABE">
      <w:pPr>
        <w:pStyle w:val="17"/>
        <w:rPr>
          <w:rFonts w:hint="eastAsia" w:ascii="黑体" w:hAnsi="黑体" w:eastAsia="黑体" w:cs="黑体"/>
          <w:sz w:val="32"/>
          <w:szCs w:val="32"/>
        </w:rPr>
      </w:pPr>
    </w:p>
    <w:p w14:paraId="3C724D0F">
      <w:pPr>
        <w:pStyle w:val="17"/>
        <w:rPr>
          <w:rFonts w:hint="eastAsia" w:ascii="黑体" w:hAnsi="黑体" w:eastAsia="黑体" w:cs="黑体"/>
          <w:sz w:val="32"/>
          <w:szCs w:val="32"/>
        </w:rPr>
      </w:pPr>
    </w:p>
    <w:p w14:paraId="2A1167F9">
      <w:pPr>
        <w:pStyle w:val="17"/>
        <w:rPr>
          <w:rFonts w:ascii="黑体" w:hAnsi="黑体" w:eastAsia="黑体" w:cs="黑体"/>
          <w:sz w:val="32"/>
          <w:szCs w:val="32"/>
        </w:rPr>
      </w:pPr>
      <w:r>
        <w:rPr>
          <w:rFonts w:hint="eastAsia" w:ascii="黑体" w:hAnsi="黑体" w:eastAsia="黑体" w:cs="黑体"/>
          <w:sz w:val="32"/>
          <w:szCs w:val="32"/>
        </w:rPr>
        <w:t>附件6</w:t>
      </w:r>
    </w:p>
    <w:p w14:paraId="7F5A49C8">
      <w:pPr>
        <w:pStyle w:val="17"/>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无利害关系声明和廉政承诺书</w:t>
      </w:r>
    </w:p>
    <w:p w14:paraId="01EAB746">
      <w:pPr>
        <w:pStyle w:val="17"/>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 xml:space="preserve"> </w:t>
      </w:r>
    </w:p>
    <w:p w14:paraId="5DD72D73">
      <w:pPr>
        <w:pStyle w:val="17"/>
        <w:jc w:val="left"/>
        <w:rPr>
          <w:rFonts w:ascii="仿宋" w:hAnsi="仿宋" w:eastAsia="仿宋" w:cs="仿宋"/>
          <w:sz w:val="32"/>
          <w:szCs w:val="32"/>
        </w:rPr>
      </w:pPr>
      <w:r>
        <w:rPr>
          <w:rFonts w:ascii="仿宋" w:hAnsi="仿宋" w:eastAsia="仿宋" w:cs="仿宋"/>
          <w:sz w:val="32"/>
          <w:szCs w:val="32"/>
        </w:rPr>
        <w:t xml:space="preserve">    本人郑重声明并承诺，与被检查企业xxx无利害关系，并严格遵守生猪屠宰质量管理规范检查工作纪律，如隐瞒有关情况或违反工作纪律，愿意承担相应责任。</w:t>
      </w:r>
    </w:p>
    <w:p w14:paraId="266DC16D">
      <w:pPr>
        <w:pStyle w:val="17"/>
        <w:jc w:val="center"/>
        <w:rPr>
          <w:rFonts w:ascii="仿宋" w:hAnsi="仿宋" w:eastAsia="仿宋" w:cs="仿宋"/>
          <w:sz w:val="32"/>
          <w:szCs w:val="32"/>
        </w:rPr>
      </w:pPr>
      <w:r>
        <w:rPr>
          <w:rFonts w:ascii="仿宋" w:hAnsi="仿宋" w:eastAsia="仿宋" w:cs="仿宋"/>
          <w:sz w:val="32"/>
          <w:szCs w:val="32"/>
        </w:rPr>
        <w:t xml:space="preserve"> </w:t>
      </w:r>
    </w:p>
    <w:p w14:paraId="4F8239A3">
      <w:pPr>
        <w:pStyle w:val="17"/>
        <w:ind w:firstLine="640" w:firstLineChars="200"/>
        <w:jc w:val="left"/>
        <w:rPr>
          <w:rFonts w:ascii="仿宋" w:hAnsi="仿宋" w:eastAsia="仿宋" w:cs="仿宋"/>
          <w:sz w:val="32"/>
          <w:szCs w:val="32"/>
        </w:rPr>
      </w:pPr>
      <w:r>
        <w:rPr>
          <w:rFonts w:ascii="仿宋" w:hAnsi="仿宋" w:eastAsia="仿宋" w:cs="仿宋"/>
          <w:sz w:val="32"/>
          <w:szCs w:val="32"/>
        </w:rPr>
        <w:t>声明人和承诺人签名：</w:t>
      </w:r>
    </w:p>
    <w:p w14:paraId="5367E0BA">
      <w:pPr>
        <w:pStyle w:val="17"/>
        <w:jc w:val="center"/>
        <w:rPr>
          <w:rFonts w:ascii="仿宋" w:hAnsi="仿宋" w:eastAsia="仿宋" w:cs="仿宋"/>
          <w:sz w:val="32"/>
          <w:szCs w:val="32"/>
        </w:rPr>
      </w:pPr>
      <w:r>
        <w:rPr>
          <w:rFonts w:ascii="仿宋" w:hAnsi="仿宋" w:eastAsia="仿宋" w:cs="仿宋"/>
          <w:sz w:val="32"/>
          <w:szCs w:val="32"/>
        </w:rPr>
        <w:t xml:space="preserve">  </w:t>
      </w:r>
    </w:p>
    <w:p w14:paraId="3EE44E78">
      <w:pPr>
        <w:pStyle w:val="17"/>
        <w:jc w:val="center"/>
        <w:rPr>
          <w:rFonts w:ascii="仿宋" w:hAnsi="仿宋" w:eastAsia="仿宋" w:cs="仿宋"/>
          <w:sz w:val="32"/>
          <w:szCs w:val="32"/>
        </w:rPr>
      </w:pPr>
      <w:r>
        <w:rPr>
          <w:rFonts w:ascii="仿宋" w:hAnsi="仿宋" w:eastAsia="仿宋" w:cs="仿宋"/>
          <w:sz w:val="32"/>
          <w:szCs w:val="32"/>
        </w:rPr>
        <w:t xml:space="preserve"> </w:t>
      </w:r>
    </w:p>
    <w:p w14:paraId="5BFDE5FA">
      <w:pPr>
        <w:pStyle w:val="17"/>
        <w:jc w:val="center"/>
        <w:rPr>
          <w:rFonts w:ascii="仿宋" w:hAnsi="仿宋" w:eastAsia="仿宋" w:cs="仿宋"/>
          <w:sz w:val="32"/>
          <w:szCs w:val="32"/>
        </w:rPr>
      </w:pPr>
      <w:r>
        <w:rPr>
          <w:rFonts w:ascii="仿宋" w:hAnsi="仿宋" w:eastAsia="仿宋" w:cs="仿宋"/>
          <w:sz w:val="32"/>
          <w:szCs w:val="32"/>
        </w:rPr>
        <w:t xml:space="preserve">                           年  月  日</w:t>
      </w:r>
    </w:p>
    <w:p w14:paraId="6AA1CA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A71A55-F584-4CA9-AC30-181BFCFE25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722FF02-B251-4649-AAE9-6F76C0DD06D5}"/>
  </w:font>
  <w:font w:name="仿宋_GB2312">
    <w:panose1 w:val="02010609030101010101"/>
    <w:charset w:val="86"/>
    <w:family w:val="modern"/>
    <w:pitch w:val="default"/>
    <w:sig w:usb0="00000001" w:usb1="080E0000" w:usb2="00000000" w:usb3="00000000" w:csb0="00040000" w:csb1="00000000"/>
    <w:embedRegular r:id="rId3" w:fontKey="{431BC172-5ED3-4DEA-9CF3-25C25E60F7C9}"/>
  </w:font>
  <w:font w:name="方正书宋_GBK">
    <w:altName w:val="微软雅黑"/>
    <w:panose1 w:val="00000000000000000000"/>
    <w:charset w:val="86"/>
    <w:family w:val="auto"/>
    <w:pitch w:val="default"/>
    <w:sig w:usb0="00000000" w:usb1="00000000" w:usb2="00082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4" w:fontKey="{755B4F2A-852A-4B74-A87E-290E6136718F}"/>
  </w:font>
  <w:font w:name="华文中宋">
    <w:altName w:val="宋体"/>
    <w:panose1 w:val="02010600040101010101"/>
    <w:charset w:val="86"/>
    <w:family w:val="auto"/>
    <w:pitch w:val="default"/>
    <w:sig w:usb0="00000000" w:usb1="00000000" w:usb2="00000010" w:usb3="00000000" w:csb0="0004009F" w:csb1="00000000"/>
    <w:embedRegular r:id="rId5" w:fontKey="{B0F1E635-D86F-462D-9B82-3B8BBE2E4AAA}"/>
  </w:font>
  <w:font w:name="东文宋体">
    <w:altName w:val="宋体"/>
    <w:panose1 w:val="00000000000000000000"/>
    <w:charset w:val="00"/>
    <w:family w:val="auto"/>
    <w:pitch w:val="default"/>
    <w:sig w:usb0="00000000" w:usb1="00000000" w:usb2="00000000" w:usb3="00000000" w:csb0="00000000" w:csb1="00000000"/>
    <w:embedRegular r:id="rId6" w:fontKey="{1B4E7F6E-EBCF-4DBF-82CB-AD4DE1A7489C}"/>
  </w:font>
  <w:font w:name="仿宋">
    <w:panose1 w:val="02010609060101010101"/>
    <w:charset w:val="86"/>
    <w:family w:val="modern"/>
    <w:pitch w:val="default"/>
    <w:sig w:usb0="800002BF" w:usb1="38CF7CFA" w:usb2="00000016" w:usb3="00000000" w:csb0="00040001" w:csb1="00000000"/>
    <w:embedRegular r:id="rId7" w:fontKey="{1C62E000-E2EF-4FF8-97D2-809F86FCCB7F}"/>
  </w:font>
  <w:font w:name="CESI仿宋-GB2312">
    <w:altName w:val="仿宋"/>
    <w:panose1 w:val="00000000000000000000"/>
    <w:charset w:val="00"/>
    <w:family w:val="auto"/>
    <w:pitch w:val="default"/>
    <w:sig w:usb0="00000000" w:usb1="00000000" w:usb2="00000000" w:usb3="00000000" w:csb0="00000000" w:csb1="00000000"/>
    <w:embedRegular r:id="rId8" w:fontKey="{11E43A8F-C4E6-4EF4-8EF0-73121165D023}"/>
  </w:font>
  <w:font w:name="楷体_GB2312">
    <w:panose1 w:val="02010609030101010101"/>
    <w:charset w:val="86"/>
    <w:family w:val="modern"/>
    <w:pitch w:val="default"/>
    <w:sig w:usb0="00000001" w:usb1="080E0000" w:usb2="00000000" w:usb3="00000000" w:csb0="00040000" w:csb1="00000000"/>
    <w:embedRegular r:id="rId9" w:fontKey="{939D6471-CAC7-4C26-8D6D-E2B9FEE90B6B}"/>
  </w:font>
  <w:font w:name="微软雅黑">
    <w:panose1 w:val="020B0503020204020204"/>
    <w:charset w:val="86"/>
    <w:family w:val="auto"/>
    <w:pitch w:val="default"/>
    <w:sig w:usb0="80000287" w:usb1="2ACF3C50" w:usb2="00000016" w:usb3="00000000" w:csb0="0004001F"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E90EA">
    <w:pPr>
      <w:pStyle w:val="3"/>
    </w:pPr>
    <w:r>
      <w:pict>
        <v:shape id="_x0000_s1025" o:spid="_x0000_s1025"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path/>
          <v:fill on="f" focussize="0,0"/>
          <v:stroke on="f" weight="0.5pt" joinstyle="miter"/>
          <v:imagedata o:title=""/>
          <o:lock v:ext="edit"/>
          <v:textbox inset="0mm,0mm,0mm,0mm" style="mso-fit-shape-to-text:t;">
            <w:txbxContent>
              <w:p w14:paraId="07EE15D8">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29</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6476D"/>
    <w:multiLevelType w:val="multilevel"/>
    <w:tmpl w:val="BD66476D"/>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7EC98CF"/>
    <w:multiLevelType w:val="multilevel"/>
    <w:tmpl w:val="E7EC98CF"/>
    <w:lvl w:ilvl="0" w:tentative="0">
      <w:start w:val="1"/>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93DAB"/>
    <w:rsid w:val="001361BD"/>
    <w:rsid w:val="003D3B8D"/>
    <w:rsid w:val="009303EE"/>
    <w:rsid w:val="00BB3C47"/>
    <w:rsid w:val="00D273CB"/>
    <w:rsid w:val="00F93DAB"/>
    <w:rsid w:val="08000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0"/>
    <w:uiPriority w:val="0"/>
    <w:rPr>
      <w:sz w:val="18"/>
      <w:szCs w:val="18"/>
    </w:rPr>
  </w:style>
  <w:style w:type="paragraph" w:styleId="3">
    <w:name w:val="footer"/>
    <w:basedOn w:val="1"/>
    <w:link w:val="8"/>
    <w:uiPriority w:val="0"/>
    <w:pPr>
      <w:tabs>
        <w:tab w:val="center" w:pos="4153"/>
        <w:tab w:val="right" w:pos="8306"/>
      </w:tabs>
      <w:snapToGrid w:val="0"/>
      <w:jc w:val="left"/>
    </w:pPr>
    <w:rPr>
      <w:sz w:val="18"/>
    </w:rPr>
  </w:style>
  <w:style w:type="paragraph" w:styleId="4">
    <w:name w:val="header"/>
    <w:basedOn w:val="1"/>
    <w:link w:val="9"/>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basedOn w:val="7"/>
    <w:link w:val="3"/>
    <w:uiPriority w:val="0"/>
    <w:rPr>
      <w:rFonts w:ascii="Times New Roman" w:hAnsi="Times New Roman" w:eastAsia="仿宋_GB2312" w:cs="Times New Roman"/>
      <w:sz w:val="18"/>
      <w:szCs w:val="24"/>
    </w:rPr>
  </w:style>
  <w:style w:type="character" w:customStyle="1" w:styleId="9">
    <w:name w:val="页眉 Char"/>
    <w:basedOn w:val="7"/>
    <w:link w:val="4"/>
    <w:uiPriority w:val="0"/>
    <w:rPr>
      <w:rFonts w:ascii="Times New Roman" w:hAnsi="Times New Roman" w:eastAsia="仿宋_GB2312" w:cs="Times New Roman"/>
      <w:sz w:val="18"/>
      <w:szCs w:val="24"/>
    </w:rPr>
  </w:style>
  <w:style w:type="paragraph" w:customStyle="1" w:styleId="10">
    <w:name w:val="文号1"/>
    <w:basedOn w:val="11"/>
    <w:uiPriority w:val="0"/>
    <w:pPr>
      <w:spacing w:line="360" w:lineRule="auto"/>
      <w:ind w:firstLine="0" w:firstLineChars="0"/>
      <w:jc w:val="center"/>
    </w:pPr>
  </w:style>
  <w:style w:type="paragraph" w:customStyle="1" w:styleId="11">
    <w:name w:val="文号"/>
    <w:basedOn w:val="1"/>
    <w:uiPriority w:val="0"/>
    <w:pPr>
      <w:snapToGrid w:val="0"/>
      <w:spacing w:line="600" w:lineRule="atLeast"/>
      <w:ind w:firstLine="3040" w:firstLineChars="950"/>
    </w:pPr>
    <w:rPr>
      <w:rFonts w:ascii="仿宋_GB2312"/>
      <w:szCs w:val="32"/>
    </w:rPr>
  </w:style>
  <w:style w:type="paragraph" w:customStyle="1" w:styleId="12">
    <w:name w:val="NormalNormal"/>
    <w:qFormat/>
    <w:uiPriority w:val="0"/>
    <w:pPr>
      <w:widowControl w:val="0"/>
      <w:jc w:val="both"/>
    </w:pPr>
    <w:rPr>
      <w:rFonts w:ascii="Calibri" w:hAnsi="Calibri" w:eastAsia="宋体" w:cs="Times New Roman"/>
      <w:kern w:val="2"/>
      <w:sz w:val="21"/>
      <w:szCs w:val="24"/>
      <w:lang w:val="en-US" w:eastAsia="zh-CN" w:bidi="ar-SA"/>
    </w:rPr>
  </w:style>
  <w:style w:type="character" w:customStyle="1" w:styleId="13">
    <w:name w:val="Default Paragraph FontDefaultParagraphFont"/>
    <w:semiHidden/>
    <w:qFormat/>
    <w:uiPriority w:val="0"/>
  </w:style>
  <w:style w:type="table" w:customStyle="1" w:styleId="14">
    <w:name w:val="Normal TableTableNormal"/>
    <w:semiHidden/>
    <w:uiPriority w:val="0"/>
    <w:rPr>
      <w:rFonts w:ascii="Times New Roman" w:hAnsi="Times New Roman" w:eastAsia="宋体" w:cs="Times New Roman"/>
      <w:kern w:val="0"/>
      <w:sz w:val="20"/>
      <w:szCs w:val="20"/>
    </w:rPr>
    <w:tblPr>
      <w:tblCellMar>
        <w:top w:w="0" w:type="dxa"/>
        <w:left w:w="108" w:type="dxa"/>
        <w:bottom w:w="0" w:type="dxa"/>
        <w:right w:w="108" w:type="dxa"/>
      </w:tblCellMar>
    </w:tblPr>
  </w:style>
  <w:style w:type="paragraph" w:customStyle="1" w:styleId="15">
    <w:name w:val="Normal (Web)fdb4c2f615NormalWebfdb4c2f615"/>
    <w:basedOn w:val="16"/>
    <w:qFormat/>
    <w:uiPriority w:val="0"/>
    <w:pPr>
      <w:widowControl/>
      <w:spacing w:before="100" w:beforeAutospacing="1" w:after="100" w:afterAutospacing="1"/>
      <w:jc w:val="left"/>
    </w:pPr>
    <w:rPr>
      <w:rFonts w:hint="eastAsia" w:ascii="宋体" w:hAnsi="宋体"/>
      <w:kern w:val="0"/>
      <w:sz w:val="24"/>
      <w:szCs w:val="24"/>
    </w:rPr>
  </w:style>
  <w:style w:type="paragraph" w:customStyle="1" w:styleId="16">
    <w:name w:val="Normal661def5e10Normal661def5e10"/>
    <w:basedOn w:val="12"/>
    <w:uiPriority w:val="0"/>
    <w:rPr>
      <w:szCs w:val="21"/>
    </w:rPr>
  </w:style>
  <w:style w:type="paragraph" w:customStyle="1" w:styleId="17">
    <w:name w:val="NormalNormal1018NormalNormal1018"/>
    <w:basedOn w:val="12"/>
    <w:qFormat/>
    <w:uiPriority w:val="0"/>
    <w:rPr>
      <w:szCs w:val="21"/>
    </w:rPr>
  </w:style>
  <w:style w:type="table" w:customStyle="1" w:styleId="18">
    <w:name w:val="Normal TableTableNormal1220NormalTableTableNormal1220"/>
    <w:basedOn w:val="14"/>
    <w:semiHidden/>
    <w:qFormat/>
    <w:uiPriority w:val="0"/>
    <w:tblPr>
      <w:tblCellMar>
        <w:top w:w="0" w:type="dxa"/>
        <w:left w:w="108" w:type="dxa"/>
        <w:bottom w:w="0" w:type="dxa"/>
        <w:right w:w="108" w:type="dxa"/>
      </w:tblCellMar>
    </w:tblPr>
  </w:style>
  <w:style w:type="table" w:customStyle="1" w:styleId="19">
    <w:name w:val="Table GridTableGrid1422TableGridTableGrid1422"/>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
    <w:name w:val="Normalba0ee1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Default Paragraph Font8d2e9664"/>
    <w:semiHidden/>
    <w:qFormat/>
    <w:uiPriority w:val="0"/>
  </w:style>
  <w:style w:type="table" w:customStyle="1" w:styleId="22">
    <w:name w:val="Normal Table8033efe3"/>
    <w:semiHidden/>
    <w:qFormat/>
    <w:uiPriority w:val="0"/>
    <w:rPr>
      <w:rFonts w:ascii="Times New Roman" w:hAnsi="Times New Roman" w:eastAsia="宋体" w:cs="Times New Roman"/>
      <w:kern w:val="0"/>
      <w:sz w:val="20"/>
      <w:szCs w:val="20"/>
    </w:rPr>
    <w:tblPr>
      <w:tblCellMar>
        <w:top w:w="0" w:type="dxa"/>
        <w:left w:w="108" w:type="dxa"/>
        <w:bottom w:w="0" w:type="dxa"/>
        <w:right w:w="108" w:type="dxa"/>
      </w:tblCellMar>
    </w:tblPr>
  </w:style>
  <w:style w:type="character" w:customStyle="1" w:styleId="23">
    <w:name w:val="font61"/>
    <w:basedOn w:val="7"/>
    <w:qFormat/>
    <w:uiPriority w:val="0"/>
    <w:rPr>
      <w:rFonts w:hint="default" w:ascii="Times New Roman" w:hAnsi="Times New Roman" w:cs="Times New Roman"/>
      <w:b/>
      <w:bCs/>
      <w:color w:val="000000"/>
      <w:sz w:val="20"/>
      <w:szCs w:val="20"/>
      <w:u w:val="none"/>
      <w:vertAlign w:val="superscript"/>
    </w:rPr>
  </w:style>
  <w:style w:type="character" w:customStyle="1" w:styleId="24">
    <w:name w:val="font71"/>
    <w:basedOn w:val="7"/>
    <w:qFormat/>
    <w:uiPriority w:val="0"/>
    <w:rPr>
      <w:rFonts w:hint="default" w:ascii="Times New Roman" w:hAnsi="Times New Roman" w:cs="Times New Roman"/>
      <w:color w:val="000000"/>
      <w:sz w:val="20"/>
      <w:szCs w:val="20"/>
      <w:u w:val="none"/>
    </w:rPr>
  </w:style>
  <w:style w:type="character" w:customStyle="1" w:styleId="25">
    <w:name w:val="font111"/>
    <w:basedOn w:val="7"/>
    <w:qFormat/>
    <w:uiPriority w:val="0"/>
    <w:rPr>
      <w:rFonts w:hint="eastAsia" w:ascii="宋体" w:hAnsi="宋体" w:eastAsia="宋体" w:cs="宋体"/>
      <w:color w:val="000000"/>
      <w:sz w:val="20"/>
      <w:szCs w:val="20"/>
      <w:u w:val="none"/>
    </w:rPr>
  </w:style>
  <w:style w:type="character" w:customStyle="1" w:styleId="26">
    <w:name w:val="font51"/>
    <w:basedOn w:val="7"/>
    <w:uiPriority w:val="0"/>
    <w:rPr>
      <w:rFonts w:hint="default" w:ascii="方正书宋_GBK" w:hAnsi="方正书宋_GBK" w:eastAsia="方正书宋_GBK" w:cs="方正书宋_GBK"/>
      <w:color w:val="000000"/>
      <w:sz w:val="20"/>
      <w:szCs w:val="20"/>
      <w:u w:val="none"/>
    </w:rPr>
  </w:style>
  <w:style w:type="character" w:customStyle="1" w:styleId="27">
    <w:name w:val="font12"/>
    <w:basedOn w:val="7"/>
    <w:uiPriority w:val="0"/>
    <w:rPr>
      <w:rFonts w:hint="default" w:ascii="Times New Roman" w:hAnsi="Times New Roman" w:cs="Times New Roman"/>
      <w:color w:val="000000"/>
      <w:sz w:val="20"/>
      <w:szCs w:val="20"/>
      <w:u w:val="none"/>
    </w:rPr>
  </w:style>
  <w:style w:type="character" w:customStyle="1" w:styleId="28">
    <w:name w:val="font11"/>
    <w:basedOn w:val="7"/>
    <w:uiPriority w:val="0"/>
    <w:rPr>
      <w:rFonts w:hint="default" w:ascii="Times New Roman" w:hAnsi="Times New Roman" w:cs="Times New Roman"/>
      <w:b/>
      <w:bCs/>
      <w:color w:val="000000"/>
      <w:sz w:val="20"/>
      <w:szCs w:val="20"/>
      <w:u w:val="none"/>
      <w:vertAlign w:val="superscript"/>
    </w:rPr>
  </w:style>
  <w:style w:type="character" w:customStyle="1" w:styleId="29">
    <w:name w:val="font101"/>
    <w:basedOn w:val="7"/>
    <w:uiPriority w:val="0"/>
    <w:rPr>
      <w:rFonts w:hint="default" w:ascii="方正书宋_GBK" w:hAnsi="方正书宋_GBK" w:eastAsia="方正书宋_GBK" w:cs="方正书宋_GBK"/>
      <w:color w:val="000000"/>
      <w:sz w:val="20"/>
      <w:szCs w:val="20"/>
      <w:u w:val="none"/>
    </w:rPr>
  </w:style>
  <w:style w:type="character" w:customStyle="1" w:styleId="30">
    <w:name w:val="批注框文本 Char"/>
    <w:basedOn w:val="7"/>
    <w:link w:val="2"/>
    <w:uiPriority w:val="0"/>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2843</Words>
  <Characters>2933</Characters>
  <Lines>132</Lines>
  <Paragraphs>37</Paragraphs>
  <TotalTime>1</TotalTime>
  <ScaleCrop>false</ScaleCrop>
  <LinksUpToDate>false</LinksUpToDate>
  <CharactersWithSpaces>3016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2024-02-02T01:44:00Z</dcterms:created>
  <dc:creator>吴蕾</dc:creator>
  <cp:lastModifiedBy>WPS_1672750910</cp:lastModifiedBy>
  <dcterms:modified xsi:type="dcterms:W3CDTF">2026-05-28T08:38:22Z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eyJoZGlkIjoiOTFiZTdlMzQyMTAyNzA4ZGMxZGEyZTI0N2VkNThkZTUiLCJ1c2VySWQiOiIxNDY1NTI2MDYyIn0=</vt:lpwstr>
  </property>
  <property fmtid="{D5CDD505-2E9C-101B-9397-08002B2CF9AE}" pid="3" name="KSOProductBuildVer">
    <vt:lpwstr>2052-12.1.0.26375</vt:lpwstr>
  </property>
  <property fmtid="{D5CDD505-2E9C-101B-9397-08002B2CF9AE}" pid="4" name="ICV">
    <vt:lpwstr>91CDC84601BE4C29A754CF971FF8CFB8_12</vt:lpwstr>
  </property>
</Properties>
</file>