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F667B">
      <w:pPr>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历城区</w:t>
      </w:r>
      <w:r>
        <w:rPr>
          <w:rFonts w:hint="eastAsia" w:ascii="方正小标宋简体" w:eastAsia="方正小标宋简体"/>
          <w:sz w:val="44"/>
          <w:szCs w:val="44"/>
          <w:highlight w:val="none"/>
          <w:lang w:eastAsia="zh-CN"/>
        </w:rPr>
        <w:t>202</w:t>
      </w:r>
      <w:r>
        <w:rPr>
          <w:rFonts w:hint="eastAsia" w:ascii="方正小标宋简体" w:eastAsia="方正小标宋简体"/>
          <w:sz w:val="44"/>
          <w:szCs w:val="44"/>
          <w:highlight w:val="none"/>
          <w:lang w:val="en-US" w:eastAsia="zh-CN"/>
        </w:rPr>
        <w:t>5</w:t>
      </w:r>
      <w:r>
        <w:rPr>
          <w:rFonts w:hint="eastAsia" w:ascii="方正小标宋简体" w:eastAsia="方正小标宋简体"/>
          <w:sz w:val="44"/>
          <w:szCs w:val="44"/>
          <w:highlight w:val="none"/>
          <w:lang w:eastAsia="zh-CN"/>
        </w:rPr>
        <w:t>年</w:t>
      </w:r>
      <w:r>
        <w:rPr>
          <w:rFonts w:hint="eastAsia" w:ascii="方正小标宋简体" w:eastAsia="方正小标宋简体"/>
          <w:sz w:val="44"/>
          <w:szCs w:val="44"/>
          <w:highlight w:val="none"/>
        </w:rPr>
        <w:t>全区及区本级地方政府债务决算</w:t>
      </w:r>
    </w:p>
    <w:p w14:paraId="41E36C79">
      <w:pPr>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情况的说明</w:t>
      </w:r>
    </w:p>
    <w:p w14:paraId="5BCC7534">
      <w:pPr>
        <w:rPr>
          <w:rFonts w:ascii="仿宋_GB2312" w:eastAsia="仿宋_GB2312"/>
          <w:sz w:val="32"/>
          <w:szCs w:val="32"/>
          <w:highlight w:val="none"/>
        </w:rPr>
      </w:pPr>
    </w:p>
    <w:p w14:paraId="1CB05939">
      <w:pPr>
        <w:ind w:firstLine="720" w:firstLineChars="200"/>
        <w:rPr>
          <w:rFonts w:ascii="黑体" w:hAnsi="黑体" w:eastAsia="黑体"/>
          <w:sz w:val="36"/>
          <w:szCs w:val="36"/>
        </w:rPr>
      </w:pPr>
      <w:r>
        <w:rPr>
          <w:rFonts w:hint="eastAsia" w:ascii="黑体" w:hAnsi="黑体" w:eastAsia="黑体"/>
          <w:sz w:val="36"/>
          <w:szCs w:val="36"/>
        </w:rPr>
        <w:t>一、</w:t>
      </w:r>
      <w:r>
        <w:rPr>
          <w:rFonts w:hint="eastAsia" w:ascii="黑体" w:hAnsi="黑体" w:eastAsia="黑体"/>
          <w:sz w:val="36"/>
          <w:szCs w:val="36"/>
          <w:lang w:eastAsia="zh-CN"/>
        </w:rPr>
        <w:t>2025年</w:t>
      </w:r>
      <w:r>
        <w:rPr>
          <w:rFonts w:hint="eastAsia" w:ascii="黑体" w:hAnsi="黑体" w:eastAsia="黑体"/>
          <w:sz w:val="36"/>
          <w:szCs w:val="36"/>
        </w:rPr>
        <w:t>历城区地方政府债务限额情况</w:t>
      </w:r>
    </w:p>
    <w:p w14:paraId="05E3C200">
      <w:pPr>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根据济南市财政局《关于核定2025年政府债务限额有关事项的通知》（济财债〔2025〕</w:t>
      </w:r>
      <w:bookmarkStart w:id="0" w:name="_GoBack"/>
      <w:bookmarkEnd w:id="0"/>
      <w:r>
        <w:rPr>
          <w:rFonts w:hint="eastAsia" w:ascii="仿宋_GB2312" w:hAnsi="仿宋_GB2312" w:eastAsia="仿宋_GB2312" w:cs="仿宋_GB2312"/>
          <w:sz w:val="36"/>
          <w:szCs w:val="36"/>
        </w:rPr>
        <w:t>27号）规定：历城区</w:t>
      </w:r>
      <w:r>
        <w:rPr>
          <w:rFonts w:hint="eastAsia" w:ascii="仿宋_GB2312" w:hAnsi="仿宋_GB2312" w:eastAsia="仿宋_GB2312" w:cs="仿宋_GB2312"/>
          <w:sz w:val="36"/>
          <w:szCs w:val="36"/>
          <w:lang w:eastAsia="zh-CN"/>
        </w:rPr>
        <w:t>2025年</w:t>
      </w:r>
      <w:r>
        <w:rPr>
          <w:rFonts w:hint="eastAsia" w:ascii="仿宋_GB2312" w:hAnsi="仿宋_GB2312" w:eastAsia="仿宋_GB2312" w:cs="仿宋_GB2312"/>
          <w:sz w:val="36"/>
          <w:szCs w:val="36"/>
        </w:rPr>
        <w:t>政府债务总限额调整为13743.78万元，其中：</w:t>
      </w:r>
      <w:r>
        <w:rPr>
          <w:rFonts w:hint="eastAsia" w:ascii="仿宋_GB2312" w:hAnsi="仿宋_GB2312" w:eastAsia="仿宋_GB2312" w:cs="仿宋_GB2312"/>
          <w:sz w:val="36"/>
          <w:szCs w:val="36"/>
          <w:lang w:eastAsia="zh-CN"/>
        </w:rPr>
        <w:t>收回</w:t>
      </w:r>
      <w:r>
        <w:rPr>
          <w:rFonts w:hint="eastAsia" w:ascii="仿宋_GB2312" w:hAnsi="仿宋_GB2312" w:eastAsia="仿宋_GB2312" w:cs="仿宋_GB2312"/>
          <w:sz w:val="36"/>
          <w:szCs w:val="36"/>
        </w:rPr>
        <w:t>一般债务限额</w:t>
      </w:r>
      <w:r>
        <w:rPr>
          <w:rFonts w:hint="eastAsia" w:ascii="仿宋_GB2312" w:hAnsi="仿宋_GB2312" w:eastAsia="仿宋_GB2312" w:cs="仿宋_GB2312"/>
          <w:sz w:val="36"/>
          <w:szCs w:val="36"/>
          <w:lang w:val="en-US" w:eastAsia="zh-CN"/>
        </w:rPr>
        <w:t>3737.13</w:t>
      </w:r>
      <w:r>
        <w:rPr>
          <w:rFonts w:hint="eastAsia" w:ascii="仿宋_GB2312" w:hAnsi="仿宋_GB2312" w:eastAsia="仿宋_GB2312" w:cs="仿宋_GB2312"/>
          <w:sz w:val="36"/>
          <w:szCs w:val="36"/>
        </w:rPr>
        <w:t>万元，</w:t>
      </w:r>
      <w:r>
        <w:rPr>
          <w:rFonts w:hint="eastAsia" w:ascii="仿宋_GB2312" w:hAnsi="仿宋_GB2312" w:eastAsia="仿宋_GB2312" w:cs="仿宋_GB2312"/>
          <w:sz w:val="36"/>
          <w:szCs w:val="36"/>
          <w:lang w:eastAsia="zh-CN"/>
        </w:rPr>
        <w:t>收回</w:t>
      </w:r>
      <w:r>
        <w:rPr>
          <w:rFonts w:hint="eastAsia" w:ascii="仿宋_GB2312" w:hAnsi="仿宋_GB2312" w:eastAsia="仿宋_GB2312" w:cs="仿宋_GB2312"/>
          <w:sz w:val="36"/>
          <w:szCs w:val="36"/>
        </w:rPr>
        <w:t>专项债务限额</w:t>
      </w:r>
      <w:r>
        <w:rPr>
          <w:rFonts w:hint="eastAsia" w:ascii="仿宋_GB2312" w:hAnsi="仿宋_GB2312" w:eastAsia="仿宋_GB2312" w:cs="仿宋_GB2312"/>
          <w:sz w:val="36"/>
          <w:szCs w:val="36"/>
          <w:lang w:val="en-US" w:eastAsia="zh-CN"/>
        </w:rPr>
        <w:t>1006.65</w:t>
      </w:r>
      <w:r>
        <w:rPr>
          <w:rFonts w:hint="eastAsia" w:ascii="仿宋_GB2312" w:hAnsi="仿宋_GB2312" w:eastAsia="仿宋_GB2312" w:cs="仿宋_GB2312"/>
          <w:sz w:val="36"/>
          <w:szCs w:val="36"/>
        </w:rPr>
        <w:t>万元。其中：</w:t>
      </w:r>
    </w:p>
    <w:p w14:paraId="7BE24FEF">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2025年当年新增政府债务限额294721万元，全部为政府专项债券限额。新增债务限额中，区本级新增294721万元。</w:t>
      </w:r>
    </w:p>
    <w:p w14:paraId="2F0CD775">
      <w:pPr>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eastAsia="zh-CN"/>
        </w:rPr>
        <w:t>备注：截至2024年底，我区政府债务限额为1378644.83万元（济财债〔2024〕33号），其中：一般债务限额21058.01万元，专项债务限额1357586.82万元。</w:t>
      </w:r>
    </w:p>
    <w:p w14:paraId="4A912010">
      <w:pPr>
        <w:ind w:firstLine="720" w:firstLineChars="200"/>
        <w:rPr>
          <w:rFonts w:ascii="黑体" w:hAnsi="黑体" w:eastAsia="黑体"/>
          <w:sz w:val="36"/>
          <w:szCs w:val="36"/>
        </w:rPr>
      </w:pPr>
      <w:r>
        <w:rPr>
          <w:rFonts w:hint="eastAsia" w:ascii="黑体" w:hAnsi="黑体" w:eastAsia="黑体"/>
          <w:sz w:val="36"/>
          <w:szCs w:val="36"/>
        </w:rPr>
        <w:t>二、</w:t>
      </w:r>
      <w:r>
        <w:rPr>
          <w:rFonts w:hint="eastAsia" w:ascii="黑体" w:hAnsi="黑体" w:eastAsia="黑体"/>
          <w:sz w:val="36"/>
          <w:szCs w:val="36"/>
          <w:lang w:eastAsia="zh-CN"/>
        </w:rPr>
        <w:t>2025年</w:t>
      </w:r>
      <w:r>
        <w:rPr>
          <w:rFonts w:hint="eastAsia" w:ascii="黑体" w:hAnsi="黑体" w:eastAsia="黑体"/>
          <w:sz w:val="36"/>
          <w:szCs w:val="36"/>
        </w:rPr>
        <w:t>全区地方政府债务举借情况</w:t>
      </w:r>
    </w:p>
    <w:p w14:paraId="730A5CF0">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2025年市财政局共计下达我区地方政府债券375828万元，全部为政府专项债券资金，其中：</w:t>
      </w:r>
    </w:p>
    <w:p w14:paraId="2D3ED829">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（一）新增专项置换债券23207万元。</w:t>
      </w:r>
    </w:p>
    <w:p w14:paraId="027271DE">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（二）新增政府隐性债务置换债券57900万元。</w:t>
      </w:r>
    </w:p>
    <w:p w14:paraId="4FB7117D">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三）新增专项债券294721万元，包括：市医疗康养综合服务基地2.53亿元，双循环贸易物流服务产业园3.73亿元，还乡店城中村改造1亿，2025年城镇老旧小区改造3400万元，城乡供水设施1.25亿元，农村污水收集处理1300万元，港九融合示范项目4000万元；唐王智慧种业1000万元，闵善康养4500万元，旅游路电力管沟3000万元，国际货运中心（董家镇货运中心二期项目）2170万元，临港高端智能装备片区配套项目5000万元，临港产业园区配套基础设施建设（一期）2.2亿元，智慧低空技术装备评测中心项目4000万元，解决拖欠账款项目6.9亿元，土储专项债券资金9亿元。以上债券资金已按规定全部拨付到项目主管部门管理使用。</w:t>
      </w:r>
    </w:p>
    <w:p w14:paraId="1F353387">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分级次看，以上全部为区本级债券。</w:t>
      </w:r>
    </w:p>
    <w:p w14:paraId="04768791">
      <w:pPr>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eastAsia="zh-CN"/>
        </w:rPr>
        <w:t>按照《国务院关于加强地方政府性债务管理的意见》（国发〔2014〕43号）、《财政部关于对地方政府债务实行限额管理的实施意见》（财预〔2015〕225号）和《财政部关于印发〈地方政府债务信息公开办法（试行）〉的通知》（财预〔2018〕209号）等规定，我区2025年历次发行政府债券举借政府债务的相关信息，均已按规定向社会公开。</w:t>
      </w:r>
    </w:p>
    <w:p w14:paraId="2713EE4D">
      <w:pPr>
        <w:ind w:firstLine="720" w:firstLineChars="200"/>
        <w:rPr>
          <w:rFonts w:ascii="黑体" w:hAnsi="黑体" w:eastAsia="黑体"/>
          <w:sz w:val="36"/>
          <w:szCs w:val="36"/>
        </w:rPr>
      </w:pPr>
      <w:r>
        <w:rPr>
          <w:rFonts w:hint="eastAsia" w:ascii="黑体" w:hAnsi="黑体" w:eastAsia="黑体"/>
          <w:sz w:val="36"/>
          <w:szCs w:val="36"/>
        </w:rPr>
        <w:t>三、</w:t>
      </w:r>
      <w:r>
        <w:rPr>
          <w:rFonts w:hint="eastAsia" w:ascii="黑体" w:hAnsi="黑体" w:eastAsia="黑体"/>
          <w:sz w:val="36"/>
          <w:szCs w:val="36"/>
          <w:lang w:eastAsia="zh-CN"/>
        </w:rPr>
        <w:t>2025年</w:t>
      </w:r>
      <w:r>
        <w:rPr>
          <w:rFonts w:hint="eastAsia" w:ascii="黑体" w:hAnsi="黑体" w:eastAsia="黑体"/>
          <w:sz w:val="36"/>
          <w:szCs w:val="36"/>
        </w:rPr>
        <w:t>全区地方政府债务还本付息情况</w:t>
      </w:r>
    </w:p>
    <w:p w14:paraId="7EDCC3A0">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2025年我区共计偿还各项债务本息61462.88万元，包括：</w:t>
      </w:r>
    </w:p>
    <w:p w14:paraId="66503ED4">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归还政府性债务本金25787万元，全部为地方政府专项债券还本支出。</w:t>
      </w:r>
    </w:p>
    <w:p w14:paraId="5066F117">
      <w:pPr>
        <w:ind w:firstLine="720" w:firstLineChars="20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归还政府性债务利息35875.88万元，其中政府一般债券利息390.18万元，政府专项债券利息35285.7万元。</w:t>
      </w:r>
    </w:p>
    <w:p w14:paraId="31F1B27E">
      <w:pPr>
        <w:ind w:firstLine="720" w:firstLineChars="200"/>
        <w:rPr>
          <w:rFonts w:ascii="黑体" w:hAnsi="黑体" w:eastAsia="黑体"/>
          <w:sz w:val="36"/>
          <w:szCs w:val="36"/>
        </w:rPr>
      </w:pPr>
      <w:r>
        <w:rPr>
          <w:rFonts w:hint="eastAsia" w:ascii="黑体" w:hAnsi="黑体" w:eastAsia="黑体"/>
          <w:sz w:val="36"/>
          <w:szCs w:val="36"/>
        </w:rPr>
        <w:t>四、</w:t>
      </w:r>
      <w:r>
        <w:rPr>
          <w:rFonts w:hint="eastAsia" w:ascii="黑体" w:hAnsi="黑体" w:eastAsia="黑体"/>
          <w:sz w:val="36"/>
          <w:szCs w:val="36"/>
          <w:lang w:eastAsia="zh-CN"/>
        </w:rPr>
        <w:t>2025年</w:t>
      </w:r>
      <w:r>
        <w:rPr>
          <w:rFonts w:hint="eastAsia" w:ascii="黑体" w:hAnsi="黑体" w:eastAsia="黑体"/>
          <w:sz w:val="36"/>
          <w:szCs w:val="36"/>
        </w:rPr>
        <w:t>底全区地方政府债务结存情况</w:t>
      </w:r>
    </w:p>
    <w:p w14:paraId="439AA16C">
      <w:pPr>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截至2025年底，我区政府性债务余额1589865万元，其中：</w:t>
      </w:r>
    </w:p>
    <w:p w14:paraId="045EC955">
      <w:pPr>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地方政府一般债券12883万元，包括小清河综合治理883万元，再融资债券12000万元。</w:t>
      </w:r>
    </w:p>
    <w:p w14:paraId="56A06A3F">
      <w:pPr>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地方政府专项债券1576982万元，包括再融资专项债券454349万元，郭董十村等棚改专项债券140000万元，超算中心建设债券6.5亿元，三河巨野河综合治理50512万元，郭店产业园区6亿元，水发集团4亿元，唐冶（三甲）医院134000万元，A3地块租赁住房试点项目20000万元，唐冶片区浪潮产业园区6000万元，莲花山电缆隧道10000万元，纵一路新建电力管沟2600万元，临港开发区园区建设运营项目23000万元，历城方舱隔离点6500万元，帝森产业园10000万元，济南市医疗康养综合服务基地建设项目92300万元，双循环贸易物流服务产业园基础设施配套建设项目71300万元，历城区教体局莲花山7个幼儿园20676万元，济南市历城区城镇老旧小区改造项目14000万元（2023年3800万元，2024年6800万元，2025年3400万元），济南市历城职业中等专业学校一号学生公寓拆除扩建项目1800万元，济南市历城区小清河沿线及水源地保护区农村生活污水收集处理项目3500万元，历城区新建城市电网项目一期13200万元，济南市虞山大道南停车场项目5724万元，济南市虞山大道北停车场项目3800万元，济南市历城区中国科学院空天信息创新研究院10KV配电工程外线建设项目2000万元，历城区港沟街道神武村城中村改造生活保障房项目55000万元，济南市历城职业中等专业学校北校区建设项目11400万元，济南市历城区供水设施提升工程23100万元，历城区农村生活污水治理提升工程7300万元，郭店垃圾转运站2000万元，历城区新一代晶体材料产业园基础设施建设项目10000万元，济南临港经济开发区产业园区配套基础设施建设项目（一期）25000万元，临港高端智能装备片区配套项目5000万元，港九融合示范项目4000万元；唐王智慧种业1000万元，闵善康养4500万元，旅游路电力管沟3000万元，国际货运中心（董家镇货运中心二期项目）2170万元，智慧低空技术装备评测中心项目4000万元，解决拖欠账款项目6.9亿元，土储专项债券资金9亿元。</w:t>
      </w:r>
    </w:p>
    <w:p w14:paraId="111110B4">
      <w:pPr>
        <w:ind w:firstLine="720" w:firstLineChars="200"/>
        <w:rPr>
          <w:rFonts w:hint="eastAsia" w:ascii="黑体" w:hAnsi="黑体" w:eastAsia="黑体"/>
          <w:sz w:val="36"/>
          <w:szCs w:val="36"/>
        </w:rPr>
      </w:pPr>
      <w:r>
        <w:rPr>
          <w:rFonts w:hint="eastAsia" w:ascii="黑体" w:hAnsi="黑体" w:eastAsia="黑体"/>
          <w:sz w:val="36"/>
          <w:szCs w:val="36"/>
        </w:rPr>
        <w:t>五、</w:t>
      </w:r>
      <w:r>
        <w:rPr>
          <w:rFonts w:hint="eastAsia" w:ascii="黑体" w:hAnsi="黑体" w:eastAsia="黑体"/>
          <w:sz w:val="36"/>
          <w:szCs w:val="36"/>
          <w:lang w:eastAsia="zh-CN"/>
        </w:rPr>
        <w:t>2025年</w:t>
      </w:r>
      <w:r>
        <w:rPr>
          <w:rFonts w:hint="eastAsia" w:ascii="黑体" w:hAnsi="黑体" w:eastAsia="黑体"/>
          <w:sz w:val="36"/>
          <w:szCs w:val="36"/>
        </w:rPr>
        <w:t>全区地方政府债务风险指标情况</w:t>
      </w:r>
    </w:p>
    <w:p w14:paraId="1D4CE175">
      <w:pPr>
        <w:ind w:firstLine="630"/>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2025年我区财政决算综合财力1221154万元，其中：一般公共预算财力1000423万元，政府性基金预算财力221462万元。</w:t>
      </w:r>
    </w:p>
    <w:p w14:paraId="63E48AEF">
      <w:pPr>
        <w:ind w:firstLine="630"/>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eastAsia="zh-CN"/>
        </w:rPr>
        <w:t>我区政府性债务余额1589865万元，比上年增加350041万元，增加的主要原因是今年新增土储专项债券资金90000万元，解决拖欠账款项目资金69251万元。</w:t>
      </w:r>
    </w:p>
    <w:p w14:paraId="042AEE9B">
      <w:pPr>
        <w:ind w:firstLine="630"/>
        <w:rPr>
          <w:rFonts w:hint="eastAsia" w:ascii="仿宋_GB2312" w:eastAsia="仿宋_GB2312"/>
          <w:sz w:val="36"/>
          <w:szCs w:val="36"/>
          <w:highlight w:val="none"/>
          <w:lang w:eastAsia="zh-CN"/>
        </w:rPr>
      </w:pPr>
    </w:p>
    <w:sectPr>
      <w:footerReference r:id="rId3" w:type="default"/>
      <w:pgSz w:w="11906" w:h="16838"/>
      <w:pgMar w:top="1418" w:right="1418" w:bottom="1418" w:left="1418"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491079"/>
      <w:docPartObj>
        <w:docPartGallery w:val="autotext"/>
      </w:docPartObj>
    </w:sdtPr>
    <w:sdtContent>
      <w:p w14:paraId="2B05D14F">
        <w:pPr>
          <w:pStyle w:val="2"/>
        </w:pPr>
        <w:r>
          <w:ptab w:relativeTo="margin" w:alignment="center" w:leader="none"/>
        </w:r>
        <w:r>
          <w:fldChar w:fldCharType="begin"/>
        </w:r>
        <w:r>
          <w:instrText xml:space="preserve"> PAGE   \* MERGEFORMAT </w:instrText>
        </w:r>
        <w:r>
          <w:fldChar w:fldCharType="separate"/>
        </w:r>
        <w:r>
          <w:rPr>
            <w:lang w:val="zh-CN"/>
          </w:rPr>
          <w:t>2</w:t>
        </w:r>
        <w:r>
          <w:rPr>
            <w:lang w:val="zh-CN"/>
          </w:rPr>
          <w:fldChar w:fldCharType="end"/>
        </w:r>
      </w:p>
    </w:sdtContent>
  </w:sdt>
  <w:p w14:paraId="51FBEDD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yMWU1N2NiYzg2ZTc4MmVhYzcwNjY0YjIyMmI4MzAifQ=="/>
  </w:docVars>
  <w:rsids>
    <w:rsidRoot w:val="00AE3761"/>
    <w:rsid w:val="001117CE"/>
    <w:rsid w:val="001D395B"/>
    <w:rsid w:val="00216465"/>
    <w:rsid w:val="00242207"/>
    <w:rsid w:val="002B5CF7"/>
    <w:rsid w:val="002F6512"/>
    <w:rsid w:val="00307464"/>
    <w:rsid w:val="003813DF"/>
    <w:rsid w:val="003900D3"/>
    <w:rsid w:val="004133DC"/>
    <w:rsid w:val="00465C07"/>
    <w:rsid w:val="004F4DF7"/>
    <w:rsid w:val="00502C8F"/>
    <w:rsid w:val="00524FD4"/>
    <w:rsid w:val="00544737"/>
    <w:rsid w:val="005B1EFD"/>
    <w:rsid w:val="006543CC"/>
    <w:rsid w:val="00681138"/>
    <w:rsid w:val="006C5BF4"/>
    <w:rsid w:val="006E02C3"/>
    <w:rsid w:val="006E10DB"/>
    <w:rsid w:val="006F6397"/>
    <w:rsid w:val="00746BF4"/>
    <w:rsid w:val="00753559"/>
    <w:rsid w:val="00777CA2"/>
    <w:rsid w:val="00792FD2"/>
    <w:rsid w:val="007E029A"/>
    <w:rsid w:val="00817A4D"/>
    <w:rsid w:val="008A273C"/>
    <w:rsid w:val="008E3E68"/>
    <w:rsid w:val="008E5B85"/>
    <w:rsid w:val="00A2741E"/>
    <w:rsid w:val="00AE3761"/>
    <w:rsid w:val="00B257BA"/>
    <w:rsid w:val="00B84574"/>
    <w:rsid w:val="00BC455A"/>
    <w:rsid w:val="00C74DB8"/>
    <w:rsid w:val="00CC4134"/>
    <w:rsid w:val="00CC41C5"/>
    <w:rsid w:val="00CD5713"/>
    <w:rsid w:val="00D20959"/>
    <w:rsid w:val="00D32F47"/>
    <w:rsid w:val="00D47492"/>
    <w:rsid w:val="00D6157B"/>
    <w:rsid w:val="00DB4633"/>
    <w:rsid w:val="00E40811"/>
    <w:rsid w:val="00E57662"/>
    <w:rsid w:val="00E91694"/>
    <w:rsid w:val="00E93ECB"/>
    <w:rsid w:val="00F01EC3"/>
    <w:rsid w:val="00F1132B"/>
    <w:rsid w:val="00F946F1"/>
    <w:rsid w:val="1EA92099"/>
    <w:rsid w:val="2D853784"/>
    <w:rsid w:val="39BE7E57"/>
    <w:rsid w:val="45FC4C0A"/>
    <w:rsid w:val="47B86345"/>
    <w:rsid w:val="58824160"/>
    <w:rsid w:val="6BC6435F"/>
    <w:rsid w:val="6EA13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1765</Words>
  <Characters>2186</Characters>
  <Lines>12</Lines>
  <Paragraphs>3</Paragraphs>
  <TotalTime>0</TotalTime>
  <ScaleCrop>false</ScaleCrop>
  <LinksUpToDate>false</LinksUpToDate>
  <CharactersWithSpaces>2186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2021-05-23T06:11:00Z</dcterms:created>
  <dc:creator>User</dc:creator>
  <cp:lastModifiedBy>九天</cp:lastModifiedBy>
  <dcterms:modified xsi:type="dcterms:W3CDTF">2026-05-26T05:59:15Z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A4BE28D719FF411CAB9F2FCEF1AA8624_13</vt:lpwstr>
  </property>
  <property fmtid="{D5CDD505-2E9C-101B-9397-08002B2CF9AE}" pid="4" name="KSOTemplateDocerSaveRecord">
    <vt:lpwstr>eyJoZGlkIjoiZmY0ZmQwMzUwYjQwY2E4OGE5NWQ1N2Q3MzU4M2I0YzciLCJ1c2VySWQiOiIzMzE5OTkzNjkifQ==</vt:lpwstr>
  </property>
</Properties>
</file>