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A3C87">
      <w:pPr>
        <w:widowControl/>
        <w:spacing w:line="375" w:lineRule="atLeast"/>
        <w:jc w:val="center"/>
        <w:rPr>
          <w:rFonts w:ascii="方正小标宋简体" w:eastAsia="方正小标宋简体" w:hAnsiTheme="minorEastAsia" w:cstheme="minorEastAsia"/>
          <w:bCs/>
          <w:color w:val="auto"/>
          <w:kern w:val="0"/>
          <w:sz w:val="36"/>
          <w:szCs w:val="36"/>
        </w:rPr>
      </w:pPr>
      <w:r>
        <w:rPr>
          <w:rFonts w:hint="eastAsia" w:ascii="方正小标宋简体" w:eastAsia="方正小标宋简体" w:hAnsiTheme="minorEastAsia" w:cstheme="minorEastAsia"/>
          <w:bCs/>
          <w:color w:val="auto"/>
          <w:kern w:val="0"/>
          <w:sz w:val="36"/>
          <w:szCs w:val="36"/>
        </w:rPr>
        <w:t>202</w:t>
      </w:r>
      <w:r>
        <w:rPr>
          <w:rFonts w:hint="eastAsia" w:ascii="方正小标宋简体" w:eastAsia="方正小标宋简体" w:hAnsiTheme="minorEastAsia" w:cstheme="minorEastAsia"/>
          <w:bCs/>
          <w:color w:val="auto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 w:hAnsiTheme="minorEastAsia" w:cstheme="minorEastAsia"/>
          <w:bCs/>
          <w:color w:val="auto"/>
          <w:kern w:val="0"/>
          <w:sz w:val="36"/>
          <w:szCs w:val="36"/>
        </w:rPr>
        <w:t>年历城区国民经济和社会发展统计公报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shd w:val="clear" w:color="auto" w:fill="FFFFFF"/>
          <w:vertAlign w:val="superscript"/>
        </w:rPr>
        <w:t>[1]</w:t>
      </w:r>
    </w:p>
    <w:p w14:paraId="750A9DCB">
      <w:pPr>
        <w:pStyle w:val="9"/>
        <w:widowControl/>
        <w:spacing w:beforeAutospacing="0" w:afterAutospacing="0" w:line="600" w:lineRule="exact"/>
        <w:jc w:val="center"/>
        <w:rPr>
          <w:rFonts w:ascii="楷体_GB2312" w:eastAsia="楷体_GB2312" w:cs="楷体_GB2312"/>
          <w:color w:val="auto"/>
          <w:sz w:val="32"/>
          <w:szCs w:val="32"/>
          <w:shd w:val="clear" w:color="auto" w:fill="FFFFFF"/>
        </w:rPr>
      </w:pPr>
      <w:r>
        <w:rPr>
          <w:rFonts w:ascii="楷体_GB2312" w:eastAsia="楷体_GB2312" w:cs="楷体_GB2312"/>
          <w:color w:val="auto"/>
          <w:sz w:val="32"/>
          <w:szCs w:val="32"/>
          <w:shd w:val="clear" w:color="auto" w:fill="FFFFFF"/>
        </w:rPr>
        <w:t>济南市</w:t>
      </w:r>
      <w:r>
        <w:rPr>
          <w:rFonts w:hint="eastAsia" w:ascii="楷体_GB2312" w:eastAsia="楷体_GB2312" w:cs="楷体_GB2312"/>
          <w:color w:val="auto"/>
          <w:sz w:val="32"/>
          <w:szCs w:val="32"/>
          <w:shd w:val="clear" w:color="auto" w:fill="FFFFFF"/>
        </w:rPr>
        <w:t>历城区</w:t>
      </w:r>
      <w:r>
        <w:rPr>
          <w:rFonts w:ascii="楷体_GB2312" w:eastAsia="楷体_GB2312" w:cs="楷体_GB2312"/>
          <w:color w:val="auto"/>
          <w:sz w:val="32"/>
          <w:szCs w:val="32"/>
          <w:shd w:val="clear" w:color="auto" w:fill="FFFFFF"/>
        </w:rPr>
        <w:t>统计局</w:t>
      </w:r>
      <w:r>
        <w:rPr>
          <w:rFonts w:hint="eastAsia" w:ascii="楷体_GB2312" w:eastAsia="楷体_GB2312" w:cs="楷体_GB2312"/>
          <w:color w:val="auto"/>
          <w:sz w:val="32"/>
          <w:szCs w:val="32"/>
          <w:shd w:val="clear" w:color="auto" w:fill="FFFFFF"/>
        </w:rPr>
        <w:t>  </w:t>
      </w:r>
    </w:p>
    <w:p w14:paraId="5AC9B3E4">
      <w:pPr>
        <w:pStyle w:val="9"/>
        <w:widowControl/>
        <w:spacing w:beforeAutospacing="0" w:afterAutospacing="0" w:line="600" w:lineRule="exact"/>
        <w:jc w:val="center"/>
        <w:rPr>
          <w:rFonts w:ascii="方正小标宋简体" w:eastAsia="方正小标宋简体" w:hAnsiTheme="minorEastAsia" w:cstheme="minorEastAsia"/>
          <w:bCs/>
          <w:color w:val="auto"/>
          <w:sz w:val="36"/>
          <w:szCs w:val="36"/>
        </w:rPr>
      </w:pPr>
      <w:r>
        <w:rPr>
          <w:rFonts w:hint="eastAsia" w:ascii="楷体_GB2312" w:eastAsia="楷体_GB2312" w:cs="楷体_GB2312"/>
          <w:color w:val="auto"/>
          <w:sz w:val="32"/>
          <w:szCs w:val="32"/>
          <w:shd w:val="clear" w:color="auto" w:fill="FFFFFF"/>
        </w:rPr>
        <w:t>（202</w:t>
      </w:r>
      <w:r>
        <w:rPr>
          <w:rFonts w:hint="eastAsia" w:ascii="楷体_GB2312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楷体_GB2312" w:eastAsia="楷体_GB2312" w:cs="楷体_GB2312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楷体_GB2312" w:eastAsia="楷体_GB2312" w:cs="楷体_GB2312"/>
          <w:color w:val="auto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楷体_GB2312" w:eastAsia="楷体_GB2312" w:cs="楷体_GB2312"/>
          <w:color w:val="auto"/>
          <w:sz w:val="32"/>
          <w:szCs w:val="32"/>
          <w:shd w:val="clear" w:color="auto" w:fill="FFFFFF"/>
        </w:rPr>
        <w:t>月）</w:t>
      </w:r>
    </w:p>
    <w:p w14:paraId="493204DC">
      <w:pPr>
        <w:pStyle w:val="2"/>
        <w:rPr>
          <w:rFonts w:hint="default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2025年，全区坚持以习近平新时代中国特色社会主义思想为指导，深入学习贯彻党的二十大和二十届历次全会精神，认真落实习近平总书记视察山东重要讲话精神和重要指示批示精神，紧紧围绕中央和省委、市委工作部署，深入落实黄河重大国家战略，以“加快建设省会社会主义现代化强区”为目标任务，持续深化“4433”工作推进体系，坚持稳中求进总基调，完整、准确、全面贯彻新发展理念，主动服务和融入新发展格局，</w:t>
      </w:r>
      <w:r>
        <w:rPr>
          <w:rFonts w:hint="default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全区经济社会发展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取得新进展</w:t>
      </w:r>
      <w:r>
        <w:rPr>
          <w:rFonts w:hint="default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02B6F695">
      <w:pPr>
        <w:widowControl/>
        <w:spacing w:before="240" w:after="240" w:line="600" w:lineRule="exact"/>
        <w:jc w:val="center"/>
        <w:rPr>
          <w:rFonts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</w:rPr>
        <w:t>一、综合</w:t>
      </w:r>
    </w:p>
    <w:p w14:paraId="362103B5">
      <w:pPr>
        <w:widowControl/>
        <w:spacing w:before="240" w:after="240" w:line="600" w:lineRule="exact"/>
        <w:ind w:firstLine="645"/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经济总量稳定增长。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初步核算，202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年全区地区生产总值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vertAlign w:val="superscript"/>
        </w:rPr>
        <w:t>[2]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1490.95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亿元，按不变价格计算，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上年增长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5.1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%。其中第一产业增加值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27.18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2.9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%；第二产业增加值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320.56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1.5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%；第三产业增加值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1143.21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6.2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%。三次产业结构比为1.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21.5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76.7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。</w:t>
      </w:r>
    </w:p>
    <w:p w14:paraId="70CD7E69">
      <w:pPr>
        <w:widowControl/>
        <w:spacing w:before="240" w:after="240" w:line="600" w:lineRule="exact"/>
        <w:ind w:firstLine="645"/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楷体_GB2312" w:hAnsi="楷体" w:eastAsia="楷体_GB2312"/>
          <w:bCs/>
          <w:color w:val="auto"/>
          <w:sz w:val="32"/>
          <w:szCs w:val="32"/>
        </w:rPr>
        <w:t>财政</w:t>
      </w:r>
      <w:r>
        <w:rPr>
          <w:rFonts w:hint="eastAsia" w:ascii="楷体_GB2312" w:hAnsi="楷体" w:eastAsia="楷体_GB2312"/>
          <w:bCs/>
          <w:color w:val="auto"/>
          <w:sz w:val="32"/>
          <w:szCs w:val="32"/>
          <w:lang w:val="en-US" w:eastAsia="zh-CN"/>
        </w:rPr>
        <w:t>运行健康平稳</w:t>
      </w:r>
      <w:r>
        <w:rPr>
          <w:rFonts w:hint="eastAsia" w:ascii="楷体_GB2312" w:hAnsi="楷体" w:eastAsia="楷体_GB2312"/>
          <w:bCs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全区地方公共财政预算收入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135.16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增长0.1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其中税收收入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105.14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税收比重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77.8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。一般公共财政预算支出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99.25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亿元,</w:t>
      </w:r>
      <w:bookmarkStart w:id="0" w:name="_Hlk142406891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增长6.1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%。</w:t>
      </w:r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其中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城乡社区支出27.58亿元，增长10.6%；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教育支出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21.90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4.1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卫生健康支出7.56亿元，增长4.4%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1D8F7CE">
      <w:pPr>
        <w:spacing w:before="240" w:after="240" w:line="600" w:lineRule="exact"/>
        <w:ind w:firstLine="627" w:firstLineChars="196"/>
        <w:rPr>
          <w:rFonts w:ascii="仿宋_GB2312" w:hAnsi="仿宋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lang w:val="en-US" w:eastAsia="zh-CN"/>
        </w:rPr>
        <w:t>城镇化水平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持续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lang w:val="en-US" w:eastAsia="zh-CN"/>
        </w:rPr>
        <w:t>提升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年末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常住人口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/>
        </w:rPr>
        <w:t>116.68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万人，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/>
        </w:rPr>
        <w:t>比上年增加2.45万人，增长2.1%，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其中城镇人口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/>
        </w:rPr>
        <w:t>107.32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万人，</w:t>
      </w:r>
      <w:r>
        <w:rPr>
          <w:rFonts w:hint="eastAsia" w:ascii="仿宋_GB2312" w:eastAsia="仿宋_GB2312" w:cs="仿宋_GB2312"/>
          <w:color w:val="auto"/>
          <w:sz w:val="32"/>
          <w:szCs w:val="32"/>
          <w:shd w:val="clear" w:color="auto" w:fill="FFFFFF"/>
        </w:rPr>
        <w:t>占总人口比重（常住人口城镇化率）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为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/>
        </w:rPr>
        <w:t>91.98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%，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eastAsia="zh-CN"/>
        </w:rPr>
        <w:t>比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上年提高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/>
        </w:rPr>
        <w:t>1.06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个百分点。年末户籍人口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/>
        </w:rPr>
        <w:t>81.97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万人，增长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lang w:val="en-US" w:eastAsia="zh-CN"/>
        </w:rPr>
        <w:t>2.5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</w:rPr>
        <w:t>%。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highlight w:val="none"/>
        </w:rPr>
        <w:t>全年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申报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highlight w:val="none"/>
        </w:rPr>
        <w:t>出生人口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9343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highlight w:val="none"/>
        </w:rPr>
        <w:t>人，男女性别比为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111.3</w:t>
      </w:r>
      <w:r>
        <w:rPr>
          <w:rFonts w:hint="eastAsia" w:ascii="仿宋_GB2312" w:hAnsi="仿宋" w:eastAsia="仿宋_GB2312" w:cs="宋体"/>
          <w:color w:val="auto"/>
          <w:kern w:val="0"/>
          <w:sz w:val="32"/>
          <w:szCs w:val="32"/>
          <w:highlight w:val="none"/>
        </w:rPr>
        <w:t>:100。</w:t>
      </w:r>
      <w:bookmarkStart w:id="2" w:name="_GoBack"/>
      <w:bookmarkEnd w:id="2"/>
    </w:p>
    <w:p w14:paraId="7F26017B">
      <w:pPr>
        <w:widowControl/>
        <w:spacing w:before="240" w:after="240" w:line="600" w:lineRule="exact"/>
        <w:ind w:firstLine="640" w:firstLineChars="200"/>
        <w:jc w:val="both"/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居民收入稳步提高。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全区居民人均可支配收入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58346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元，比上年增长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4.8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分城乡看，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其中城镇居民人均可支配收入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66727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元，增长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4.1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农村居民人均可支配收入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32316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元，增长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5.3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城乡居民收入比由上年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同期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的2.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09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:1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缩小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至2.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:1。</w:t>
      </w:r>
    </w:p>
    <w:p w14:paraId="24144A6D">
      <w:pPr>
        <w:widowControl/>
        <w:spacing w:before="240" w:after="240" w:line="600" w:lineRule="exact"/>
        <w:jc w:val="center"/>
        <w:rPr>
          <w:rFonts w:ascii="黑体" w:hAnsi="黑体" w:eastAsia="黑体" w:cs="黑体"/>
          <w:color w:val="auto"/>
          <w:kern w:val="0"/>
          <w:sz w:val="23"/>
          <w:szCs w:val="23"/>
        </w:rPr>
      </w:pPr>
      <w:r>
        <w:rPr>
          <w:rFonts w:hint="eastAsia" w:ascii="黑体" w:hAnsi="黑体" w:eastAsia="黑体" w:cs="黑体"/>
          <w:color w:val="auto"/>
          <w:kern w:val="0"/>
          <w:sz w:val="32"/>
        </w:rPr>
        <w:t>二、农林牧渔业</w:t>
      </w:r>
    </w:p>
    <w:p w14:paraId="4140028E">
      <w:pPr>
        <w:widowControl/>
        <w:spacing w:line="600" w:lineRule="exact"/>
        <w:ind w:firstLine="645"/>
        <w:jc w:val="both"/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</w:rPr>
        <w:t>农业生产稳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  <w:lang w:val="en-US" w:eastAsia="zh-CN"/>
        </w:rPr>
        <w:t>中有升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全年农林牧渔业总产值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49.60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按可比价格计算，比上年增长4.6%，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其中农业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总产值31.60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亿元、林业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总产值3.66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亿元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牧业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总产值5.55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亿元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渔业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总产值2.41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亿元、农林牧渔服务业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总产值6.37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亿元。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粮食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生产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再创新高，全年粮食播种面积</w:t>
      </w:r>
      <w:bookmarkStart w:id="1" w:name="_Hlk142407014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vertAlign w:val="superscript"/>
        </w:rPr>
        <w:t>[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vertAlign w:val="superscript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vertAlign w:val="superscript"/>
        </w:rPr>
        <w:t>]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30.</w:t>
      </w:r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万亩，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粮食总产量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10.75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万吨，其中夏粮3.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61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万吨，秋粮7.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万吨。蔬菜产量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11.30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万吨，水果产量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10.53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万吨，肉类产量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0.90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万吨，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禽蛋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产量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1.40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万吨。</w:t>
      </w:r>
    </w:p>
    <w:p w14:paraId="09A20CC0">
      <w:pPr>
        <w:widowControl/>
        <w:spacing w:line="600" w:lineRule="exact"/>
        <w:ind w:firstLine="63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宋体" w:eastAsia="楷体_GB2312" w:cs="宋体"/>
          <w:color w:val="auto"/>
          <w:kern w:val="0"/>
          <w:sz w:val="32"/>
          <w:szCs w:val="32"/>
          <w:highlight w:val="none"/>
        </w:rPr>
        <w:t>现代高效农业较快发展。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全年现代高效农业增加值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8.32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亿元，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比上年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增长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9.7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%，占农林牧渔业增加值比重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27.5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%，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比上年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提高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2.0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</w:rPr>
        <w:t>个百分点。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特色农产品发展势头良好，草莓产业市场影响力和美誉度持续扩大，草莓产量8.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万吨，同比增长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4634DC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宋体" w:eastAsia="楷体_GB2312" w:cs="宋体"/>
          <w:color w:val="auto"/>
          <w:kern w:val="0"/>
          <w:sz w:val="32"/>
          <w:szCs w:val="32"/>
          <w:highlight w:val="none"/>
        </w:rPr>
        <w:t>乡村振兴</w:t>
      </w:r>
      <w:r>
        <w:rPr>
          <w:rFonts w:hint="eastAsia" w:ascii="楷体_GB2312" w:hAnsi="宋体" w:eastAsia="楷体_GB2312" w:cs="宋体"/>
          <w:color w:val="auto"/>
          <w:kern w:val="0"/>
          <w:sz w:val="32"/>
          <w:szCs w:val="32"/>
          <w:highlight w:val="none"/>
          <w:lang w:val="en-US" w:eastAsia="zh-CN"/>
        </w:rPr>
        <w:t>稳步推进</w:t>
      </w:r>
      <w:r>
        <w:rPr>
          <w:rFonts w:hint="eastAsia" w:ascii="楷体_GB2312" w:hAnsi="宋体" w:eastAsia="楷体_GB2312" w:cs="宋体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推进霍家流村创建省级和美乡村，全力推进“泉韵乡居”乡村振兴齐鲁样板示范区创建工作。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截至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2025年底，全区市级以上农业产业化龙头企业保有量49家，其中国家级1家、省级9家、市级39家，农业产业化经营稳步推进。入选2024年全省县域数字农业发展县建设名单，成功认定4家省级标准智慧农业应用基地，截至2025年底，全区已累计认定11家智慧农业应用基地，数字农业农村建设有序开展。</w:t>
      </w:r>
    </w:p>
    <w:p w14:paraId="21CFD33D">
      <w:pPr>
        <w:widowControl/>
        <w:spacing w:before="240" w:after="240" w:line="600" w:lineRule="exact"/>
        <w:jc w:val="center"/>
        <w:rPr>
          <w:rFonts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三、工业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和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建筑业</w:t>
      </w:r>
    </w:p>
    <w:p w14:paraId="2DF57427">
      <w:pPr>
        <w:widowControl/>
        <w:spacing w:before="240" w:after="240" w:line="600" w:lineRule="exact"/>
        <w:ind w:firstLine="645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工业生产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lang w:val="en-US" w:eastAsia="zh-CN"/>
        </w:rPr>
        <w:t>承压运行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全年工业增加值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135.94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比上年增长0.8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%。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全区规模以上工业企业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vertAlign w:val="superscript"/>
        </w:rPr>
        <w:t>[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vertAlign w:val="superscript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vertAlign w:val="superscript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家，规模以上工业增加值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下降3.6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重点行业中医药制造业下降12.8%，电力、热力生产和供应业下降9.5%，通用设备制造业增长19.7%；规模以上工业企业实现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营业收入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423.67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下降5.1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%；实现利税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26.35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亿元，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下降41.2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74B89EFA">
      <w:pPr>
        <w:widowControl/>
        <w:spacing w:before="240" w:after="240" w:line="600" w:lineRule="exact"/>
        <w:ind w:firstLine="645"/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建筑业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lang w:val="en-US" w:eastAsia="zh-CN"/>
        </w:rPr>
        <w:t>稳步发展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全年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建筑业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增加值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187.64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比上年增长2.5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%。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全区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具有总承包和专业承包资质的建筑业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企业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179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家，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实现建筑业总产值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502.86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亿元，增长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1.7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%；平均从业人员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7.90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万人。</w:t>
      </w:r>
    </w:p>
    <w:p w14:paraId="750517F4">
      <w:pPr>
        <w:widowControl/>
        <w:spacing w:before="240" w:after="240" w:line="600" w:lineRule="exact"/>
        <w:jc w:val="center"/>
        <w:rPr>
          <w:rFonts w:ascii="黑体" w:hAnsi="黑体" w:eastAsia="黑体" w:cs="黑体"/>
          <w:color w:val="auto"/>
          <w:kern w:val="0"/>
          <w:sz w:val="23"/>
          <w:szCs w:val="23"/>
        </w:rPr>
      </w:pPr>
      <w:r>
        <w:rPr>
          <w:rFonts w:hint="eastAsia" w:ascii="黑体" w:hAnsi="黑体" w:eastAsia="黑体" w:cs="黑体"/>
          <w:color w:val="auto"/>
          <w:kern w:val="0"/>
          <w:sz w:val="32"/>
        </w:rPr>
        <w:t>四、服务业</w:t>
      </w:r>
    </w:p>
    <w:p w14:paraId="0ABED20E">
      <w:pPr>
        <w:pStyle w:val="9"/>
        <w:widowControl/>
        <w:spacing w:beforeAutospacing="0" w:afterAutospacing="0" w:line="600" w:lineRule="exact"/>
        <w:ind w:firstLine="640" w:firstLineChars="200"/>
        <w:jc w:val="both"/>
        <w:rPr>
          <w:rFonts w:ascii="楷体_GB2312" w:hAnsi="楷体" w:eastAsia="楷体_GB2312" w:cs="宋体"/>
          <w:color w:val="auto"/>
          <w:sz w:val="32"/>
          <w:szCs w:val="32"/>
          <w:highlight w:val="none"/>
        </w:rPr>
      </w:pPr>
      <w:r>
        <w:rPr>
          <w:rStyle w:val="12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重点行业持续向好</w:t>
      </w:r>
      <w:r>
        <w:rPr>
          <w:rStyle w:val="12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shd w:val="clear" w:color="auto" w:fill="FFFFFF"/>
        </w:rPr>
        <w:t>。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全区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规模以上服务业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企业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vertAlign w:val="superscript"/>
        </w:rPr>
        <w:t>[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vertAlign w:val="superscript"/>
          <w:lang w:val="en-US" w:eastAsia="zh-CN"/>
        </w:rPr>
        <w:t>5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vertAlign w:val="superscript"/>
        </w:rPr>
        <w:t>]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实现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FFFFFF"/>
        </w:rPr>
        <w:t>营业收入</w:t>
      </w:r>
      <w:r>
        <w:rPr>
          <w:rFonts w:hint="eastAsia" w:asci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374.42亿元，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增长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5.7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%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重点行业中，规模以上信息传输、软件和信息技术服务业，不包含房地产开发经营的房地产业，租赁和商务服务业企业营业收入分别增长19.4%、14.7%、9.9%，合计拉动全区规模以上服务业营业收入增长4.4个百分点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shd w:val="clear" w:color="auto" w:fill="FFFFFF"/>
        </w:rPr>
        <w:t>。</w:t>
      </w:r>
    </w:p>
    <w:p w14:paraId="5C12EB5C">
      <w:pPr>
        <w:widowControl/>
        <w:spacing w:before="240" w:after="240" w:line="600" w:lineRule="exact"/>
        <w:jc w:val="center"/>
        <w:rPr>
          <w:rFonts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五、固定资产投资</w:t>
      </w:r>
    </w:p>
    <w:p w14:paraId="5E635747">
      <w:pPr>
        <w:widowControl/>
        <w:spacing w:before="240" w:after="240" w:line="600" w:lineRule="exact"/>
        <w:ind w:firstLine="645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楷体_GB2312" w:hAnsi="楷体" w:eastAsia="楷体_GB2312" w:cs="宋体"/>
          <w:kern w:val="0"/>
          <w:sz w:val="32"/>
          <w:szCs w:val="32"/>
        </w:rPr>
        <w:t>固定资产投资</w:t>
      </w:r>
      <w:r>
        <w:rPr>
          <w:rFonts w:hint="eastAsia" w:ascii="楷体_GB2312" w:hAnsi="楷体" w:eastAsia="楷体_GB2312" w:cs="宋体"/>
          <w:kern w:val="0"/>
          <w:sz w:val="32"/>
          <w:szCs w:val="32"/>
          <w:lang w:val="en-US" w:eastAsia="zh-CN"/>
        </w:rPr>
        <w:t>低位运行</w:t>
      </w:r>
      <w:r>
        <w:rPr>
          <w:rFonts w:hint="eastAsia" w:ascii="楷体_GB2312" w:hAnsi="楷体" w:eastAsia="楷体_GB2312" w:cs="宋体"/>
          <w:kern w:val="0"/>
          <w:sz w:val="32"/>
          <w:szCs w:val="32"/>
        </w:rPr>
        <w:t>。</w:t>
      </w:r>
      <w:r>
        <w:rPr>
          <w:rFonts w:hint="eastAsia" w:ascii="楷体_GB2312" w:hAnsi="楷体" w:eastAsia="楷体_GB2312" w:cs="宋体"/>
          <w:kern w:val="0"/>
          <w:sz w:val="32"/>
          <w:szCs w:val="32"/>
          <w:lang w:val="en-US" w:eastAsia="zh-CN"/>
        </w:rPr>
        <w:t>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投资结构调整和周期性因素双重影响，全区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固定资产投资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比上年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下降12.8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%。其中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第一产业投资增长16.8%，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第二产业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投资下降11.4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,第三产业投资下降13.0%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分结构看，工业投资下降11.4%，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基础设施投资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下降14.0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</w:t>
      </w:r>
    </w:p>
    <w:p w14:paraId="274BE2AC">
      <w:pPr>
        <w:pStyle w:val="9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Style w:val="12"/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shd w:val="clear" w:color="auto" w:fill="FFFFFF"/>
        </w:rPr>
        <w:t>房地产市场</w:t>
      </w:r>
      <w:r>
        <w:rPr>
          <w:rStyle w:val="12"/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持续调整</w:t>
      </w:r>
      <w:r>
        <w:rPr>
          <w:rStyle w:val="12"/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全年房地产开发完成投资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385.82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比上年下降17.1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%，其中，住宅完成投资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294.7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下降24.3%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。房屋施工面积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1397.9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万平方米，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下降15.7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%，其中，住宅施工面积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800.2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万平方米，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下降31.9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%。商品房销售面积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244.7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万平方米，下降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8.4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%。</w:t>
      </w:r>
    </w:p>
    <w:p w14:paraId="5A6BEB67">
      <w:pPr>
        <w:widowControl/>
        <w:spacing w:before="240" w:after="240" w:line="600" w:lineRule="exact"/>
        <w:jc w:val="center"/>
        <w:rPr>
          <w:rFonts w:ascii="黑体" w:hAnsi="黑体" w:eastAsia="黑体" w:cs="黑体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>六、国内贸易</w:t>
      </w:r>
    </w:p>
    <w:p w14:paraId="20B07F91">
      <w:pPr>
        <w:pStyle w:val="9"/>
        <w:widowControl/>
        <w:spacing w:line="600" w:lineRule="exact"/>
        <w:ind w:firstLine="516"/>
        <w:jc w:val="both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" w:eastAsia="楷体_GB2312" w:cs="宋体"/>
          <w:color w:val="auto"/>
          <w:sz w:val="32"/>
          <w:szCs w:val="32"/>
          <w:highlight w:val="none"/>
        </w:rPr>
        <w:t>消费市场</w:t>
      </w:r>
      <w:r>
        <w:rPr>
          <w:rFonts w:hint="eastAsia" w:ascii="楷体_GB2312" w:hAnsi="楷体" w:eastAsia="楷体_GB2312" w:cs="宋体"/>
          <w:color w:val="auto"/>
          <w:sz w:val="32"/>
          <w:szCs w:val="32"/>
          <w:highlight w:val="none"/>
          <w:lang w:val="en-US" w:eastAsia="zh-CN"/>
        </w:rPr>
        <w:t>持续回暖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社会消费品零售总额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810.8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比上年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%。限额以上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批发零售住宿餐饮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vertAlign w:val="superscript"/>
        </w:rPr>
        <w:t>[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vertAlign w:val="superscript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vertAlign w:val="superscript"/>
        </w:rPr>
        <w:t>]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1152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家，实现销售额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2050.2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比上年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%；实现零售额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312.1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增长3.6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受提振消费政策影响，全区限额以上单位新能源汽车商品零售额60.4亿元，比上年增长71.5%；通讯器材类商品零售额6.0亿元，比上年增长26.0%； 家用电器和音像器材类商品零售额9.9亿元，比上年增长21.6%。</w:t>
      </w:r>
    </w:p>
    <w:p w14:paraId="47B82CF8">
      <w:pPr>
        <w:widowControl/>
        <w:spacing w:before="240" w:after="240" w:line="600" w:lineRule="exact"/>
        <w:jc w:val="center"/>
        <w:rPr>
          <w:rFonts w:ascii="黑体" w:hAnsi="黑体" w:eastAsia="黑体" w:cs="黑体"/>
          <w:bCs/>
          <w:color w:val="auto"/>
          <w:kern w:val="0"/>
          <w:sz w:val="32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</w:rPr>
        <w:t>七、社会事业和民生保障</w:t>
      </w:r>
    </w:p>
    <w:p w14:paraId="6253FA25">
      <w:pPr>
        <w:widowControl/>
        <w:spacing w:before="240" w:after="240" w:line="600" w:lineRule="exact"/>
        <w:ind w:firstLine="646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教育文化事业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lang w:val="en-US" w:eastAsia="zh-CN"/>
        </w:rPr>
        <w:t>稳步推进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区内各级各类学校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所（含驻区学校），在校生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18.22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万人。积极推动幼小初高优质均衡发展，共有幼儿园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所，在园人数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4.56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万人；小学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所，在校人数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7.81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万人；初高中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所，在校人数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3.95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九年一贯制学校16所，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在校人数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十二年一贯制学校4所，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在校人数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608535C1">
      <w:pPr>
        <w:widowControl/>
        <w:spacing w:before="240" w:after="240" w:line="600" w:lineRule="exact"/>
        <w:ind w:firstLine="645"/>
        <w:jc w:val="both"/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</w:rPr>
        <w:t>公共卫生服务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  <w:lang w:val="en-US" w:eastAsia="zh-CN"/>
        </w:rPr>
        <w:t>不断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</w:rPr>
        <w:t>提升。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年末卫生机构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990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所，其中医院（含护理院）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56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家。卫生技术人员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1.41万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人，其中执业医师及执业助理医师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0.56万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人。</w:t>
      </w:r>
    </w:p>
    <w:p w14:paraId="69C50FF4">
      <w:pPr>
        <w:widowControl/>
        <w:spacing w:before="240" w:after="240" w:line="600" w:lineRule="exact"/>
        <w:ind w:firstLine="645"/>
        <w:jc w:val="both"/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</w:rPr>
        <w:t>社会保障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  <w:lang w:val="en-US" w:eastAsia="zh-CN"/>
        </w:rPr>
        <w:t>持续完善</w:t>
      </w:r>
      <w:r>
        <w:rPr>
          <w:rFonts w:hint="eastAsia" w:ascii="楷体_GB2312" w:hAnsi="楷体" w:eastAsia="楷体_GB2312" w:cs="宋体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全区城市低保对象390人，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全年累计发放城市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保障资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万元，惠及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4763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人次；全区农村低保对象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1730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累计发放农村低保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2162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万元，惠及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22796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人次；全区特困供养对象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213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人，累计发放特困供养资金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564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万元。</w:t>
      </w:r>
    </w:p>
    <w:p w14:paraId="0348BE8D">
      <w:pPr>
        <w:pStyle w:val="9"/>
        <w:widowControl/>
        <w:spacing w:beforeAutospacing="0" w:afterAutospacing="0" w:line="600" w:lineRule="exact"/>
        <w:rPr>
          <w:rFonts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注释：</w:t>
      </w:r>
    </w:p>
    <w:p w14:paraId="48BD0E15">
      <w:pPr>
        <w:pStyle w:val="9"/>
        <w:widowControl/>
        <w:spacing w:beforeAutospacing="0" w:afterAutospacing="0" w:line="600" w:lineRule="exact"/>
        <w:rPr>
          <w:rFonts w:ascii="楷体_GB2312" w:hAnsi="楷体_GB2312" w:eastAsia="楷体_GB2312" w:cs="楷体_GB2312"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[1]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</w:rPr>
        <w:t>历城区区划多次进行调整，部分街镇已托管给高新区和南山管委会，统计事权已移交，所以本次公报发布数据，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如无特殊备注，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</w:rPr>
        <w:t>均为历城区目前所属14街镇口径数据。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部分数据因四舍五入影响，存在总计与分项合计不等情况。</w:t>
      </w:r>
    </w:p>
    <w:p w14:paraId="6E342C5F">
      <w:pPr>
        <w:pStyle w:val="9"/>
        <w:widowControl/>
        <w:spacing w:beforeAutospacing="0" w:afterAutospacing="0" w:line="600" w:lineRule="exact"/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[2]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  <w:lang w:val="en-US" w:eastAsia="zh-CN"/>
        </w:rPr>
        <w:t>全区地区生产总值、各产业增加值、各行业增加值绝对数按现价计算，增长速度按不变价格计算，当年数据为初步核算数据。</w:t>
      </w:r>
    </w:p>
    <w:p w14:paraId="02AA596D">
      <w:pPr>
        <w:pStyle w:val="9"/>
        <w:widowControl/>
        <w:spacing w:beforeAutospacing="0" w:afterAutospacing="0" w:line="600" w:lineRule="exact"/>
        <w:rPr>
          <w:rFonts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[</w:t>
      </w:r>
      <w:r>
        <w:rPr>
          <w:rFonts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3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]粮食播种面积、粮食总产量、夏粮及秋粮产量绝对数为历城区行政区划口径数据。</w:t>
      </w:r>
    </w:p>
    <w:p w14:paraId="1BBBDB92">
      <w:pPr>
        <w:pStyle w:val="9"/>
        <w:widowControl/>
        <w:spacing w:beforeAutospacing="0" w:afterAutospacing="0" w:line="600" w:lineRule="exact"/>
        <w:rPr>
          <w:rFonts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[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]规模以上工业企业指年主营业务收入2000万元及以上的工业法人单位。</w:t>
      </w:r>
    </w:p>
    <w:p w14:paraId="492DEF3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[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]规模以上服务业包括：交通运输、仓储和邮政业，信息传输、软件和信息技术服务业，房地产业，租赁和商务服务业，科学研究和技术服务业，水利、环境和公共设施管理业，居民服务、修理和其他服务业，教育，卫生和社会工作，文化、体育和娱乐业。</w:t>
      </w:r>
    </w:p>
    <w:p w14:paraId="53A68B3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ascii="楷体_GB2312" w:eastAsia="楷体_GB2312" w:cs="楷体_GB2312"/>
          <w:color w:val="auto"/>
          <w:sz w:val="30"/>
          <w:szCs w:val="30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[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]限额以上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  <w:lang w:eastAsia="zh-CN"/>
        </w:rPr>
        <w:t>批发零售住宿餐饮</w:t>
      </w:r>
      <w:r>
        <w:rPr>
          <w:rFonts w:hint="eastAsia" w:ascii="楷体_GB2312" w:hAnsi="楷体_GB2312" w:eastAsia="楷体_GB2312" w:cs="楷体_GB2312"/>
          <w:color w:val="auto"/>
          <w:sz w:val="30"/>
          <w:szCs w:val="30"/>
          <w:shd w:val="clear" w:color="auto" w:fill="FFFFFF"/>
        </w:rPr>
        <w:t>单位是指年主营业务收入2000万元及以上的批发业单位、500万元及以上的零售业单位、200万元及以上的住宿和餐饮业单位。单位包括法人企业、产业活动单位和个体户。</w:t>
      </w:r>
    </w:p>
    <w:p w14:paraId="01E78770">
      <w:pPr>
        <w:spacing w:line="600" w:lineRule="exact"/>
        <w:rPr>
          <w:rFonts w:ascii="仿宋_GB2312" w:hAnsi="仿宋" w:eastAsia="仿宋_GB2312"/>
          <w:color w:val="auto"/>
          <w:sz w:val="32"/>
          <w:szCs w:val="32"/>
          <w:shd w:val="clear" w:color="auto" w:fill="FFFFFF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98014385"/>
    </w:sdtPr>
    <w:sdtContent>
      <w:p w14:paraId="50044B40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42FDC8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2ZjRhNTlkMDBkMjZiNWUyYWM0NTE0MmIyNDMwYmMifQ=="/>
  </w:docVars>
  <w:rsids>
    <w:rsidRoot w:val="00496BFF"/>
    <w:rsid w:val="0000016C"/>
    <w:rsid w:val="000307C2"/>
    <w:rsid w:val="00033367"/>
    <w:rsid w:val="00035EC5"/>
    <w:rsid w:val="00040431"/>
    <w:rsid w:val="000423DF"/>
    <w:rsid w:val="00043A0A"/>
    <w:rsid w:val="00052701"/>
    <w:rsid w:val="0006006C"/>
    <w:rsid w:val="000600CC"/>
    <w:rsid w:val="00075BC1"/>
    <w:rsid w:val="00095143"/>
    <w:rsid w:val="00097D41"/>
    <w:rsid w:val="000B6523"/>
    <w:rsid w:val="000B77D6"/>
    <w:rsid w:val="000D7731"/>
    <w:rsid w:val="000F4456"/>
    <w:rsid w:val="00111BD4"/>
    <w:rsid w:val="00166316"/>
    <w:rsid w:val="00173F9F"/>
    <w:rsid w:val="0017589F"/>
    <w:rsid w:val="00181D46"/>
    <w:rsid w:val="00186811"/>
    <w:rsid w:val="001E1415"/>
    <w:rsid w:val="002074AC"/>
    <w:rsid w:val="002243A3"/>
    <w:rsid w:val="00224789"/>
    <w:rsid w:val="00224BF7"/>
    <w:rsid w:val="00225332"/>
    <w:rsid w:val="002274FA"/>
    <w:rsid w:val="00236430"/>
    <w:rsid w:val="00253C8F"/>
    <w:rsid w:val="00254BC1"/>
    <w:rsid w:val="002610D0"/>
    <w:rsid w:val="00266A81"/>
    <w:rsid w:val="002745D4"/>
    <w:rsid w:val="002943C4"/>
    <w:rsid w:val="00297677"/>
    <w:rsid w:val="002B2DCC"/>
    <w:rsid w:val="002B528B"/>
    <w:rsid w:val="002D2E94"/>
    <w:rsid w:val="002F06CE"/>
    <w:rsid w:val="002F48EF"/>
    <w:rsid w:val="002F52A4"/>
    <w:rsid w:val="003075A1"/>
    <w:rsid w:val="00320291"/>
    <w:rsid w:val="00323989"/>
    <w:rsid w:val="003431DB"/>
    <w:rsid w:val="00366BBF"/>
    <w:rsid w:val="00370C29"/>
    <w:rsid w:val="00394B7F"/>
    <w:rsid w:val="003B3FF9"/>
    <w:rsid w:val="003C591F"/>
    <w:rsid w:val="003D16CF"/>
    <w:rsid w:val="003F5ED5"/>
    <w:rsid w:val="00400D0A"/>
    <w:rsid w:val="00407C84"/>
    <w:rsid w:val="0041559A"/>
    <w:rsid w:val="004258EF"/>
    <w:rsid w:val="004364C1"/>
    <w:rsid w:val="004508C6"/>
    <w:rsid w:val="0047165C"/>
    <w:rsid w:val="00496BFF"/>
    <w:rsid w:val="004A2DF2"/>
    <w:rsid w:val="004B2AC8"/>
    <w:rsid w:val="004F5B23"/>
    <w:rsid w:val="0054052D"/>
    <w:rsid w:val="005451FE"/>
    <w:rsid w:val="00571310"/>
    <w:rsid w:val="005B6824"/>
    <w:rsid w:val="005E620E"/>
    <w:rsid w:val="00610F49"/>
    <w:rsid w:val="00612189"/>
    <w:rsid w:val="00636DE1"/>
    <w:rsid w:val="00640CA0"/>
    <w:rsid w:val="0064522C"/>
    <w:rsid w:val="00647D04"/>
    <w:rsid w:val="00651219"/>
    <w:rsid w:val="00664D89"/>
    <w:rsid w:val="00673555"/>
    <w:rsid w:val="006805FA"/>
    <w:rsid w:val="00691C0D"/>
    <w:rsid w:val="00692A47"/>
    <w:rsid w:val="006A1D35"/>
    <w:rsid w:val="006A6710"/>
    <w:rsid w:val="006A79CE"/>
    <w:rsid w:val="006B5091"/>
    <w:rsid w:val="006D0962"/>
    <w:rsid w:val="006D277F"/>
    <w:rsid w:val="00706DB6"/>
    <w:rsid w:val="00710C15"/>
    <w:rsid w:val="0072131B"/>
    <w:rsid w:val="00742435"/>
    <w:rsid w:val="00744764"/>
    <w:rsid w:val="0075525D"/>
    <w:rsid w:val="00756FCF"/>
    <w:rsid w:val="00760BDB"/>
    <w:rsid w:val="00766E8C"/>
    <w:rsid w:val="00787937"/>
    <w:rsid w:val="00791F7C"/>
    <w:rsid w:val="007928C5"/>
    <w:rsid w:val="007A76EF"/>
    <w:rsid w:val="007B6EE2"/>
    <w:rsid w:val="007C1405"/>
    <w:rsid w:val="007C50B1"/>
    <w:rsid w:val="007F5B45"/>
    <w:rsid w:val="0080233B"/>
    <w:rsid w:val="008104C6"/>
    <w:rsid w:val="008172F8"/>
    <w:rsid w:val="00841391"/>
    <w:rsid w:val="00851AF4"/>
    <w:rsid w:val="00857D65"/>
    <w:rsid w:val="00860297"/>
    <w:rsid w:val="00861E43"/>
    <w:rsid w:val="0086380C"/>
    <w:rsid w:val="0086738D"/>
    <w:rsid w:val="0088164B"/>
    <w:rsid w:val="00885CD6"/>
    <w:rsid w:val="008A18BF"/>
    <w:rsid w:val="008A3A64"/>
    <w:rsid w:val="008B194B"/>
    <w:rsid w:val="008B1A52"/>
    <w:rsid w:val="008C02F4"/>
    <w:rsid w:val="008C1C13"/>
    <w:rsid w:val="008E28A4"/>
    <w:rsid w:val="008E2D35"/>
    <w:rsid w:val="009228A8"/>
    <w:rsid w:val="00955C1E"/>
    <w:rsid w:val="009A363F"/>
    <w:rsid w:val="009A3C8E"/>
    <w:rsid w:val="009D6412"/>
    <w:rsid w:val="009E2707"/>
    <w:rsid w:val="00A4348E"/>
    <w:rsid w:val="00A73D14"/>
    <w:rsid w:val="00A86740"/>
    <w:rsid w:val="00A966AC"/>
    <w:rsid w:val="00AA11F9"/>
    <w:rsid w:val="00AB4960"/>
    <w:rsid w:val="00AC38CD"/>
    <w:rsid w:val="00AC39B1"/>
    <w:rsid w:val="00B06156"/>
    <w:rsid w:val="00B06E10"/>
    <w:rsid w:val="00B1342B"/>
    <w:rsid w:val="00B4485C"/>
    <w:rsid w:val="00B672B6"/>
    <w:rsid w:val="00B8669A"/>
    <w:rsid w:val="00B90322"/>
    <w:rsid w:val="00BA5F6C"/>
    <w:rsid w:val="00BB21A3"/>
    <w:rsid w:val="00BB622B"/>
    <w:rsid w:val="00BB6F20"/>
    <w:rsid w:val="00C02F16"/>
    <w:rsid w:val="00C10689"/>
    <w:rsid w:val="00C2577F"/>
    <w:rsid w:val="00C545FF"/>
    <w:rsid w:val="00C60D4F"/>
    <w:rsid w:val="00C64611"/>
    <w:rsid w:val="00C80E82"/>
    <w:rsid w:val="00C8299A"/>
    <w:rsid w:val="00C85413"/>
    <w:rsid w:val="00C919ED"/>
    <w:rsid w:val="00C943DB"/>
    <w:rsid w:val="00CB4978"/>
    <w:rsid w:val="00CD40D8"/>
    <w:rsid w:val="00CE4FF2"/>
    <w:rsid w:val="00CF1340"/>
    <w:rsid w:val="00D03121"/>
    <w:rsid w:val="00D112D4"/>
    <w:rsid w:val="00D143A2"/>
    <w:rsid w:val="00D3629B"/>
    <w:rsid w:val="00D47252"/>
    <w:rsid w:val="00D546EC"/>
    <w:rsid w:val="00D63A00"/>
    <w:rsid w:val="00D64F15"/>
    <w:rsid w:val="00D82802"/>
    <w:rsid w:val="00D90E60"/>
    <w:rsid w:val="00DB03BE"/>
    <w:rsid w:val="00E0013B"/>
    <w:rsid w:val="00E03549"/>
    <w:rsid w:val="00E66E48"/>
    <w:rsid w:val="00E7046E"/>
    <w:rsid w:val="00E90250"/>
    <w:rsid w:val="00EA7CEC"/>
    <w:rsid w:val="00EA7E47"/>
    <w:rsid w:val="00EF2238"/>
    <w:rsid w:val="00F01A03"/>
    <w:rsid w:val="00F04FF5"/>
    <w:rsid w:val="00F076DF"/>
    <w:rsid w:val="00F15DD5"/>
    <w:rsid w:val="00F23CCD"/>
    <w:rsid w:val="00F261F4"/>
    <w:rsid w:val="00F26D5B"/>
    <w:rsid w:val="00FA090F"/>
    <w:rsid w:val="00FB3F19"/>
    <w:rsid w:val="00FC0C10"/>
    <w:rsid w:val="00FE01AF"/>
    <w:rsid w:val="00FE41DA"/>
    <w:rsid w:val="00FF6393"/>
    <w:rsid w:val="01066A48"/>
    <w:rsid w:val="010F37A6"/>
    <w:rsid w:val="01527FF8"/>
    <w:rsid w:val="019F1377"/>
    <w:rsid w:val="036255EC"/>
    <w:rsid w:val="03A113A5"/>
    <w:rsid w:val="041C2923"/>
    <w:rsid w:val="047944C8"/>
    <w:rsid w:val="05130A1D"/>
    <w:rsid w:val="055628FB"/>
    <w:rsid w:val="05926AFC"/>
    <w:rsid w:val="05B3779E"/>
    <w:rsid w:val="05DB1C55"/>
    <w:rsid w:val="074070D2"/>
    <w:rsid w:val="074F7EF2"/>
    <w:rsid w:val="075E0E6D"/>
    <w:rsid w:val="07A33243"/>
    <w:rsid w:val="09F12A43"/>
    <w:rsid w:val="0A160F26"/>
    <w:rsid w:val="0A2303B7"/>
    <w:rsid w:val="0A7D7244"/>
    <w:rsid w:val="0B440899"/>
    <w:rsid w:val="0B6803D6"/>
    <w:rsid w:val="0BBB3DAC"/>
    <w:rsid w:val="0BD81A8E"/>
    <w:rsid w:val="0CBF1239"/>
    <w:rsid w:val="0DE7113D"/>
    <w:rsid w:val="0F64775C"/>
    <w:rsid w:val="0F927EDC"/>
    <w:rsid w:val="104539EA"/>
    <w:rsid w:val="10D50095"/>
    <w:rsid w:val="11616F26"/>
    <w:rsid w:val="11731ED8"/>
    <w:rsid w:val="117E38F0"/>
    <w:rsid w:val="11E270F3"/>
    <w:rsid w:val="12FA36AA"/>
    <w:rsid w:val="13174AE5"/>
    <w:rsid w:val="133631BD"/>
    <w:rsid w:val="136C60D7"/>
    <w:rsid w:val="13BA3DEE"/>
    <w:rsid w:val="13E95600"/>
    <w:rsid w:val="14914A30"/>
    <w:rsid w:val="14A34882"/>
    <w:rsid w:val="14B03DD0"/>
    <w:rsid w:val="14F5738C"/>
    <w:rsid w:val="16111A09"/>
    <w:rsid w:val="163603EF"/>
    <w:rsid w:val="164D775A"/>
    <w:rsid w:val="16A23E69"/>
    <w:rsid w:val="16A55728"/>
    <w:rsid w:val="17D13C7E"/>
    <w:rsid w:val="1A6745A4"/>
    <w:rsid w:val="1AE41963"/>
    <w:rsid w:val="1B155C3A"/>
    <w:rsid w:val="1BA93427"/>
    <w:rsid w:val="1C543702"/>
    <w:rsid w:val="1D6848BB"/>
    <w:rsid w:val="1E177358"/>
    <w:rsid w:val="1F451626"/>
    <w:rsid w:val="20740BDE"/>
    <w:rsid w:val="20765541"/>
    <w:rsid w:val="21E80691"/>
    <w:rsid w:val="2361419B"/>
    <w:rsid w:val="237A0EA4"/>
    <w:rsid w:val="244F1DC0"/>
    <w:rsid w:val="25D6438C"/>
    <w:rsid w:val="25F14ABC"/>
    <w:rsid w:val="262E1C01"/>
    <w:rsid w:val="264E6E2F"/>
    <w:rsid w:val="26D35F0E"/>
    <w:rsid w:val="26E9564F"/>
    <w:rsid w:val="27271343"/>
    <w:rsid w:val="27DC037F"/>
    <w:rsid w:val="27FC13A7"/>
    <w:rsid w:val="28927D27"/>
    <w:rsid w:val="28D9041B"/>
    <w:rsid w:val="2A51077D"/>
    <w:rsid w:val="2AE022D6"/>
    <w:rsid w:val="2B2576D7"/>
    <w:rsid w:val="2B5A65BC"/>
    <w:rsid w:val="2BBD04C8"/>
    <w:rsid w:val="2C1B2094"/>
    <w:rsid w:val="2C7D1A05"/>
    <w:rsid w:val="2E3536B4"/>
    <w:rsid w:val="2E9B541C"/>
    <w:rsid w:val="2EED6B64"/>
    <w:rsid w:val="2F1562C1"/>
    <w:rsid w:val="2F5874AB"/>
    <w:rsid w:val="2F590507"/>
    <w:rsid w:val="2F7E41AB"/>
    <w:rsid w:val="2F8F6DBD"/>
    <w:rsid w:val="2FF442AF"/>
    <w:rsid w:val="300A268F"/>
    <w:rsid w:val="30523AC0"/>
    <w:rsid w:val="3199702A"/>
    <w:rsid w:val="32172601"/>
    <w:rsid w:val="325656B4"/>
    <w:rsid w:val="34A735C5"/>
    <w:rsid w:val="35B27B56"/>
    <w:rsid w:val="35FC399A"/>
    <w:rsid w:val="3613134A"/>
    <w:rsid w:val="36897924"/>
    <w:rsid w:val="377A5F60"/>
    <w:rsid w:val="382A1CD8"/>
    <w:rsid w:val="387A6AF3"/>
    <w:rsid w:val="38E2156D"/>
    <w:rsid w:val="38E5105E"/>
    <w:rsid w:val="393D3428"/>
    <w:rsid w:val="3B2841A0"/>
    <w:rsid w:val="3C0637C5"/>
    <w:rsid w:val="3CBA0523"/>
    <w:rsid w:val="3CDE204C"/>
    <w:rsid w:val="3CEF1D37"/>
    <w:rsid w:val="3CFD6723"/>
    <w:rsid w:val="3D3A24F1"/>
    <w:rsid w:val="3EAD3381"/>
    <w:rsid w:val="3EEE542F"/>
    <w:rsid w:val="418F255E"/>
    <w:rsid w:val="41A714A9"/>
    <w:rsid w:val="425635D4"/>
    <w:rsid w:val="436239D7"/>
    <w:rsid w:val="439E2535"/>
    <w:rsid w:val="44336486"/>
    <w:rsid w:val="45D630FD"/>
    <w:rsid w:val="476C298E"/>
    <w:rsid w:val="48501534"/>
    <w:rsid w:val="48965ED0"/>
    <w:rsid w:val="4B052E99"/>
    <w:rsid w:val="4B082E5B"/>
    <w:rsid w:val="4BF31D5C"/>
    <w:rsid w:val="4C5C2F8D"/>
    <w:rsid w:val="4C63143B"/>
    <w:rsid w:val="4C675BBA"/>
    <w:rsid w:val="4C9D15DC"/>
    <w:rsid w:val="4CDE39A2"/>
    <w:rsid w:val="4CF338F1"/>
    <w:rsid w:val="4CF675C4"/>
    <w:rsid w:val="4D3D4B6D"/>
    <w:rsid w:val="4D485B3B"/>
    <w:rsid w:val="4D87403A"/>
    <w:rsid w:val="4E0B09AC"/>
    <w:rsid w:val="4F2A4729"/>
    <w:rsid w:val="4F8E6A66"/>
    <w:rsid w:val="4FDE088E"/>
    <w:rsid w:val="4FF00F06"/>
    <w:rsid w:val="504B0C9D"/>
    <w:rsid w:val="517D19DC"/>
    <w:rsid w:val="518F4468"/>
    <w:rsid w:val="523A37CD"/>
    <w:rsid w:val="52BC17F1"/>
    <w:rsid w:val="52DA4424"/>
    <w:rsid w:val="534D6C23"/>
    <w:rsid w:val="54330A77"/>
    <w:rsid w:val="54A379AB"/>
    <w:rsid w:val="54AA7C1A"/>
    <w:rsid w:val="56457E41"/>
    <w:rsid w:val="582232DD"/>
    <w:rsid w:val="588514BA"/>
    <w:rsid w:val="58EE48F1"/>
    <w:rsid w:val="59AF389C"/>
    <w:rsid w:val="59AF6DF2"/>
    <w:rsid w:val="59D93E6F"/>
    <w:rsid w:val="5A07278A"/>
    <w:rsid w:val="5A3314F1"/>
    <w:rsid w:val="5A4524C4"/>
    <w:rsid w:val="5B1E1D7F"/>
    <w:rsid w:val="5C4966EC"/>
    <w:rsid w:val="5CA07747"/>
    <w:rsid w:val="5EC1608D"/>
    <w:rsid w:val="5F2931A3"/>
    <w:rsid w:val="5F5244A8"/>
    <w:rsid w:val="604861A1"/>
    <w:rsid w:val="60EE5AFF"/>
    <w:rsid w:val="622D6CCF"/>
    <w:rsid w:val="62B247EF"/>
    <w:rsid w:val="635816C1"/>
    <w:rsid w:val="64D37A6D"/>
    <w:rsid w:val="65066DE5"/>
    <w:rsid w:val="656C48C9"/>
    <w:rsid w:val="65AB5C9D"/>
    <w:rsid w:val="667C62AE"/>
    <w:rsid w:val="67DF4D46"/>
    <w:rsid w:val="687546A5"/>
    <w:rsid w:val="69431305"/>
    <w:rsid w:val="69701FB0"/>
    <w:rsid w:val="6A506ACE"/>
    <w:rsid w:val="6AC0344F"/>
    <w:rsid w:val="6B20299C"/>
    <w:rsid w:val="6B4941EC"/>
    <w:rsid w:val="6B93518D"/>
    <w:rsid w:val="6D4938EB"/>
    <w:rsid w:val="6DEC5AC7"/>
    <w:rsid w:val="6E4910F3"/>
    <w:rsid w:val="6E543351"/>
    <w:rsid w:val="6EBA5BC5"/>
    <w:rsid w:val="6F104249"/>
    <w:rsid w:val="70022D81"/>
    <w:rsid w:val="702043E6"/>
    <w:rsid w:val="712D6B22"/>
    <w:rsid w:val="7185070D"/>
    <w:rsid w:val="71866233"/>
    <w:rsid w:val="728C7265"/>
    <w:rsid w:val="73931034"/>
    <w:rsid w:val="73AA50B5"/>
    <w:rsid w:val="73D6524F"/>
    <w:rsid w:val="73F64FDE"/>
    <w:rsid w:val="73FB235E"/>
    <w:rsid w:val="74513EB7"/>
    <w:rsid w:val="75AB1777"/>
    <w:rsid w:val="765B7D21"/>
    <w:rsid w:val="7789082B"/>
    <w:rsid w:val="784807E4"/>
    <w:rsid w:val="78712A96"/>
    <w:rsid w:val="78AC1945"/>
    <w:rsid w:val="791D0EE8"/>
    <w:rsid w:val="796C361F"/>
    <w:rsid w:val="7A6F3D08"/>
    <w:rsid w:val="7B160627"/>
    <w:rsid w:val="7B6F1AE6"/>
    <w:rsid w:val="7BDE2377"/>
    <w:rsid w:val="7C141AAC"/>
    <w:rsid w:val="7C7D7B7D"/>
    <w:rsid w:val="7CC77E2B"/>
    <w:rsid w:val="7D230DDA"/>
    <w:rsid w:val="7D451F46"/>
    <w:rsid w:val="7E85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unhideWhenUsed/>
    <w:qFormat/>
    <w:uiPriority w:val="99"/>
    <w:pPr>
      <w:spacing w:before="260" w:after="260" w:line="360" w:lineRule="auto"/>
      <w:ind w:left="100" w:leftChars="100" w:firstLine="420" w:firstLine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22"/>
    <w:rPr>
      <w:b/>
      <w:bCs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11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1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国家统计局</Company>
  <Pages>7</Pages>
  <Words>2545</Words>
  <Characters>3091</Characters>
  <Lines>25</Lines>
  <Paragraphs>7</Paragraphs>
  <TotalTime>35</TotalTime>
  <ScaleCrop>false</ScaleCrop>
  <LinksUpToDate>false</LinksUpToDate>
  <CharactersWithSpaces>3097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2019-10-09T01:38:00Z</dcterms:created>
  <dc:creator>China</dc:creator>
  <cp:lastModifiedBy>简默</cp:lastModifiedBy>
  <cp:lastPrinted>2026-08-05T06:51:00Z</cp:lastPrinted>
  <dcterms:modified xsi:type="dcterms:W3CDTF">2026-09-14T08:47:42Z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AC5BF7F61E954D99A180CAE9B2E78BDB_13</vt:lpwstr>
  </property>
  <property fmtid="{D5CDD505-2E9C-101B-9397-08002B2CF9AE}" pid="4" name="KSOTemplateDocerSaveRecord">
    <vt:lpwstr>eyJoZGlkIjoiZDE3MmU4MmI0Mzg0NDg3YzBiY2U3MGM5ODk5YjVjMzYiLCJ1c2VySWQiOiIxMTIxMzQwNDk4In0=</vt:lpwstr>
  </property>
</Properties>
</file>